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40"/>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6, 2019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6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20" w:space="720"/>
            <w:col w:w="2680" w:space="720"/>
            <w:col w:w="3180"/>
          </w:cols>
          <w:pgMar w:left="240" w:top="1067" w:right="239" w:bottom="1440" w:gutter="0" w:footer="0" w:header="0"/>
          <w:type w:val="continuous"/>
        </w:sectPr>
      </w:pPr>
    </w:p>
    <w:p>
      <w:pPr>
        <w:spacing w:after="0" w:line="39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(609) 608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40" w:right="10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40" w:hanging="105"/>
        <w:spacing w:after="0" w:line="207" w:lineRule="exact"/>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40" w:hanging="105"/>
        <w:spacing w:after="0" w:line="207" w:lineRule="exact"/>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40" w:hanging="105"/>
        <w:spacing w:after="0" w:line="207" w:lineRule="exact"/>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Title of each class</w:t>
            </w:r>
          </w:p>
        </w:tc>
        <w:tc>
          <w:tcPr>
            <w:tcW w:w="28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Trading Symbol(s)</w:t>
            </w:r>
          </w:p>
        </w:tc>
        <w:tc>
          <w:tcPr>
            <w:tcW w:w="424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jc w:val="center"/>
              <w:ind w:right="90"/>
              <w:spacing w:after="0"/>
              <w:rPr>
                <w:sz w:val="20"/>
                <w:szCs w:val="20"/>
                <w:color w:val="auto"/>
              </w:rPr>
            </w:pPr>
            <w:r>
              <w:rPr>
                <w:rFonts w:ascii="Arial" w:cs="Arial" w:eastAsia="Arial" w:hAnsi="Arial"/>
                <w:sz w:val="18"/>
                <w:szCs w:val="18"/>
                <w:color w:val="auto"/>
                <w:w w:val="90"/>
              </w:rPr>
              <w:t>Class A Common Stock, par value $0.01</w:t>
            </w:r>
          </w:p>
        </w:tc>
        <w:tc>
          <w:tcPr>
            <w:tcW w:w="2860" w:type="dxa"/>
            <w:vAlign w:val="bottom"/>
          </w:tcPr>
          <w:p>
            <w:pPr>
              <w:jc w:val="center"/>
              <w:ind w:left="70"/>
              <w:spacing w:after="0"/>
              <w:rPr>
                <w:sz w:val="20"/>
                <w:szCs w:val="20"/>
                <w:color w:val="auto"/>
              </w:rPr>
            </w:pPr>
            <w:r>
              <w:rPr>
                <w:rFonts w:ascii="Arial" w:cs="Arial" w:eastAsia="Arial" w:hAnsi="Arial"/>
                <w:sz w:val="18"/>
                <w:szCs w:val="18"/>
                <w:color w:val="auto"/>
                <w:w w:val="97"/>
              </w:rPr>
              <w:t>CWEN.A</w:t>
            </w:r>
          </w:p>
        </w:tc>
        <w:tc>
          <w:tcPr>
            <w:tcW w:w="4240" w:type="dxa"/>
            <w:vAlign w:val="bottom"/>
          </w:tcPr>
          <w:p>
            <w:pPr>
              <w:jc w:val="center"/>
              <w:ind w:left="27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4320" w:type="dxa"/>
            <w:vAlign w:val="bottom"/>
          </w:tcPr>
          <w:p>
            <w:pPr>
              <w:jc w:val="center"/>
              <w:ind w:right="90"/>
              <w:spacing w:after="0"/>
              <w:rPr>
                <w:sz w:val="20"/>
                <w:szCs w:val="20"/>
                <w:color w:val="auto"/>
              </w:rPr>
            </w:pPr>
            <w:r>
              <w:rPr>
                <w:rFonts w:ascii="Arial" w:cs="Arial" w:eastAsia="Arial" w:hAnsi="Arial"/>
                <w:sz w:val="18"/>
                <w:szCs w:val="18"/>
                <w:color w:val="auto"/>
                <w:w w:val="90"/>
              </w:rPr>
              <w:t>Class C Common Stock, par value $0.01</w:t>
            </w:r>
          </w:p>
        </w:tc>
        <w:tc>
          <w:tcPr>
            <w:tcW w:w="2860" w:type="dxa"/>
            <w:vAlign w:val="bottom"/>
          </w:tcPr>
          <w:p>
            <w:pPr>
              <w:jc w:val="center"/>
              <w:ind w:left="90"/>
              <w:spacing w:after="0"/>
              <w:rPr>
                <w:sz w:val="20"/>
                <w:szCs w:val="20"/>
                <w:color w:val="auto"/>
              </w:rPr>
            </w:pPr>
            <w:r>
              <w:rPr>
                <w:rFonts w:ascii="Arial" w:cs="Arial" w:eastAsia="Arial" w:hAnsi="Arial"/>
                <w:sz w:val="18"/>
                <w:szCs w:val="18"/>
                <w:color w:val="auto"/>
                <w:w w:val="94"/>
              </w:rPr>
              <w:t>CWEN</w:t>
            </w:r>
          </w:p>
        </w:tc>
        <w:tc>
          <w:tcPr>
            <w:tcW w:w="4240" w:type="dxa"/>
            <w:vAlign w:val="bottom"/>
          </w:tcPr>
          <w:p>
            <w:pPr>
              <w:jc w:val="center"/>
              <w:ind w:left="270"/>
              <w:spacing w:after="0"/>
              <w:rPr>
                <w:sz w:val="20"/>
                <w:szCs w:val="20"/>
                <w:color w:val="auto"/>
              </w:rPr>
            </w:pPr>
            <w:r>
              <w:rPr>
                <w:rFonts w:ascii="Arial" w:cs="Arial" w:eastAsia="Arial" w:hAnsi="Arial"/>
                <w:sz w:val="18"/>
                <w:szCs w:val="18"/>
                <w:color w:val="auto"/>
                <w:w w:val="91"/>
              </w:rPr>
              <w:t>New York Stock Exchange</w:t>
            </w:r>
          </w:p>
        </w:tc>
      </w:tr>
    </w:tbl>
    <w:p>
      <w:pPr>
        <w:spacing w:after="0" w:line="269" w:lineRule="exact"/>
        <w:rPr>
          <w:sz w:val="24"/>
          <w:szCs w:val="24"/>
          <w:color w:val="auto"/>
        </w:rPr>
      </w:pPr>
    </w:p>
    <w:p>
      <w:pPr>
        <w:ind w:left="40" w:right="6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20"/>
        <w:spacing w:after="0"/>
        <w:tabs>
          <w:tab w:leader="none" w:pos="7400"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40"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1067" w:right="2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August 6, 2019, Clearway Energy, Inc. issued a press release announcing its financial results for the quarter ended June 30, 2019.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August 6, 2019</w:t>
              </w:r>
            </w:hyperlink>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Clearway Energy,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General Counsel and 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44411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41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Second Quarter 2019 Financial Results</w:t>
      </w:r>
    </w:p>
    <w:p>
      <w:pPr>
        <w:spacing w:after="0" w:line="2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Enhancing long term growth potential with the addition of 354 MW to the ROFO pipeline</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Announced equity commitments to repower two wind projects totaling 283 MW</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Advanced committed growth investments for Hawaii Solar Phase I and the DG Investment Partnerships</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Revising 2019 CAFD guidance due to first half 2019 renewable energy conditions and the CVSR outage</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quarterly dividend of $0.20 per share in third quarter 2019</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6, 2019 </w:t>
      </w:r>
      <w:r>
        <w:rPr>
          <w:rFonts w:ascii="Arial" w:cs="Arial" w:eastAsia="Arial" w:hAnsi="Arial"/>
          <w:sz w:val="18"/>
          <w:szCs w:val="18"/>
          <w:color w:val="auto"/>
        </w:rPr>
        <w:t>— Clearway Energy, Inc. (NYSE: CWEN, CWEN.A) today reported second quarter 2019 financial results,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$36 million, Adjusted EBITDA of $278 million, Cash from Operating Activities of $89 million, and Cash Available for Distribution (CAFD) of $68 million, which includes adjustments to reflect CAFD generated by unconsolidated investments that are unable to distribute project dividends due to the PG&amp;E bankruptcy.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the Company’s current year financial outlook having been impacted by challenging renewable resource conditions in the first half of the year and the June outage at the CVSR facility, the prospects for long term growth at Clearway Energy remain clear as GIP’s sponsorship continues to provide new accretive investment opportunities,” said Christopher Sotos, Clearway Energy, Inc.’s President and Chief Executive Officer. “With today’s announced expansion of the ROFO pipeline by 354 MW, the recently announced equity commitments to the Repowering Partnership with Clearway Group to repower 283 MW of wind projects, and the ongoing investment in the Company’s existing growth commitments, the Company is able to incrementally grow during the pendency of the PG&amp;E bankruptcy while also positioning itself for long term CAFD per share growth."</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3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6/30/19</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6/30/18</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6/30/19</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6/30/18</w:t>
            </w:r>
          </w:p>
        </w:tc>
        <w:tc>
          <w:tcPr>
            <w:tcW w:w="38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(62)</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(Loss)/Income</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0"/>
        </w:trPr>
        <w:tc>
          <w:tcPr>
            <w:tcW w:w="340" w:type="dxa"/>
            <w:vAlign w:val="bottom"/>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7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3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6/30/19</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6/30/18</w:t>
            </w: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6/30/19</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6/30/18</w:t>
            </w:r>
          </w:p>
        </w:tc>
        <w:tc>
          <w:tcPr>
            <w:tcW w:w="38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144</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191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217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302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329</w:t>
            </w:r>
          </w:p>
        </w:tc>
      </w:tr>
      <w:tr>
        <w:trPr>
          <w:trHeight w:val="27"/>
        </w:trPr>
        <w:tc>
          <w:tcPr>
            <w:tcW w:w="34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(10)</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493</w:t>
            </w:r>
          </w:p>
        </w:tc>
      </w:tr>
      <w:tr>
        <w:trPr>
          <w:trHeight w:val="20"/>
        </w:trPr>
        <w:tc>
          <w:tcPr>
            <w:tcW w:w="340" w:type="dxa"/>
            <w:vAlign w:val="bottom"/>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i w:val="1"/>
                <w:iCs w:val="1"/>
                <w:color w:val="auto"/>
              </w:rPr>
              <w:t>($ millions)</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6/30/19</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6/30/18</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6/30/19</w:t>
            </w:r>
          </w:p>
        </w:tc>
        <w:tc>
          <w:tcPr>
            <w:tcW w:w="120" w:type="dxa"/>
            <w:vAlign w:val="bottom"/>
          </w:tcPr>
          <w:p>
            <w:pPr>
              <w:spacing w:after="0"/>
              <w:rPr>
                <w:sz w:val="23"/>
                <w:szCs w:val="23"/>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6/30/18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from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64"/>
        </w:trPr>
        <w:tc>
          <w:tcPr>
            <w:tcW w:w="5500" w:type="dxa"/>
            <w:vAlign w:val="bottom"/>
            <w:tcBorders>
              <w:top w:val="single" w:sz="8" w:color="auto"/>
              <w:bottom w:val="single" w:sz="8" w:color="auto"/>
            </w:tcBorders>
          </w:tcPr>
          <w:p>
            <w:pPr>
              <w:ind w:left="40"/>
              <w:spacing w:after="0" w:line="264" w:lineRule="exact"/>
              <w:rPr>
                <w:sz w:val="20"/>
                <w:szCs w:val="20"/>
                <w:color w:val="auto"/>
              </w:rPr>
            </w:pPr>
            <w:r>
              <w:rPr>
                <w:rFonts w:ascii="Arial" w:cs="Arial" w:eastAsia="Arial" w:hAnsi="Arial"/>
                <w:sz w:val="18"/>
                <w:szCs w:val="18"/>
                <w:color w:val="auto"/>
              </w:rPr>
              <w:t>Cash Available for Distribution (CAFD)</w:t>
            </w:r>
            <w:r>
              <w:rPr>
                <w:rFonts w:ascii="Arial" w:cs="Arial" w:eastAsia="Arial" w:hAnsi="Arial"/>
                <w:sz w:val="25"/>
                <w:szCs w:val="25"/>
                <w:color w:val="auto"/>
                <w:vertAlign w:val="superscript"/>
              </w:rPr>
              <w:t>1</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second quarter of 2019, the Company reported a Net Loss of $36 million, Adjusted EBITDA of $278 million, Cash from Operating Activities of $89 million, and CAFD of $68 million, which includes adjustments to reflect CAFD generated by unconsolidated investments that are unable to distribute project dividends due to the PG&amp;E bankruptcy. Net Income was lower than the second quarter of 2018 due to non-cash changes in the fair value of interest rate swaps, a non-cash asset impairment charge in the Thermal segment, weaker renewable energy conditions, and the June outage at the CVSR facility. Adjusted EBITDA results were lower than 2018 primarily due to weaker renewable energy conditions and the CVSR outage, but partially offset by the contribution of growth investments. In the second quarter, CAFD results were lower than 2018 primarily due to lower Adjusted EBITDA and the expiration of network upgrade reimbursements.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40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30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1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6/30/19</w:t>
            </w:r>
          </w:p>
        </w:tc>
        <w:tc>
          <w:tcPr>
            <w:tcW w:w="12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6/30/18</w:t>
            </w:r>
          </w:p>
        </w:tc>
        <w:tc>
          <w:tcPr>
            <w:tcW w:w="120" w:type="dxa"/>
            <w:vAlign w:val="bottom"/>
          </w:tcPr>
          <w:p>
            <w:pPr>
              <w:spacing w:after="0"/>
              <w:rPr>
                <w:sz w:val="23"/>
                <w:szCs w:val="23"/>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6/30/19</w:t>
            </w:r>
          </w:p>
        </w:tc>
        <w:tc>
          <w:tcPr>
            <w:tcW w:w="120" w:type="dxa"/>
            <w:vAlign w:val="bottom"/>
          </w:tcPr>
          <w:p>
            <w:pPr>
              <w:spacing w:after="0"/>
              <w:rPr>
                <w:sz w:val="23"/>
                <w:szCs w:val="23"/>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6/30/18</w:t>
            </w:r>
          </w:p>
        </w:tc>
      </w:tr>
      <w:tr>
        <w:trPr>
          <w:trHeight w:val="27"/>
        </w:trPr>
        <w:tc>
          <w:tcPr>
            <w:tcW w:w="1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4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Equivalent Availability Factor (Conventional)</w:t>
            </w:r>
            <w:r>
              <w:rPr>
                <w:rFonts w:ascii="Arial" w:cs="Arial" w:eastAsia="Arial" w:hAnsi="Arial"/>
                <w:sz w:val="25"/>
                <w:szCs w:val="25"/>
                <w:color w:val="auto"/>
                <w:vertAlign w:val="superscript"/>
              </w:rPr>
              <w:t>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70"/>
        </w:trPr>
        <w:tc>
          <w:tcPr>
            <w:tcW w:w="160" w:type="dxa"/>
            <w:vAlign w:val="bottom"/>
          </w:tcPr>
          <w:p>
            <w:pPr>
              <w:spacing w:after="0"/>
              <w:rPr>
                <w:sz w:val="23"/>
                <w:szCs w:val="23"/>
                <w:color w:val="auto"/>
              </w:rPr>
            </w:pPr>
          </w:p>
        </w:tc>
        <w:tc>
          <w:tcPr>
            <w:tcW w:w="44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Renewables Generation Sold (MWh)</w:t>
            </w:r>
            <w:r>
              <w:rPr>
                <w:rFonts w:ascii="Arial" w:cs="Arial" w:eastAsia="Arial" w:hAnsi="Arial"/>
                <w:sz w:val="25"/>
                <w:szCs w:val="25"/>
                <w:color w:val="auto"/>
                <w:vertAlign w:val="superscript"/>
              </w:rPr>
              <w:t>3</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3"/>
                <w:szCs w:val="23"/>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23"/>
                <w:szCs w:val="23"/>
                <w:color w:val="auto"/>
              </w:rPr>
            </w:pP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3,924</w:t>
            </w:r>
          </w:p>
        </w:tc>
      </w:tr>
      <w:tr>
        <w:trPr>
          <w:trHeight w:val="250"/>
        </w:trPr>
        <w:tc>
          <w:tcPr>
            <w:tcW w:w="1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1,097</w:t>
            </w:r>
          </w:p>
        </w:tc>
      </w:tr>
      <w:tr>
        <w:trPr>
          <w:trHeight w:val="20"/>
        </w:trPr>
        <w:tc>
          <w:tcPr>
            <w:tcW w:w="1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second quarter of 2019, availability at the Conventional segment was in line with operational targets but lower than second quarter of 2018 due to the timing of spring outages. Generation in the Renewables segment during the quarter was below median expectations and 16% lower than the second quarter of 2018 due to weak solar and wind conditions across the portfolio and the impact from the previously disclosed outage in June at the Company's CVSR facility.</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5, 2019 a fire occurred at the CVSR facility impacting approximately 1,200 acres of property. While the fire did not impact solar arrays, damage occurred to associated infrastructure including distribution poles and cabling. The facility was restored to full operations on July 1, 2019. The full year cash impact of the fire is estimated to be approximately $9 million, which assumes insurance recovery for associated repair work by the end of the year.</w:t>
      </w: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4"/>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160" w:type="dxa"/>
            <w:vAlign w:val="bottom"/>
          </w:tcPr>
          <w:p>
            <w:pPr>
              <w:spacing w:after="0"/>
              <w:rPr>
                <w:sz w:val="24"/>
                <w:szCs w:val="24"/>
                <w:color w:val="auto"/>
              </w:rPr>
            </w:pPr>
          </w:p>
        </w:tc>
        <w:tc>
          <w:tcPr>
            <w:tcW w:w="7240" w:type="dxa"/>
            <w:vAlign w:val="bottom"/>
            <w:gridSpan w:val="3"/>
          </w:tcPr>
          <w:p>
            <w:pPr>
              <w:ind w:left="20"/>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4"/>
                <w:szCs w:val="24"/>
                <w:color w:val="auto"/>
              </w:rPr>
            </w:pPr>
          </w:p>
        </w:tc>
        <w:tc>
          <w:tcPr>
            <w:tcW w:w="1020" w:type="dxa"/>
            <w:vAlign w:val="bottom"/>
          </w:tcPr>
          <w:p>
            <w:pPr>
              <w:jc w:val="right"/>
              <w:ind w:right="258"/>
              <w:spacing w:after="0"/>
              <w:rPr>
                <w:sz w:val="20"/>
                <w:szCs w:val="20"/>
                <w:color w:val="auto"/>
              </w:rPr>
            </w:pPr>
            <w:r>
              <w:rPr>
                <w:rFonts w:ascii="Arial" w:cs="Arial" w:eastAsia="Arial" w:hAnsi="Arial"/>
                <w:sz w:val="18"/>
                <w:szCs w:val="18"/>
                <w:b w:val="1"/>
                <w:bCs w:val="1"/>
                <w:color w:val="auto"/>
              </w:rPr>
              <w:t>6/30/19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58"/>
              <w:spacing w:after="0"/>
              <w:rPr>
                <w:sz w:val="20"/>
                <w:szCs w:val="20"/>
                <w:color w:val="auto"/>
              </w:rPr>
            </w:pPr>
            <w:r>
              <w:rPr>
                <w:rFonts w:ascii="Arial" w:cs="Arial" w:eastAsia="Arial" w:hAnsi="Arial"/>
                <w:sz w:val="18"/>
                <w:szCs w:val="18"/>
                <w:b w:val="1"/>
                <w:bCs w:val="1"/>
                <w:color w:val="auto"/>
              </w:rPr>
              <w:t>3/31/19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98"/>
              <w:spacing w:after="0"/>
              <w:rPr>
                <w:sz w:val="20"/>
                <w:szCs w:val="20"/>
                <w:color w:val="auto"/>
              </w:rPr>
            </w:pPr>
            <w:r>
              <w:rPr>
                <w:rFonts w:ascii="Arial" w:cs="Arial" w:eastAsia="Arial" w:hAnsi="Arial"/>
                <w:sz w:val="18"/>
                <w:szCs w:val="18"/>
                <w:b w:val="1"/>
                <w:bCs w:val="1"/>
                <w:color w:val="auto"/>
              </w:rPr>
              <w:t>12/31/18</w:t>
            </w:r>
          </w:p>
        </w:tc>
      </w:tr>
      <w:tr>
        <w:trPr>
          <w:trHeight w:val="27"/>
        </w:trPr>
        <w:tc>
          <w:tcPr>
            <w:tcW w:w="16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160" w:type="dxa"/>
            <w:vAlign w:val="bottom"/>
          </w:tcPr>
          <w:p>
            <w:pPr>
              <w:spacing w:after="0"/>
              <w:rPr>
                <w:sz w:val="20"/>
                <w:szCs w:val="20"/>
                <w:color w:val="auto"/>
              </w:rPr>
            </w:pPr>
          </w:p>
        </w:tc>
        <w:tc>
          <w:tcPr>
            <w:tcW w:w="7240" w:type="dxa"/>
            <w:vAlign w:val="bottom"/>
            <w:gridSpan w:val="3"/>
          </w:tcPr>
          <w:p>
            <w:pPr>
              <w:ind w:left="26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298</w:t>
            </w:r>
          </w:p>
        </w:tc>
      </w:tr>
      <w:tr>
        <w:trPr>
          <w:trHeight w:val="33"/>
        </w:trPr>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r>
      <w:tr>
        <w:trPr>
          <w:trHeight w:val="224"/>
        </w:trPr>
        <w:tc>
          <w:tcPr>
            <w:tcW w:w="16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1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160" w:type="dxa"/>
            <w:vAlign w:val="bottom"/>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rPr>
              <w:t>Operating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w:t>
            </w:r>
          </w:p>
        </w:tc>
      </w:tr>
      <w:tr>
        <w:trPr>
          <w:trHeight w:val="237"/>
        </w:trPr>
        <w:tc>
          <w:tcPr>
            <w:tcW w:w="160" w:type="dxa"/>
            <w:vAlign w:val="bottom"/>
          </w:tcPr>
          <w:p>
            <w:pPr>
              <w:spacing w:after="0"/>
              <w:rPr>
                <w:sz w:val="20"/>
                <w:szCs w:val="20"/>
                <w:color w:val="auto"/>
              </w:rPr>
            </w:pPr>
          </w:p>
        </w:tc>
        <w:tc>
          <w:tcPr>
            <w:tcW w:w="7240" w:type="dxa"/>
            <w:vAlign w:val="bottom"/>
            <w:gridSpan w:val="3"/>
          </w:tcPr>
          <w:p>
            <w:pPr>
              <w:ind w:left="26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92</w:t>
            </w:r>
          </w:p>
        </w:tc>
      </w:tr>
      <w:tr>
        <w:trPr>
          <w:trHeight w:val="33"/>
        </w:trPr>
        <w:tc>
          <w:tcPr>
            <w:tcW w:w="160" w:type="dxa"/>
            <w:vAlign w:val="bottom"/>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160" w:type="dxa"/>
            <w:vAlign w:val="bottom"/>
          </w:tcPr>
          <w:p>
            <w:pPr>
              <w:spacing w:after="0"/>
              <w:rPr>
                <w:sz w:val="20"/>
                <w:szCs w:val="20"/>
                <w:color w:val="auto"/>
              </w:rPr>
            </w:pPr>
          </w:p>
        </w:tc>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583</w:t>
            </w:r>
          </w:p>
        </w:tc>
      </w:tr>
      <w:tr>
        <w:trPr>
          <w:trHeight w:val="237"/>
        </w:trPr>
        <w:tc>
          <w:tcPr>
            <w:tcW w:w="160" w:type="dxa"/>
            <w:vAlign w:val="bottom"/>
          </w:tcPr>
          <w:p>
            <w:pPr>
              <w:spacing w:after="0"/>
              <w:rPr>
                <w:sz w:val="20"/>
                <w:szCs w:val="20"/>
                <w:color w:val="auto"/>
              </w:rPr>
            </w:pPr>
          </w:p>
        </w:tc>
        <w:tc>
          <w:tcPr>
            <w:tcW w:w="7240" w:type="dxa"/>
            <w:vAlign w:val="bottom"/>
            <w:gridSpan w:val="3"/>
          </w:tcPr>
          <w:p>
            <w:pPr>
              <w:ind w:left="20"/>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454</w:t>
            </w:r>
          </w:p>
        </w:tc>
      </w:tr>
      <w:tr>
        <w:trPr>
          <w:trHeight w:val="33"/>
        </w:trPr>
        <w:tc>
          <w:tcPr>
            <w:tcW w:w="160" w:type="dxa"/>
            <w:vAlign w:val="bottom"/>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160" w:type="dxa"/>
            <w:vAlign w:val="bottom"/>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1,037</w:t>
            </w:r>
          </w:p>
        </w:tc>
      </w:tr>
      <w:tr>
        <w:trPr>
          <w:trHeight w:val="20"/>
        </w:trPr>
        <w:tc>
          <w:tcPr>
            <w:tcW w:w="16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8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Includes adjustments to reflect CAFD generated by unconsolidated investments that are unable to distribute project dividends due to the PG&amp;E bankruptcy</w:t>
      </w:r>
    </w:p>
    <w:p>
      <w:pPr>
        <w:spacing w:after="0" w:line="18"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Excludes unconsolidated projects</w:t>
      </w:r>
    </w:p>
    <w:p>
      <w:pPr>
        <w:spacing w:after="0" w:line="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Generation sold excludes MWh that are reimbursable for economic curtailment</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Total liquidity as of June 30, 2019 was $746 million, $291 million lower than as of December 31, 2018. This reduction was primarily due to the repayment, with cash on hand, of $220 million in outstanding 2019 Convertible Notes, $19 million for the buyout of the Wind TE HoldCo tax equity partnership in January 2019, and $27 million for growth investments, including Duquesne, Mylan, Hawaii Solar Phase I, and ongoing contributions to the DG Investment Partnerships. Borrowing capacity under the revolving credit facility was reduced by $4 million due to the issuance of corporate letters of credit.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31F20"/>
        </w:rPr>
        <w:t xml:space="preserve">The Company's liquidity includes $203 million of restricted cash balances as of June 30, 2019. Restricted cash consists primarily of funds to satisfy the requirements of certain debt arrangements and funds held within the Company's projects that are restricted in their use. As </w:t>
      </w:r>
      <w:r>
        <w:rPr>
          <w:rFonts w:ascii="Arial" w:cs="Arial" w:eastAsia="Arial" w:hAnsi="Arial"/>
          <w:sz w:val="17"/>
          <w:szCs w:val="17"/>
          <w:color w:val="000000"/>
        </w:rPr>
        <w:t>of June 30, 2019, these restricted</w:t>
      </w:r>
      <w:r>
        <w:rPr>
          <w:rFonts w:ascii="Arial" w:cs="Arial" w:eastAsia="Arial" w:hAnsi="Arial"/>
          <w:sz w:val="17"/>
          <w:szCs w:val="17"/>
          <w:color w:val="231F20"/>
        </w:rPr>
        <w:t xml:space="preserve"> </w:t>
      </w:r>
      <w:r>
        <w:rPr>
          <w:rFonts w:ascii="Arial" w:cs="Arial" w:eastAsia="Arial" w:hAnsi="Arial"/>
          <w:sz w:val="17"/>
          <w:szCs w:val="17"/>
          <w:color w:val="000000"/>
        </w:rPr>
        <w:t>funds were comprised of $60 million designated to fund operating expenses, approximately $45 million designated for current debt service payments, and $42 million of reserves for debt service, performance obligations and other items including capital expenditures. The remaining $56 million is held in distribution accounts, of which $36 million related to subsidiaries affected by the PG&amp;E bankruptcy.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the existing ATM program, of which $36 million remained available as of August 6, 2019, availability under the revolving credit facility, and, subject to market conditions, new corporate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PG&amp;E Bankruptcy Update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August 5, 2019, the Company’s contracts with PG&amp;E have operated in the normal course and the Company currently expects these contracts to continue as such. However, unless such lenders for the related project-level debt otherwise agree, distributions to the Company from these projects may not be made during the pendency of the bankruptcy. These restrictions, therefore, have resulted in the Company accumulating less unrestricted cash and thus decreased the Company’s corporate liquidity and cash available for shareholder dividends and growth investments. The Company has entered into forbearance agreements for certain project-level financing arrangements and continues to seek similar agreements with the lenders for the remaining project-level financing arrangements affected by the PG&amp;E bankruptcy. The Company continues to assess the potential future impacts of the PG&amp;E bankruptcy filing as events occur.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Group ROFO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Additions to the Pipeline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 2019, the Company entered into a Second Amendment to the Right of First Offer Agreement with Clearway Group. The following projects were added to the Company's ROFO pipeline:</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Net Capacity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Project Type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(MW)</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Expected COD</w:t>
            </w:r>
          </w:p>
        </w:tc>
      </w:tr>
      <w:tr>
        <w:trPr>
          <w:trHeight w:val="27"/>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Rattlesnake</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Utility Wind</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WA</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Black Rock</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rPr>
              <w:t>Utility Wind</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00" w:type="dxa"/>
            <w:vAlign w:val="bottom"/>
          </w:tcPr>
          <w:p>
            <w:pPr>
              <w:spacing w:after="0"/>
              <w:rPr>
                <w:sz w:val="21"/>
                <w:szCs w:val="21"/>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rPr>
              <w:t>WV</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27"/>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Wildflower</w:t>
            </w:r>
          </w:p>
        </w:tc>
        <w:tc>
          <w:tcPr>
            <w:tcW w:w="1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Utility Solar</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MS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Repowering 2.0</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Repowering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TBD</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TBD</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TBD</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 Down Offer</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2019, Clearway Group offered the Company the opportunity to purchase 100% of CEG's interests in Mesquite Star Pledgor LLC, which owns the Mesquite Star wind project, a 419 MW utility scale wind facility expected to reach COD in 2020. On August 1, 2019, Clearway Group and the Company agreed to extend the negotiation period for the Mesquite Star project. The acquisition is subject to negotiation and approval by the Company's Independent Directors.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Commitments in Repowering 1.0 Partnership</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32" w:lineRule="auto"/>
        <w:rPr>
          <w:sz w:val="20"/>
          <w:szCs w:val="20"/>
          <w:color w:val="auto"/>
        </w:rPr>
      </w:pPr>
      <w:r>
        <w:rPr>
          <w:rFonts w:ascii="Arial" w:cs="Arial" w:eastAsia="Arial" w:hAnsi="Arial"/>
          <w:sz w:val="18"/>
          <w:szCs w:val="18"/>
          <w:color w:val="auto"/>
        </w:rPr>
        <w:t>On June 17, 2019 through an indirect subsidiary, the Company entered into binding equity commitment agreements in the previously announced partnership with Clearway Group to enable the repowering of two of its existing wind assets, Wildorado and Elbow Creek, which total a combined 283 MW. As part of the transaction, a subsidiary of the Company entered into a financing agreement for construction debt of $219 million. The construction financing was in part used to reduce outstanding principal at the existing Viento project financing through the removal of Wildorado from the Viento collateral package. In connection with the completion of this financing, and after taking into account the reduction in debt service in 2019 resulting from the partial repayment of the Viento financing, the Company committed to invest an estimated $111 million</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in net corporate capital to fund the repowering of the wind facilities, subject to closing adjustments. The transaction is expected to contribute incremental asset CAFD on an average annual basis of approximately $12 million beginning in 2020</w:t>
      </w:r>
      <w:r>
        <w:rPr>
          <w:rFonts w:ascii="Arial" w:cs="Arial" w:eastAsia="Arial" w:hAnsi="Arial"/>
          <w:sz w:val="25"/>
          <w:szCs w:val="25"/>
          <w:color w:val="auto"/>
          <w:vertAlign w:val="superscript"/>
        </w:rPr>
        <w:t>5</w:t>
      </w:r>
      <w:r>
        <w:rPr>
          <w:rFonts w:ascii="Arial" w:cs="Arial" w:eastAsia="Arial" w:hAnsi="Arial"/>
          <w:sz w:val="18"/>
          <w:szCs w:val="18"/>
          <w:color w:val="auto"/>
        </w:rPr>
        <w:t>, which reflects the improved operational profile of the projects and the impact from the new tax equity capital structure employed at the partnership.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Hawaii Solar Phase I ROFO Acquisition Update</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second quarter of 2019, the Company made an incremental corporate capital contribution of $2 million toward the previously disclosed Hawaii Solar Phase I ROFO Acquisition. In aggregate, the Hawaii Solar Phase I ROFO Acquisition totals approximately 80 MW of utility-scale solar projects located in Kawailoa and Oahu, Hawaii and is being purchased from Clearway Group for a total cash consideration of approximately $29 million (of which $23 million remains to be funded as of June 30, 2019) plus the assumption of non-recourse debt of $169 million anticipated at transaction close. The purchase price for the Hawaii Solar Phase I projects will be funded with existing liquidity and the transaction is expected to contribute CAFD on an average annual basis of approximately $2.6 million</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beginning in 2020. The projects are expected to be completed in the fourth quarter of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DG Investment Partnerships with Clearway Group</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During the second quarter of 2019, the Company invested approximately $6 million in the DG investment partnerships with Clearway Group, bringing total capital invested to $252 million</w:t>
      </w:r>
      <w:r>
        <w:rPr>
          <w:rFonts w:ascii="Arial" w:cs="Arial" w:eastAsia="Arial" w:hAnsi="Arial"/>
          <w:sz w:val="24"/>
          <w:szCs w:val="24"/>
          <w:color w:val="auto"/>
          <w:vertAlign w:val="superscript"/>
        </w:rPr>
        <w:t>7</w:t>
      </w:r>
      <w:r>
        <w:rPr>
          <w:rFonts w:ascii="Arial" w:cs="Arial" w:eastAsia="Arial" w:hAnsi="Arial"/>
          <w:sz w:val="17"/>
          <w:szCs w:val="17"/>
          <w:color w:val="auto"/>
        </w:rPr>
        <w:t xml:space="preserve"> in these investment partnerships. As of June 30, 2019, through the existing partnership agreements, the Company owns approximately 253 MW</w:t>
      </w:r>
      <w:r>
        <w:rPr>
          <w:rFonts w:ascii="Arial" w:cs="Arial" w:eastAsia="Arial" w:hAnsi="Arial"/>
          <w:sz w:val="24"/>
          <w:szCs w:val="24"/>
          <w:color w:val="auto"/>
          <w:vertAlign w:val="superscript"/>
        </w:rPr>
        <w:t>8</w:t>
      </w:r>
      <w:r>
        <w:rPr>
          <w:rFonts w:ascii="Arial" w:cs="Arial" w:eastAsia="Arial" w:hAnsi="Arial"/>
          <w:sz w:val="17"/>
          <w:szCs w:val="17"/>
          <w:color w:val="auto"/>
        </w:rPr>
        <w:t xml:space="preserve"> of distributed and community solar capacity with a weighted average contract life by CAFD of approximately 19 years.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Viento Repayment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14, 2019, and in connection with the Repowering 1.0 Partnership, proceeds from the construction debt were utilized to repay $109 million for the outstanding balance, including accrued interest, under the Viento non-recourse project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Trent Wind Refinancing</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June 14, 2019, the Company, through South Trent Wind LLC, refinanced $49 million of non-recourse debt due 2020 by issuing $46 million of new non-recourse financing due 2028 at an interest rate of LIBOR plus 1.350%. In conjunction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refinancing, the Company invested $3 million of additional cash into the project, net of fees and financing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 2019, Clearway Energy, Inc.’s Board of Directors declared a quarterly dividend on Class A and Class C common stock of $0.20 per share payable on September 17, 2019, to stockholders of record as of September 3, 2019. The Company will continue to assess the level of the dividend pending developments in the PG&amp;E Bankruptcy, including the Company's ability to receive unrestricted project distributions.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Subject to closing adjustments; Per terms of the partnership agreement, the Company’s asset level CAFD yield will be no lower than 11% at closing on a 5-year average basis</w:t>
      </w:r>
    </w:p>
    <w:p>
      <w:pPr>
        <w:spacing w:after="0" w:line="59" w:lineRule="exact"/>
        <w:rPr>
          <w:rFonts w:ascii="Arial" w:cs="Arial" w:eastAsia="Arial" w:hAnsi="Arial"/>
          <w:sz w:val="25"/>
          <w:szCs w:val="25"/>
          <w:color w:val="auto"/>
          <w:vertAlign w:val="superscript"/>
        </w:rPr>
      </w:pPr>
    </w:p>
    <w:p>
      <w:pPr>
        <w:ind w:right="3900"/>
        <w:spacing w:after="0" w:line="19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4"/>
          <w:szCs w:val="14"/>
          <w:color w:val="auto"/>
        </w:rPr>
        <w:t xml:space="preserve"> CAFD average over the 5-year period from 2020-2024 and is based on the currently estimated net corporate capital commitment </w:t>
      </w:r>
      <w:r>
        <w:rPr>
          <w:rFonts w:ascii="Arial" w:cs="Arial" w:eastAsia="Arial" w:hAnsi="Arial"/>
          <w:sz w:val="25"/>
          <w:szCs w:val="25"/>
          <w:color w:val="auto"/>
          <w:vertAlign w:val="superscript"/>
        </w:rPr>
        <w:t>6</w:t>
      </w:r>
      <w:r>
        <w:rPr>
          <w:rFonts w:ascii="Arial" w:cs="Arial" w:eastAsia="Arial" w:hAnsi="Arial"/>
          <w:sz w:val="14"/>
          <w:szCs w:val="14"/>
          <w:color w:val="auto"/>
        </w:rPr>
        <w:t xml:space="preserve"> 5 Year Average over the period 2020-2024</w:t>
      </w:r>
    </w:p>
    <w:p>
      <w:pPr>
        <w:spacing w:after="0" w:line="1" w:lineRule="exact"/>
        <w:rPr>
          <w:rFonts w:ascii="Arial" w:cs="Arial" w:eastAsia="Arial" w:hAnsi="Arial"/>
          <w:sz w:val="25"/>
          <w:szCs w:val="25"/>
          <w:color w:val="auto"/>
          <w:vertAlign w:val="superscript"/>
        </w:rPr>
      </w:pPr>
    </w:p>
    <w:p>
      <w:pPr>
        <w:spacing w:after="0" w:line="19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7</w:t>
      </w:r>
      <w:r>
        <w:rPr>
          <w:rFonts w:ascii="Arial" w:cs="Arial" w:eastAsia="Arial" w:hAnsi="Arial"/>
          <w:sz w:val="14"/>
          <w:szCs w:val="14"/>
          <w:color w:val="auto"/>
        </w:rPr>
        <w:t xml:space="preserve"> Excludes $26 million for 14 MW of residential solar leases acquired outside of partnerships</w:t>
      </w:r>
    </w:p>
    <w:p>
      <w:pPr>
        <w:spacing w:after="0" w:line="234"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8</w:t>
      </w:r>
      <w:r>
        <w:rPr>
          <w:rFonts w:ascii="Arial" w:cs="Arial" w:eastAsia="Arial" w:hAnsi="Arial"/>
          <w:sz w:val="14"/>
          <w:szCs w:val="14"/>
          <w:color w:val="auto"/>
        </w:rPr>
        <w:t xml:space="preserve"> Based on cash to be distributed; excludes 14 MW of residential solar leases acquired outside of partnership</w:t>
      </w:r>
    </w:p>
    <w:p>
      <w:pPr>
        <w:spacing w:after="0" w:line="14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6"/>
          <w:szCs w:val="16"/>
          <w:color w:val="auto"/>
        </w:rPr>
        <w:t>Clearway Energy, Inc.’s quarterly operating results are impacted by seasonal factors, as well as variability in renewable energy resources.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4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distributions from or generated by unconsolidated affiliates impacted by the PG&amp;E bankruptcy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Guidance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is reducing its 2019 full year CAFD guidance to $250 million to account for the previously disclosed impact of the CVSR outage in June and year to date renewable resource performance. This financial guidance assumes that all CAFD related to the projects impacted by the PG&amp;E Bankruptcy is realized in 2019 and Mylan and Hawaii Solar Phase I achieve target commercial operational dates. Financial guidance for 2019 also continues to be based on median renewable energy production estimates for the remainder of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6, 2019,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successfully transition services previously provided by NRG,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Clearway Energy, Inc. undertakes no obligation to update or revise any forward-looking statements, whether as a result of new information, future events or otherwise. The Adjusted EBITDA and Cash Available for Distribution are estimates as of today’s date, August 6, 2019,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8"/>
          <w:szCs w:val="18"/>
          <w:b w:val="1"/>
          <w:bCs w:val="1"/>
          <w:color w:val="auto"/>
        </w:rPr>
        <w:t>Media:</w:t>
      </w:r>
    </w:p>
    <w:p>
      <w:pPr>
        <w:spacing w:after="0" w:line="2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660"/>
        <w:spacing w:after="0"/>
        <w:tabs>
          <w:tab w:leader="none" w:pos="3700" w:val="left"/>
        </w:tabs>
        <w:rPr>
          <w:sz w:val="20"/>
          <w:szCs w:val="20"/>
          <w:color w:val="auto"/>
        </w:rPr>
      </w:pPr>
      <w:r>
        <w:rPr>
          <w:rFonts w:ascii="Arial" w:cs="Arial" w:eastAsia="Arial" w:hAnsi="Arial"/>
          <w:sz w:val="18"/>
          <w:szCs w:val="18"/>
          <w:color w:val="auto"/>
        </w:rPr>
        <w:t>investor.relations@clearwayenergy.com</w:t>
      </w:r>
      <w:r>
        <w:rPr>
          <w:sz w:val="20"/>
          <w:szCs w:val="20"/>
          <w:color w:val="auto"/>
        </w:rPr>
        <w:tab/>
      </w:r>
      <w:r>
        <w:rPr>
          <w:rFonts w:ascii="Arial" w:cs="Arial" w:eastAsia="Arial" w:hAnsi="Arial"/>
          <w:sz w:val="16"/>
          <w:szCs w:val="16"/>
          <w:color w:val="auto"/>
        </w:rPr>
        <w:t>media@clearwayenergy.com</w:t>
      </w:r>
    </w:p>
    <w:p>
      <w:pPr>
        <w:spacing w:after="0" w:line="9"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Impairment losses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Transaction and integration costs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Development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3"/>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(Loss) Income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w w:val="94"/>
              </w:rPr>
              <w:t>Net Loss (Income) Excluding Pre-acquisition Net Income of Drop Down Assets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(Loss)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Net (Loss) Income Attributable to Clearway Energy,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66"/>
        </w:trPr>
        <w:tc>
          <w:tcPr>
            <w:tcW w:w="6060" w:type="dxa"/>
            <w:vAlign w:val="bottom"/>
            <w:gridSpan w:val="3"/>
            <w:shd w:val="clear" w:color="auto" w:fill="CCEEFF"/>
          </w:tcPr>
          <w:p>
            <w:pPr>
              <w:ind w:left="40"/>
              <w:spacing w:after="0" w:line="166" w:lineRule="exact"/>
              <w:rPr>
                <w:sz w:val="20"/>
                <w:szCs w:val="20"/>
                <w:color w:val="auto"/>
              </w:rPr>
            </w:pPr>
            <w:r>
              <w:rPr>
                <w:rFonts w:ascii="Arial" w:cs="Arial" w:eastAsia="Arial" w:hAnsi="Arial"/>
                <w:sz w:val="17"/>
                <w:szCs w:val="17"/>
                <w:b w:val="1"/>
                <w:bCs w:val="1"/>
                <w:color w:val="auto"/>
                <w:w w:val="94"/>
              </w:rPr>
              <w:t>(Losses) Earnings Per Share Attributable to Clearway Energy, Inc. Class A and</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Class C Common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60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2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6"/>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w w:val="93"/>
              </w:rPr>
              <w:t>(Losses) Earnings per Weighted Average Class A and Class C Common Share -</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73"/>
        </w:trPr>
        <w:tc>
          <w:tcPr>
            <w:tcW w:w="40" w:type="dxa"/>
            <w:vAlign w:val="bottom"/>
            <w:tcBorders>
              <w:bottom w:val="single" w:sz="8" w:color="CCEEFF"/>
            </w:tcBorders>
          </w:tcPr>
          <w:p>
            <w:pPr>
              <w:spacing w:after="0"/>
              <w:rPr>
                <w:sz w:val="23"/>
                <w:szCs w:val="23"/>
                <w:color w:val="auto"/>
              </w:rPr>
            </w:pPr>
          </w:p>
        </w:tc>
        <w:tc>
          <w:tcPr>
            <w:tcW w:w="602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b w:val="1"/>
                <w:bCs w:val="1"/>
                <w:color w:val="auto"/>
              </w:rPr>
              <w:t>Basic</w:t>
            </w:r>
          </w:p>
        </w:tc>
        <w:tc>
          <w:tcPr>
            <w:tcW w:w="260" w:type="dxa"/>
            <w:vAlign w:val="bottom"/>
            <w:tcBorders>
              <w:bottom w:val="single" w:sz="8" w:color="auto"/>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w w:val="99"/>
              </w:rPr>
              <w:t>(Losses) Earnings per Weighted Average Class A Common Share - Diluted</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w w:val="99"/>
              </w:rPr>
              <w:t>(Losses) Earnings per Weighted Average Class C Common Share - Diluted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gridSpan w:val="3"/>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216"/>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Net (Loss)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 Gain</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Unrealized gain on derivatives, net of income tax benefit of $0, $0, $0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Less: Comprehensive (loss)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jc w:val="center"/>
        <w:ind w:right="4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4"/>
                <w:szCs w:val="14"/>
                <w:color w:val="auto"/>
              </w:rPr>
            </w:pPr>
          </w:p>
        </w:tc>
        <w:tc>
          <w:tcPr>
            <w:tcW w:w="1500" w:type="dxa"/>
            <w:vAlign w:val="bottom"/>
          </w:tcPr>
          <w:p>
            <w:pPr>
              <w:jc w:val="right"/>
              <w:ind w:right="17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36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3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Right of 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shd w:val="clear" w:color="auto" w:fill="CCEEFF"/>
          </w:tcPr>
          <w:p>
            <w:pPr>
              <w:spacing w:after="0"/>
              <w:rPr>
                <w:sz w:val="24"/>
                <w:szCs w:val="24"/>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shd w:val="clear" w:color="auto" w:fill="CCEEFF"/>
          </w:tcPr>
          <w:p>
            <w:pPr>
              <w:spacing w:after="0"/>
              <w:rPr>
                <w:sz w:val="8"/>
                <w:szCs w:val="8"/>
                <w:color w:val="auto"/>
              </w:rPr>
            </w:pPr>
          </w:p>
        </w:tc>
        <w:tc>
          <w:tcPr>
            <w:tcW w:w="53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4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5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w w:val="91"/>
              </w:rPr>
              <w:t>Class A, Class B, Class C and Class D common stock, $0.01 par value; 3,000,000,000 shares authorized</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(Class A 500,000,000, Class B 500,000,000, Class C 1,000,000,000, Class D 1,000,000,000);</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193,402,886 shares issued and outstanding (Class A 34,599,645, Class B 42,738,750, Class C</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w w:val="90"/>
              </w:rPr>
              <w:t>73,325,741, Class D 42,738,750) at June 30, 2019 and 193,251,396 shares issued and outstanding (Class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w w:val="96"/>
              </w:rPr>
              <w:t>A 34,586,250, Class B 42,738,750, Class C 73,187,646, Class D 42,738,750) at December 31, 2018</w:t>
            </w:r>
          </w:p>
        </w:tc>
        <w:tc>
          <w:tcPr>
            <w:tcW w:w="260" w:type="dxa"/>
            <w:vAlign w:val="bottom"/>
          </w:tcPr>
          <w:p>
            <w:pPr>
              <w:spacing w:after="0"/>
              <w:rPr>
                <w:sz w:val="17"/>
                <w:szCs w:val="17"/>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720" w:top="364" w:right="239" w:bottom="560" w:gutter="0" w:footer="0" w:header="0"/>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40"/>
          </w:cols>
          <w:pgMar w:left="720" w:top="364" w:right="239" w:bottom="560" w:gutter="0" w:footer="0" w:header="0"/>
          <w:type w:val="continuous"/>
        </w:sectPr>
      </w:pPr>
    </w:p>
    <w:bookmarkStart w:id="12" w:name="page13"/>
    <w:bookmarkEnd w:id="12"/>
    <w:p>
      <w:pPr>
        <w:jc w:val="center"/>
        <w:ind w:right="40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64"/>
        </w:trPr>
        <w:tc>
          <w:tcPr>
            <w:tcW w:w="80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50"/>
        </w:trPr>
        <w:tc>
          <w:tcPr>
            <w:tcW w:w="8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Right of use asset amortization</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Adjustment for debt extinguishment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losses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deferred income taxes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derivative instruments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Loss (gain) on disposal of asset components</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Partnership interests acquisition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the Drop Down Assets</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Buyout of Wind TE Holdco noncontrolling interest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8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(211)</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distributions from noncontrolling interests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(113)</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8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(285)</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(226)</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8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8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640" w:top="364" w:right="239" w:bottom="1440" w:gutter="0" w:footer="0" w:header="0"/>
        </w:sectPr>
      </w:pPr>
    </w:p>
    <w:p>
      <w:pPr>
        <w:spacing w:after="0" w:line="30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020"/>
          </w:cols>
          <w:pgMar w:left="640" w:top="364" w:right="2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Six Months Ended June 30, 2019</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5"/>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72"/>
        </w:trPr>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4"/>
                <w:szCs w:val="14"/>
                <w:color w:val="auto"/>
              </w:rPr>
            </w:pPr>
          </w:p>
        </w:tc>
        <w:tc>
          <w:tcPr>
            <w:tcW w:w="840" w:type="dxa"/>
            <w:vAlign w:val="bottom"/>
          </w:tcPr>
          <w:p>
            <w:pPr>
              <w:jc w:val="center"/>
              <w:ind w:right="49"/>
              <w:spacing w:after="0"/>
              <w:rPr>
                <w:sz w:val="20"/>
                <w:szCs w:val="20"/>
                <w:color w:val="auto"/>
              </w:rPr>
            </w:pPr>
            <w:r>
              <w:rPr>
                <w:rFonts w:ascii="Arial" w:cs="Arial" w:eastAsia="Arial" w:hAnsi="Arial"/>
                <w:sz w:val="13"/>
                <w:szCs w:val="13"/>
                <w:b w:val="1"/>
                <w:bCs w:val="1"/>
                <w:color w:val="auto"/>
                <w:w w:val="90"/>
              </w:rPr>
              <w:t>Equity</w:t>
            </w:r>
          </w:p>
        </w:tc>
      </w:tr>
      <w:tr>
        <w:trPr>
          <w:trHeight w:val="278"/>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2,224</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derivatives, net of tax</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Buyout of Wind TE Holdco noncontrolling interest</w:t>
            </w:r>
          </w:p>
        </w:tc>
        <w:tc>
          <w:tcPr>
            <w:tcW w:w="10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tax equity investors, net of</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w w:val="98"/>
              </w:rPr>
              <w:t>Contributions from CEG for Oahu Partnership, non-cash</w:t>
            </w:r>
          </w:p>
        </w:tc>
        <w:tc>
          <w:tcPr>
            <w:tcW w:w="10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w:t>
            </w:r>
          </w:p>
        </w:tc>
      </w:tr>
      <w:tr>
        <w:trPr>
          <w:trHeight w:val="27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from change in accounting principle</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dividends and distributions</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5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2,145</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derivatives, net of tax</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r>
      <w:tr>
        <w:trPr>
          <w:trHeight w:val="157"/>
        </w:trPr>
        <w:tc>
          <w:tcPr>
            <w:tcW w:w="3460" w:type="dxa"/>
            <w:vAlign w:val="bottom"/>
          </w:tcPr>
          <w:p>
            <w:pPr>
              <w:ind w:left="20"/>
              <w:spacing w:after="0" w:line="157" w:lineRule="exact"/>
              <w:rPr>
                <w:sz w:val="20"/>
                <w:szCs w:val="20"/>
                <w:color w:val="auto"/>
              </w:rPr>
            </w:pPr>
            <w:r>
              <w:rPr>
                <w:rFonts w:ascii="Arial" w:cs="Arial" w:eastAsia="Arial" w:hAnsi="Arial"/>
                <w:sz w:val="14"/>
                <w:szCs w:val="14"/>
                <w:color w:val="auto"/>
                <w:w w:val="98"/>
              </w:rPr>
              <w:t>Distributions from non-controlling interests, net of capital</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8"/>
        </w:trPr>
        <w:tc>
          <w:tcPr>
            <w:tcW w:w="3460" w:type="dxa"/>
            <w:vAlign w:val="bottom"/>
          </w:tcPr>
          <w:p>
            <w:pPr>
              <w:ind w:left="20"/>
              <w:spacing w:after="0"/>
              <w:rPr>
                <w:sz w:val="20"/>
                <w:szCs w:val="20"/>
                <w:color w:val="auto"/>
              </w:rPr>
            </w:pPr>
            <w:r>
              <w:rPr>
                <w:rFonts w:ascii="Arial" w:cs="Arial" w:eastAsia="Arial" w:hAnsi="Arial"/>
                <w:sz w:val="14"/>
                <w:szCs w:val="14"/>
                <w:color w:val="auto"/>
              </w:rPr>
              <w:t>contributions, cash</w:t>
            </w:r>
          </w:p>
        </w:tc>
        <w:tc>
          <w:tcPr>
            <w:tcW w:w="100" w:type="dxa"/>
            <w:vAlign w:val="bottom"/>
          </w:tcPr>
          <w:p>
            <w:pPr>
              <w:spacing w:after="0"/>
              <w:rPr>
                <w:sz w:val="16"/>
                <w:szCs w:val="16"/>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CEG for Kawailoa, Repowering</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Partnerships, non-cash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adjustment for change in tax basis of assets</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Common stock dividends and distributions</w:t>
            </w:r>
          </w:p>
        </w:tc>
        <w:tc>
          <w:tcPr>
            <w:tcW w:w="10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2019</w:t>
            </w: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2,054</w:t>
            </w: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40"/>
          </w:cols>
          <w:pgMar w:left="740" w:top="364" w:right="7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Six Months Ended June 30, 2018</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5"/>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0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8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74"/>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2,159</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Pre-acquisition net income of Buckthorn Solar Drop</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Down Asset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2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17</w:t>
            </w:r>
          </w:p>
        </w:tc>
      </w:tr>
      <w:tr>
        <w:trPr>
          <w:trHeight w:val="27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for the Buckthorn Solar Drop Down Asset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57"/>
        </w:trPr>
        <w:tc>
          <w:tcPr>
            <w:tcW w:w="3460" w:type="dxa"/>
            <w:vAlign w:val="bottom"/>
          </w:tcPr>
          <w:p>
            <w:pPr>
              <w:ind w:left="20"/>
              <w:spacing w:after="0" w:line="157" w:lineRule="exact"/>
              <w:rPr>
                <w:sz w:val="20"/>
                <w:szCs w:val="20"/>
                <w:color w:val="auto"/>
              </w:rPr>
            </w:pPr>
            <w:r>
              <w:rPr>
                <w:rFonts w:ascii="Arial" w:cs="Arial" w:eastAsia="Arial" w:hAnsi="Arial"/>
                <w:sz w:val="14"/>
                <w:szCs w:val="14"/>
                <w:color w:val="auto"/>
              </w:rPr>
              <w:t>Capital contributions from tax equity investors, net of</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8"/>
        </w:trPr>
        <w:tc>
          <w:tcPr>
            <w:tcW w:w="3460" w:type="dxa"/>
            <w:vAlign w:val="bottom"/>
          </w:tcPr>
          <w:p>
            <w:pPr>
              <w:ind w:left="100"/>
              <w:spacing w:after="0"/>
              <w:rPr>
                <w:sz w:val="20"/>
                <w:szCs w:val="20"/>
                <w:color w:val="auto"/>
              </w:rPr>
            </w:pPr>
            <w:r>
              <w:rPr>
                <w:rFonts w:ascii="Arial" w:cs="Arial" w:eastAsia="Arial" w:hAnsi="Arial"/>
                <w:sz w:val="14"/>
                <w:szCs w:val="14"/>
                <w:color w:val="auto"/>
              </w:rPr>
              <w:t>distributions, cash</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30</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and return of capital to NRG, net of</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cash</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10</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Non-cash adjustment for change in tax basis of property,</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plant and equipment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r>
      <w:tr>
        <w:trPr>
          <w:trHeight w:val="264"/>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dividends and distributions</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5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2,126</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96</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Pre-acquisition net income of Buckthorn Solar Drop</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Down Asset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2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tax equity investors, net of</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cash</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r>
      <w:tr>
        <w:trPr>
          <w:trHeight w:val="157"/>
        </w:trPr>
        <w:tc>
          <w:tcPr>
            <w:tcW w:w="3460" w:type="dxa"/>
            <w:vAlign w:val="bottom"/>
          </w:tcPr>
          <w:p>
            <w:pPr>
              <w:ind w:left="20"/>
              <w:spacing w:after="0" w:line="157" w:lineRule="exact"/>
              <w:rPr>
                <w:sz w:val="20"/>
                <w:szCs w:val="20"/>
                <w:color w:val="auto"/>
              </w:rPr>
            </w:pPr>
            <w:r>
              <w:rPr>
                <w:rFonts w:ascii="Arial" w:cs="Arial" w:eastAsia="Arial" w:hAnsi="Arial"/>
                <w:sz w:val="14"/>
                <w:szCs w:val="14"/>
                <w:color w:val="auto"/>
              </w:rPr>
              <w:t>Distributions and return of capital to NRG, net of</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8"/>
        </w:trPr>
        <w:tc>
          <w:tcPr>
            <w:tcW w:w="3460" w:type="dxa"/>
            <w:vAlign w:val="bottom"/>
          </w:tcPr>
          <w:p>
            <w:pPr>
              <w:ind w:left="100"/>
              <w:spacing w:after="0"/>
              <w:rPr>
                <w:sz w:val="20"/>
                <w:szCs w:val="20"/>
                <w:color w:val="auto"/>
              </w:rPr>
            </w:pPr>
            <w:r>
              <w:rPr>
                <w:rFonts w:ascii="Arial" w:cs="Arial" w:eastAsia="Arial" w:hAnsi="Arial"/>
                <w:sz w:val="14"/>
                <w:szCs w:val="14"/>
                <w:color w:val="auto"/>
              </w:rPr>
              <w:t>contributions, cash</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and return of capital to NRG, net of</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non-cash</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22"/>
                <w:szCs w:val="22"/>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w:t>
            </w:r>
          </w:p>
        </w:tc>
      </w:tr>
      <w:tr>
        <w:trPr>
          <w:trHeight w:val="157"/>
        </w:trPr>
        <w:tc>
          <w:tcPr>
            <w:tcW w:w="3460" w:type="dxa"/>
            <w:vAlign w:val="bottom"/>
          </w:tcPr>
          <w:p>
            <w:pPr>
              <w:ind w:left="20"/>
              <w:spacing w:after="0" w:line="157" w:lineRule="exact"/>
              <w:rPr>
                <w:sz w:val="20"/>
                <w:szCs w:val="20"/>
                <w:color w:val="auto"/>
              </w:rPr>
            </w:pPr>
            <w:r>
              <w:rPr>
                <w:rFonts w:ascii="Arial" w:cs="Arial" w:eastAsia="Arial" w:hAnsi="Arial"/>
                <w:sz w:val="14"/>
                <w:szCs w:val="14"/>
                <w:color w:val="auto"/>
                <w:w w:val="97"/>
              </w:rPr>
              <w:t>Non-cash adjustment for change in tax basis of property,</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8"/>
        </w:trPr>
        <w:tc>
          <w:tcPr>
            <w:tcW w:w="3460" w:type="dxa"/>
            <w:vAlign w:val="bottom"/>
          </w:tcPr>
          <w:p>
            <w:pPr>
              <w:ind w:left="100"/>
              <w:spacing w:after="0"/>
              <w:rPr>
                <w:sz w:val="20"/>
                <w:szCs w:val="20"/>
                <w:color w:val="auto"/>
              </w:rPr>
            </w:pPr>
            <w:r>
              <w:rPr>
                <w:rFonts w:ascii="Arial" w:cs="Arial" w:eastAsia="Arial" w:hAnsi="Arial"/>
                <w:sz w:val="14"/>
                <w:szCs w:val="14"/>
                <w:color w:val="auto"/>
              </w:rPr>
              <w:t>plant and equipment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63"/>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component of tendered 2020 Convertible Notes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4"/>
        </w:trPr>
        <w:tc>
          <w:tcPr>
            <w:tcW w:w="3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and 2019 Convertible Notes</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dividends and distributions</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23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2,288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40"/>
          </w:cols>
          <w:pgMar w:left="740" w:top="364" w:right="71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A-1: Three Months Ended June 30,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Thermal</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278</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June 30,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00" w:lineRule="exact"/>
        <w:rPr>
          <w:sz w:val="20"/>
          <w:szCs w:val="20"/>
          <w:color w:val="auto"/>
        </w:rPr>
      </w:pP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96</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217</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304</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76"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Appendix Table A-3: Six Months Ended June 30,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Thermal</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 to Market (MtM) Losses on Economic Hedges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469</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Six Months Ended June 30, 2018,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Adjustments to reflect CWEN’s pro-rata share of Adjusted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EBITDA from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Non-Cash Equity Compensation</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493</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9"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6/30/19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6/30/18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6/30/19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6/30/18</w:t>
            </w:r>
          </w:p>
        </w:tc>
      </w:tr>
      <w:tr>
        <w:trPr>
          <w:trHeight w:val="27"/>
        </w:trPr>
        <w:tc>
          <w:tcPr>
            <w:tcW w:w="5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r>
      <w:tr>
        <w:trPr>
          <w:trHeight w:val="237"/>
        </w:trPr>
        <w:tc>
          <w:tcPr>
            <w:tcW w:w="5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r>
      <w:tr>
        <w:trPr>
          <w:trHeight w:val="27"/>
        </w:trPr>
        <w:tc>
          <w:tcPr>
            <w:tcW w:w="5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380" w:type="dxa"/>
            <w:vAlign w:val="bottom"/>
          </w:tcPr>
          <w:p>
            <w:pPr>
              <w:ind w:left="140"/>
              <w:spacing w:after="0" w:line="270" w:lineRule="exact"/>
              <w:rPr>
                <w:sz w:val="20"/>
                <w:szCs w:val="20"/>
                <w:color w:val="auto"/>
              </w:rPr>
            </w:pPr>
            <w:r>
              <w:rPr>
                <w:rFonts w:ascii="Arial" w:cs="Arial" w:eastAsia="Arial" w:hAnsi="Arial"/>
                <w:sz w:val="18"/>
                <w:szCs w:val="18"/>
                <w:color w:val="auto"/>
              </w:rPr>
              <w:t>Development Expenses</w:t>
            </w:r>
            <w:r>
              <w:rPr>
                <w:rFonts w:ascii="Arial" w:cs="Arial" w:eastAsia="Arial" w:hAnsi="Arial"/>
                <w:sz w:val="25"/>
                <w:szCs w:val="25"/>
                <w:color w:val="auto"/>
                <w:vertAlign w:val="superscript"/>
              </w:rPr>
              <w:t>9</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380" w:type="dxa"/>
            <w:vAlign w:val="bottom"/>
          </w:tcPr>
          <w:p>
            <w:pPr>
              <w:ind w:left="160"/>
              <w:spacing w:after="0" w:line="270" w:lineRule="exact"/>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5"/>
                <w:szCs w:val="25"/>
                <w:color w:val="auto"/>
                <w:vertAlign w:val="superscript"/>
              </w:rPr>
              <w:t>10</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3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11</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380" w:type="dxa"/>
            <w:vAlign w:val="bottom"/>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12</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53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13</w:t>
            </w:r>
          </w:p>
        </w:tc>
        <w:tc>
          <w:tcPr>
            <w:tcW w:w="2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380" w:type="dxa"/>
            <w:vAlign w:val="bottom"/>
          </w:tcPr>
          <w:p>
            <w:pPr>
              <w:ind w:left="160"/>
              <w:spacing w:after="0"/>
              <w:rPr>
                <w:sz w:val="20"/>
                <w:szCs w:val="20"/>
                <w:color w:val="auto"/>
              </w:rPr>
            </w:pPr>
            <w:r>
              <w:rPr>
                <w:rFonts w:ascii="Arial" w:cs="Arial" w:eastAsia="Arial" w:hAnsi="Arial"/>
                <w:sz w:val="18"/>
                <w:szCs w:val="18"/>
                <w:color w:val="auto"/>
                <w:w w:val="92"/>
              </w:rPr>
              <w:t>Adjustments to reflect CAFD generated by unconsolidated investments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8"/>
                <w:szCs w:val="18"/>
                <w:color w:val="auto"/>
              </w:rPr>
              <w:t>that are unable to distribute project dividends due to the PG&amp;E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380" w:type="dxa"/>
            <w:vAlign w:val="bottom"/>
          </w:tcPr>
          <w:p>
            <w:pPr>
              <w:ind w:left="160"/>
              <w:spacing w:after="0"/>
              <w:rPr>
                <w:sz w:val="20"/>
                <w:szCs w:val="20"/>
                <w:color w:val="auto"/>
              </w:rPr>
            </w:pPr>
            <w:r>
              <w:rPr>
                <w:rFonts w:ascii="Arial" w:cs="Arial" w:eastAsia="Arial" w:hAnsi="Arial"/>
                <w:sz w:val="18"/>
                <w:szCs w:val="18"/>
                <w:color w:val="auto"/>
              </w:rPr>
              <w:t>bankruptcy</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Primarily relates to Thermal Development Expenses</w:t>
      </w:r>
    </w:p>
    <w:p>
      <w:pPr>
        <w:spacing w:after="0" w:line="13" w:lineRule="exact"/>
        <w:rPr>
          <w:sz w:val="20"/>
          <w:szCs w:val="20"/>
          <w:color w:val="auto"/>
        </w:rPr>
      </w:pPr>
    </w:p>
    <w:p>
      <w:pPr>
        <w:ind w:right="540" w:firstLine="8"/>
        <w:spacing w:after="0" w:line="241" w:lineRule="auto"/>
        <w:tabs>
          <w:tab w:leader="none" w:pos="126" w:val="left"/>
        </w:tabs>
        <w:numPr>
          <w:ilvl w:val="0"/>
          <w:numId w:val="7"/>
        </w:numPr>
        <w:rPr>
          <w:rFonts w:ascii="Arial" w:cs="Arial" w:eastAsia="Arial" w:hAnsi="Arial"/>
          <w:sz w:val="9"/>
          <w:szCs w:val="9"/>
          <w:color w:val="auto"/>
        </w:rPr>
      </w:pPr>
      <w:r>
        <w:rPr>
          <w:rFonts w:ascii="Arial" w:cs="Arial" w:eastAsia="Arial" w:hAnsi="Arial"/>
          <w:sz w:val="14"/>
          <w:szCs w:val="14"/>
          <w:color w:val="auto"/>
        </w:rPr>
        <w:t>Excludes $18 million of contributions in 2019 related to funding of Oahu tax equity partnership; Excludes $80 million in 2Q18 and $99 million of contributions in 2018 related to funding Buckthorn Solar tax equity partnership</w:t>
      </w: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Net of allocated insurance proceeds</w:t>
      </w:r>
    </w:p>
    <w:p>
      <w:pPr>
        <w:spacing w:after="0" w:line="1" w:lineRule="exact"/>
        <w:rPr>
          <w:rFonts w:ascii="Arial" w:cs="Arial" w:eastAsia="Arial" w:hAnsi="Arial"/>
          <w:sz w:val="9"/>
          <w:szCs w:val="9"/>
          <w:color w:val="auto"/>
        </w:rPr>
      </w:pPr>
    </w:p>
    <w:p>
      <w:pPr>
        <w:ind w:right="220" w:firstLine="8"/>
        <w:spacing w:after="0" w:line="241" w:lineRule="auto"/>
        <w:tabs>
          <w:tab w:leader="none" w:pos="126" w:val="left"/>
        </w:tabs>
        <w:numPr>
          <w:ilvl w:val="0"/>
          <w:numId w:val="7"/>
        </w:numPr>
        <w:rPr>
          <w:rFonts w:ascii="Arial" w:cs="Arial" w:eastAsia="Arial" w:hAnsi="Arial"/>
          <w:sz w:val="9"/>
          <w:szCs w:val="9"/>
          <w:color w:val="auto"/>
        </w:rPr>
      </w:pPr>
      <w:r>
        <w:rPr>
          <w:rFonts w:ascii="Arial" w:cs="Arial" w:eastAsia="Arial" w:hAnsi="Arial"/>
          <w:sz w:val="14"/>
          <w:szCs w:val="14"/>
          <w:color w:val="auto"/>
        </w:rPr>
        <w:t>Excludes $220 million in 2019 for Convertible Notes, $101 million repaid at Viento in connection with the Repowering Partnership, $22 million for revolver repayments, and $3 million for the refinancing of South Trent</w:t>
      </w: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reimbursement of network upgrades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16" w:right="239" w:bottom="1440" w:gutter="0" w:footer="0" w:header="0"/>
        </w:sectPr>
      </w:pPr>
    </w:p>
    <w:bookmarkStart w:id="18" w:name="page19"/>
    <w:bookmarkEnd w:id="18"/>
    <w:p>
      <w:pPr>
        <w:ind w:right="552"/>
        <w:spacing w:after="0" w:line="323" w:lineRule="auto"/>
        <w:rPr>
          <w:sz w:val="20"/>
          <w:szCs w:val="20"/>
          <w:color w:val="auto"/>
        </w:rPr>
      </w:pPr>
      <w:r>
        <w:rPr>
          <w:rFonts w:ascii="Arial" w:cs="Arial" w:eastAsia="Arial" w:hAnsi="Arial"/>
          <w:sz w:val="18"/>
          <w:szCs w:val="18"/>
          <w:b w:val="1"/>
          <w:bCs w:val="1"/>
          <w:color w:val="auto"/>
        </w:rPr>
        <w:t xml:space="preserve">Appendix Table A-6: </w:t>
      </w:r>
      <w:r>
        <w:rPr>
          <w:rFonts w:ascii="Arial" w:cs="Arial" w:eastAsia="Arial" w:hAnsi="Arial"/>
          <w:sz w:val="16"/>
          <w:szCs w:val="16"/>
          <w:b w:val="1"/>
          <w:bCs w:val="1"/>
          <w:color w:val="auto"/>
        </w:rPr>
        <w:t>Six Months Ended June 30, 2019</w:t>
      </w:r>
      <w:r>
        <w:rPr>
          <w:rFonts w:ascii="Arial" w:cs="Arial" w:eastAsia="Arial" w:hAnsi="Arial"/>
          <w:sz w:val="18"/>
          <w:szCs w:val="18"/>
          <w:b w:val="1"/>
          <w:bCs w:val="1"/>
          <w:color w:val="auto"/>
        </w:rPr>
        <w:t xml:space="preserve">, Sources and Uses of Liquidity </w:t>
      </w:r>
      <w:r>
        <w:rPr>
          <w:rFonts w:ascii="Arial" w:cs="Arial" w:eastAsia="Arial" w:hAnsi="Arial"/>
          <w:sz w:val="18"/>
          <w:szCs w:val="18"/>
          <w:color w:val="auto"/>
        </w:rPr>
        <w:t>The following table summarizes the sources and uses of liquidity in 2019:</w:t>
      </w:r>
    </w:p>
    <w:p>
      <w:pPr>
        <w:spacing w:after="0" w:line="200" w:lineRule="exact"/>
        <w:rPr>
          <w:sz w:val="20"/>
          <w:szCs w:val="20"/>
          <w:color w:val="auto"/>
        </w:rPr>
      </w:pPr>
    </w:p>
    <w:p>
      <w:pPr>
        <w:spacing w:after="0" w:line="359"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31750</wp:posOffset>
            </wp:positionV>
            <wp:extent cx="497395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3955" cy="180340"/>
                    </a:xfrm>
                    <a:prstGeom prst="rect">
                      <a:avLst/>
                    </a:prstGeom>
                    <a:noFill/>
                  </pic:spPr>
                </pic:pic>
              </a:graphicData>
            </a:graphic>
          </wp:anchor>
        </w:drawing>
      </w:r>
    </w:p>
    <w:p>
      <w:pPr>
        <w:spacing w:after="0" w:line="71"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Net 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215265</wp:posOffset>
            </wp:positionV>
            <wp:extent cx="497395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3955" cy="188595"/>
                    </a:xfrm>
                    <a:prstGeom prst="rect">
                      <a:avLst/>
                    </a:prstGeom>
                    <a:noFill/>
                  </pic:spPr>
                </pic:pic>
              </a:graphicData>
            </a:graphic>
          </wp:anchor>
        </w:drawing>
      </w:r>
    </w:p>
    <w:p>
      <w:pPr>
        <w:spacing w:after="0" w:line="373"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Uses:</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Buyout of Wind TE Holdco noncontrolling interest</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Investments in unconsolidated affiliates</w:t>
      </w:r>
    </w:p>
    <w:p>
      <w:pPr>
        <w:spacing w:after="0" w:line="86"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97395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291465"/>
                    </a:xfrm>
                    <a:prstGeom prst="rect">
                      <a:avLst/>
                    </a:prstGeom>
                    <a:noFill/>
                  </pic:spPr>
                </pic:pic>
              </a:graphicData>
            </a:graphic>
          </wp:anchor>
        </w:drawing>
      </w:r>
    </w:p>
    <w:p>
      <w:pPr>
        <w:spacing w:after="0" w:line="5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Other net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352425</wp:posOffset>
            </wp:positionV>
            <wp:extent cx="497395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39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37465</wp:posOffset>
            </wp:positionV>
            <wp:extent cx="39878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12"/>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ind w:left="448"/>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428"/>
        <w:spacing w:after="0"/>
        <w:rPr>
          <w:sz w:val="20"/>
          <w:szCs w:val="20"/>
          <w:color w:val="auto"/>
        </w:rPr>
      </w:pPr>
      <w:r>
        <w:rPr>
          <w:rFonts w:ascii="Arial" w:cs="Arial" w:eastAsia="Arial" w:hAnsi="Arial"/>
          <w:sz w:val="18"/>
          <w:szCs w:val="18"/>
          <w:b w:val="1"/>
          <w:bCs w:val="1"/>
          <w:color w:val="auto"/>
        </w:rPr>
        <w:t>6/30/19</w:t>
      </w:r>
    </w:p>
    <w:p>
      <w:pPr>
        <w:spacing w:after="0" w:line="369" w:lineRule="exact"/>
        <w:rPr>
          <w:sz w:val="20"/>
          <w:szCs w:val="20"/>
          <w:color w:val="auto"/>
        </w:rPr>
      </w:pPr>
    </w:p>
    <w:p>
      <w:pPr>
        <w:ind w:left="1088"/>
        <w:spacing w:after="0"/>
        <w:rPr>
          <w:sz w:val="20"/>
          <w:szCs w:val="20"/>
          <w:color w:val="auto"/>
        </w:rPr>
      </w:pPr>
      <w:r>
        <w:rPr>
          <w:rFonts w:ascii="Arial" w:cs="Arial" w:eastAsia="Arial" w:hAnsi="Arial"/>
          <w:sz w:val="16"/>
          <w:szCs w:val="16"/>
          <w:color w:val="auto"/>
        </w:rPr>
        <w:t>493</w:t>
      </w:r>
    </w:p>
    <w:p>
      <w:pPr>
        <w:spacing w:after="0" w:line="86" w:lineRule="exact"/>
        <w:rPr>
          <w:sz w:val="20"/>
          <w:szCs w:val="20"/>
          <w:color w:val="auto"/>
        </w:rPr>
      </w:pPr>
    </w:p>
    <w:p>
      <w:pPr>
        <w:ind w:left="1088"/>
        <w:spacing w:after="0"/>
        <w:rPr>
          <w:sz w:val="20"/>
          <w:szCs w:val="20"/>
          <w:color w:val="auto"/>
        </w:rPr>
      </w:pPr>
      <w:r>
        <w:rPr>
          <w:rFonts w:ascii="Arial" w:cs="Arial" w:eastAsia="Arial" w:hAnsi="Arial"/>
          <w:sz w:val="16"/>
          <w:szCs w:val="16"/>
          <w:color w:val="auto"/>
        </w:rPr>
        <w:t>150</w:t>
      </w:r>
    </w:p>
    <w:p>
      <w:pPr>
        <w:spacing w:after="0" w:line="86" w:lineRule="exact"/>
        <w:rPr>
          <w:sz w:val="20"/>
          <w:szCs w:val="20"/>
          <w:color w:val="auto"/>
        </w:rPr>
      </w:pPr>
    </w:p>
    <w:p>
      <w:pPr>
        <w:ind w:left="1108"/>
        <w:spacing w:after="0"/>
        <w:rPr>
          <w:sz w:val="20"/>
          <w:szCs w:val="20"/>
          <w:color w:val="auto"/>
        </w:rPr>
      </w:pPr>
      <w:r>
        <w:rPr>
          <w:rFonts w:ascii="Arial" w:cs="Arial" w:eastAsia="Arial" w:hAnsi="Arial"/>
          <w:sz w:val="15"/>
          <w:szCs w:val="15"/>
          <w:color w:val="auto"/>
        </w:rPr>
        <w:t>(11)</w:t>
      </w:r>
    </w:p>
    <w:p>
      <w:pPr>
        <w:spacing w:after="0" w:line="98" w:lineRule="exact"/>
        <w:rPr>
          <w:sz w:val="20"/>
          <w:szCs w:val="20"/>
          <w:color w:val="auto"/>
        </w:rPr>
      </w:pPr>
    </w:p>
    <w:p>
      <w:pPr>
        <w:ind w:left="1168"/>
        <w:spacing w:after="0"/>
        <w:rPr>
          <w:sz w:val="20"/>
          <w:szCs w:val="20"/>
          <w:color w:val="auto"/>
        </w:rPr>
      </w:pP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(616)</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(96)</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(77)</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(19)</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(15)</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(9)</w:t>
      </w:r>
    </w:p>
    <w:p>
      <w:pPr>
        <w:spacing w:after="0" w:line="86"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(100)</w:t>
      </w:r>
    </w:p>
    <w:p>
      <w:pPr>
        <w:spacing w:after="0" w:line="257"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8" w:hanging="1028"/>
        <w:spacing w:after="0"/>
        <w:tabs>
          <w:tab w:leader="none" w:pos="1028"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9175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7575" cy="17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492" w:space="720"/>
            <w:col w:w="3208"/>
          </w:cols>
          <w:pgMar w:left="240" w:top="589" w:right="239" w:bottom="1440" w:gutter="0" w:footer="0" w:header="0"/>
        </w:sectPr>
      </w:pPr>
    </w:p>
    <w:p>
      <w:pPr>
        <w:spacing w:after="0" w:line="376"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589"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Appendix Table A-7: Adjusted EBITDA and Cash Available for Distribution Guidance</w:t>
      </w:r>
    </w:p>
    <w:p>
      <w:pPr>
        <w:spacing w:after="0" w:line="166"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Original 2019</w:t>
            </w:r>
          </w:p>
        </w:tc>
        <w:tc>
          <w:tcPr>
            <w:tcW w:w="120" w:type="dxa"/>
            <w:vAlign w:val="bottom"/>
          </w:tcPr>
          <w:p>
            <w:pPr>
              <w:spacing w:after="0"/>
              <w:rPr>
                <w:sz w:val="18"/>
                <w:szCs w:val="18"/>
                <w:color w:val="auto"/>
              </w:rPr>
            </w:pPr>
          </w:p>
        </w:tc>
        <w:tc>
          <w:tcPr>
            <w:tcW w:w="1140" w:type="dxa"/>
            <w:vAlign w:val="bottom"/>
          </w:tcPr>
          <w:p>
            <w:pPr>
              <w:jc w:val="center"/>
              <w:ind w:right="18"/>
              <w:spacing w:after="0"/>
              <w:rPr>
                <w:sz w:val="20"/>
                <w:szCs w:val="20"/>
                <w:color w:val="auto"/>
              </w:rPr>
            </w:pPr>
            <w:r>
              <w:rPr>
                <w:rFonts w:ascii="Arial" w:cs="Arial" w:eastAsia="Arial" w:hAnsi="Arial"/>
                <w:sz w:val="18"/>
                <w:szCs w:val="18"/>
                <w:b w:val="1"/>
                <w:bCs w:val="1"/>
                <w:color w:val="auto"/>
                <w:w w:val="87"/>
              </w:rPr>
              <w:t>Revised 2019</w:t>
            </w:r>
          </w:p>
        </w:tc>
      </w:tr>
      <w:tr>
        <w:trPr>
          <w:trHeight w:val="216"/>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Full Year</w:t>
            </w:r>
          </w:p>
        </w:tc>
        <w:tc>
          <w:tcPr>
            <w:tcW w:w="120" w:type="dxa"/>
            <w:vAlign w:val="bottom"/>
          </w:tcPr>
          <w:p>
            <w:pPr>
              <w:spacing w:after="0"/>
              <w:rPr>
                <w:sz w:val="18"/>
                <w:szCs w:val="18"/>
                <w:color w:val="auto"/>
              </w:rPr>
            </w:pPr>
          </w:p>
        </w:tc>
        <w:tc>
          <w:tcPr>
            <w:tcW w:w="1140" w:type="dxa"/>
            <w:vAlign w:val="bottom"/>
          </w:tcPr>
          <w:p>
            <w:pPr>
              <w:jc w:val="center"/>
              <w:ind w:right="18"/>
              <w:spacing w:after="0"/>
              <w:rPr>
                <w:sz w:val="20"/>
                <w:szCs w:val="20"/>
                <w:color w:val="auto"/>
              </w:rPr>
            </w:pPr>
            <w:r>
              <w:rPr>
                <w:rFonts w:ascii="Arial" w:cs="Arial" w:eastAsia="Arial" w:hAnsi="Arial"/>
                <w:sz w:val="18"/>
                <w:szCs w:val="18"/>
                <w:b w:val="1"/>
                <w:bCs w:val="1"/>
                <w:color w:val="auto"/>
                <w:w w:val="94"/>
              </w:rPr>
              <w:t>Full Year</w:t>
            </w:r>
          </w:p>
        </w:tc>
      </w:tr>
      <w:tr>
        <w:trPr>
          <w:trHeight w:val="234"/>
        </w:trPr>
        <w:tc>
          <w:tcPr>
            <w:tcW w:w="64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Guidance</w:t>
            </w:r>
          </w:p>
        </w:tc>
        <w:tc>
          <w:tcPr>
            <w:tcW w:w="120" w:type="dxa"/>
            <w:vAlign w:val="bottom"/>
          </w:tcPr>
          <w:p>
            <w:pPr>
              <w:spacing w:after="0"/>
              <w:rPr>
                <w:sz w:val="20"/>
                <w:szCs w:val="20"/>
                <w:color w:val="auto"/>
              </w:rPr>
            </w:pPr>
          </w:p>
        </w:tc>
        <w:tc>
          <w:tcPr>
            <w:tcW w:w="11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Guidance</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r>
      <w:tr>
        <w:trPr>
          <w:trHeight w:val="237"/>
        </w:trPr>
        <w:tc>
          <w:tcPr>
            <w:tcW w:w="6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24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Acquisition related transaction and integration costs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Other Non-Cash Charges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6"/>
              </w:rPr>
              <w:t>Adjustment to reflect CWEN share of Adjusted EBITDA in unconsolidated affiliates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37"/>
        </w:trPr>
        <w:tc>
          <w:tcPr>
            <w:tcW w:w="6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995</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970</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Adjustment to reflect Walnut Creek investment payments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6480" w:type="dxa"/>
            <w:vAlign w:val="bottom"/>
            <w:gridSpan w:val="2"/>
          </w:tcPr>
          <w:p>
            <w:pPr>
              <w:ind w:left="160"/>
              <w:spacing w:after="0"/>
              <w:rPr>
                <w:sz w:val="20"/>
                <w:szCs w:val="20"/>
                <w:color w:val="auto"/>
              </w:rPr>
            </w:pPr>
            <w:r>
              <w:rPr>
                <w:rFonts w:ascii="Arial" w:cs="Arial" w:eastAsia="Arial" w:hAnsi="Arial"/>
                <w:sz w:val="18"/>
                <w:szCs w:val="18"/>
                <w:color w:val="auto"/>
              </w:rPr>
              <w:t>Pro-rata Adjusted EBITDA from unconsolidated affiliates</w:t>
            </w:r>
          </w:p>
        </w:tc>
        <w:tc>
          <w:tcPr>
            <w:tcW w:w="124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7"/>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8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5"/>
                <w:szCs w:val="25"/>
                <w:color w:val="auto"/>
                <w:vertAlign w:val="superscript"/>
              </w:rPr>
              <w:t>14</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613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587</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80" w:type="dxa"/>
            <w:vAlign w:val="bottom"/>
            <w:gridSpan w:val="2"/>
            <w:shd w:val="clear" w:color="auto" w:fill="CCEEFF"/>
          </w:tcPr>
          <w:p>
            <w:pPr>
              <w:ind w:left="160"/>
              <w:spacing w:after="0" w:line="264"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5"/>
                <w:szCs w:val="25"/>
                <w:color w:val="auto"/>
                <w:vertAlign w:val="superscript"/>
              </w:rPr>
              <w:t>15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648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Net contributions to non-controlling interest</w:t>
            </w:r>
            <w:r>
              <w:rPr>
                <w:rFonts w:ascii="Arial" w:cs="Arial" w:eastAsia="Arial" w:hAnsi="Arial"/>
                <w:sz w:val="25"/>
                <w:szCs w:val="25"/>
                <w:color w:val="auto"/>
                <w:vertAlign w:val="superscript"/>
              </w:rPr>
              <w:t>16</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0"/>
        </w:trPr>
        <w:tc>
          <w:tcPr>
            <w:tcW w:w="6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Maintenance capital expenditures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6380" w:type="dxa"/>
            <w:vAlign w:val="bottom"/>
            <w:tcBorders>
              <w:bottom w:val="single" w:sz="8" w:color="auto"/>
            </w:tcBorders>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17</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64"/>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Available for Distribution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r>
      <w:tr>
        <w:trPr>
          <w:trHeight w:val="237"/>
        </w:trPr>
        <w:tc>
          <w:tcPr>
            <w:tcW w:w="6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Add Back: Principal amortization of indebtedness</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7"/>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Cash from Operations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555</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8"/>
          <w:szCs w:val="8"/>
          <w:color w:val="auto"/>
        </w:rPr>
      </w:pPr>
      <w:r>
        <w:rPr>
          <w:rFonts w:ascii="Arial" w:cs="Arial" w:eastAsia="Arial" w:hAnsi="Arial"/>
          <w:sz w:val="13"/>
          <w:szCs w:val="13"/>
          <w:color w:val="auto"/>
        </w:rPr>
        <w:t>Distribution from unconsolidated affiliates can be classified as Return of Investment on Unconsolidated Affiliates when actuals are reported. This is below cash from operating activities</w:t>
      </w:r>
    </w:p>
    <w:p>
      <w:pPr>
        <w:spacing w:after="0" w:line="24" w:lineRule="exact"/>
        <w:rPr>
          <w:rFonts w:ascii="Arial" w:cs="Arial" w:eastAsia="Arial" w:hAnsi="Arial"/>
          <w:sz w:val="8"/>
          <w:szCs w:val="8"/>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Primarily relates to Thermal Development Expenses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tax equity proceeds and distributions to tax equity partners</w:t>
      </w:r>
    </w:p>
    <w:p>
      <w:pPr>
        <w:spacing w:after="0" w:line="1" w:lineRule="exact"/>
        <w:rPr>
          <w:rFonts w:ascii="Arial" w:cs="Arial" w:eastAsia="Arial" w:hAnsi="Arial"/>
          <w:sz w:val="9"/>
          <w:szCs w:val="9"/>
          <w:color w:val="auto"/>
        </w:rPr>
      </w:pPr>
    </w:p>
    <w:p>
      <w:pPr>
        <w:ind w:right="220" w:firstLine="8"/>
        <w:spacing w:after="0" w:line="255" w:lineRule="auto"/>
        <w:tabs>
          <w:tab w:leader="none" w:pos="126" w:val="left"/>
        </w:tabs>
        <w:numPr>
          <w:ilvl w:val="0"/>
          <w:numId w:val="9"/>
        </w:numPr>
        <w:rPr>
          <w:rFonts w:ascii="Arial" w:cs="Arial" w:eastAsia="Arial" w:hAnsi="Arial"/>
          <w:sz w:val="9"/>
          <w:szCs w:val="9"/>
          <w:color w:val="auto"/>
        </w:rPr>
      </w:pPr>
      <w:r>
        <w:rPr>
          <w:rFonts w:ascii="Arial" w:cs="Arial" w:eastAsia="Arial" w:hAnsi="Arial"/>
          <w:sz w:val="14"/>
          <w:szCs w:val="14"/>
          <w:color w:val="auto"/>
        </w:rPr>
        <w:t>Excludes $220 million in 2019 for Convertible Notes, $101 million repaid at Viento in connection with the Repowering Partnership, $22 million for revolver repayments, and $3 million for the refinancing of South Trent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60"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Appendix Table A-8: Hawaii Solar Phase I and Repowering 1.0 5 Year Average CAFD</w:t>
      </w:r>
    </w:p>
    <w:p>
      <w:pPr>
        <w:spacing w:after="0" w:line="39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8"/>
                <w:szCs w:val="18"/>
                <w:b w:val="1"/>
                <w:bCs w:val="1"/>
                <w:color w:val="auto"/>
                <w:w w:val="93"/>
              </w:rPr>
              <w:t>Hawaii Solar</w:t>
            </w:r>
          </w:p>
        </w:tc>
        <w:tc>
          <w:tcPr>
            <w:tcW w:w="13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Repowering 1.0</w:t>
            </w:r>
          </w:p>
        </w:tc>
        <w:tc>
          <w:tcPr>
            <w:tcW w:w="0" w:type="dxa"/>
            <w:vAlign w:val="bottom"/>
          </w:tcPr>
          <w:p>
            <w:pPr>
              <w:spacing w:after="0"/>
              <w:rPr>
                <w:sz w:val="1"/>
                <w:szCs w:val="1"/>
                <w:color w:val="auto"/>
              </w:rPr>
            </w:pPr>
          </w:p>
        </w:tc>
      </w:tr>
      <w:tr>
        <w:trPr>
          <w:trHeight w:val="108"/>
        </w:trPr>
        <w:tc>
          <w:tcPr>
            <w:tcW w:w="6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restart"/>
          </w:tcPr>
          <w:p>
            <w:pPr>
              <w:jc w:val="center"/>
              <w:ind w:right="96"/>
              <w:spacing w:after="0"/>
              <w:rPr>
                <w:sz w:val="20"/>
                <w:szCs w:val="20"/>
                <w:color w:val="auto"/>
              </w:rPr>
            </w:pPr>
            <w:r>
              <w:rPr>
                <w:rFonts w:ascii="Arial" w:cs="Arial" w:eastAsia="Arial" w:hAnsi="Arial"/>
                <w:sz w:val="18"/>
                <w:szCs w:val="18"/>
                <w:b w:val="1"/>
                <w:bCs w:val="1"/>
                <w:color w:val="auto"/>
                <w:w w:val="88"/>
              </w:rPr>
              <w:t>Phase I</w:t>
            </w: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7"/>
              <w:spacing w:after="0"/>
              <w:rPr>
                <w:sz w:val="20"/>
                <w:szCs w:val="20"/>
                <w:color w:val="auto"/>
              </w:rPr>
            </w:pPr>
            <w:r>
              <w:rPr>
                <w:rFonts w:ascii="Arial" w:cs="Arial" w:eastAsia="Arial" w:hAnsi="Arial"/>
                <w:sz w:val="18"/>
                <w:szCs w:val="18"/>
                <w:b w:val="1"/>
                <w:bCs w:val="1"/>
                <w:color w:val="auto"/>
                <w:w w:val="90"/>
              </w:rPr>
              <w:t>5 Year Ave. -</w:t>
            </w:r>
          </w:p>
        </w:tc>
        <w:tc>
          <w:tcPr>
            <w:tcW w:w="0" w:type="dxa"/>
            <w:vAlign w:val="bottom"/>
          </w:tcPr>
          <w:p>
            <w:pPr>
              <w:spacing w:after="0"/>
              <w:rPr>
                <w:sz w:val="1"/>
                <w:szCs w:val="1"/>
                <w:color w:val="auto"/>
              </w:rPr>
            </w:pPr>
          </w:p>
        </w:tc>
      </w:tr>
      <w:tr>
        <w:trPr>
          <w:trHeight w:val="108"/>
        </w:trPr>
        <w:tc>
          <w:tcPr>
            <w:tcW w:w="6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restart"/>
          </w:tcPr>
          <w:p>
            <w:pPr>
              <w:jc w:val="center"/>
              <w:ind w:right="76"/>
              <w:spacing w:after="0"/>
              <w:rPr>
                <w:sz w:val="20"/>
                <w:szCs w:val="20"/>
                <w:color w:val="auto"/>
              </w:rPr>
            </w:pPr>
            <w:r>
              <w:rPr>
                <w:rFonts w:ascii="Arial" w:cs="Arial" w:eastAsia="Arial" w:hAnsi="Arial"/>
                <w:sz w:val="18"/>
                <w:szCs w:val="18"/>
                <w:b w:val="1"/>
                <w:bCs w:val="1"/>
                <w:color w:val="auto"/>
                <w:w w:val="90"/>
              </w:rPr>
              <w:t>5 Year Ave. -</w:t>
            </w: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7"/>
              <w:spacing w:after="0"/>
              <w:rPr>
                <w:sz w:val="20"/>
                <w:szCs w:val="20"/>
                <w:color w:val="auto"/>
              </w:rPr>
            </w:pPr>
            <w:r>
              <w:rPr>
                <w:rFonts w:ascii="Arial" w:cs="Arial" w:eastAsia="Arial" w:hAnsi="Arial"/>
                <w:sz w:val="18"/>
                <w:szCs w:val="18"/>
                <w:b w:val="1"/>
                <w:bCs w:val="1"/>
                <w:color w:val="auto"/>
                <w:w w:val="90"/>
              </w:rPr>
              <w:t>2020-2024</w:t>
            </w:r>
          </w:p>
        </w:tc>
        <w:tc>
          <w:tcPr>
            <w:tcW w:w="0" w:type="dxa"/>
            <w:vAlign w:val="bottom"/>
          </w:tcPr>
          <w:p>
            <w:pPr>
              <w:spacing w:after="0"/>
              <w:rPr>
                <w:sz w:val="1"/>
                <w:szCs w:val="1"/>
                <w:color w:val="auto"/>
              </w:rPr>
            </w:pPr>
          </w:p>
        </w:tc>
      </w:tr>
      <w:tr>
        <w:trPr>
          <w:trHeight w:val="126"/>
        </w:trPr>
        <w:tc>
          <w:tcPr>
            <w:tcW w:w="64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10"/>
                <w:szCs w:val="10"/>
                <w:color w:val="auto"/>
              </w:rPr>
            </w:pPr>
          </w:p>
        </w:tc>
        <w:tc>
          <w:tcPr>
            <w:tcW w:w="1300" w:type="dxa"/>
            <w:vAlign w:val="bottom"/>
            <w:vMerge w:val="restart"/>
          </w:tcPr>
          <w:p>
            <w:pPr>
              <w:jc w:val="center"/>
              <w:ind w:right="76"/>
              <w:spacing w:after="0"/>
              <w:rPr>
                <w:sz w:val="20"/>
                <w:szCs w:val="20"/>
                <w:color w:val="auto"/>
              </w:rPr>
            </w:pPr>
            <w:r>
              <w:rPr>
                <w:rFonts w:ascii="Arial" w:cs="Arial" w:eastAsia="Arial" w:hAnsi="Arial"/>
                <w:sz w:val="18"/>
                <w:szCs w:val="18"/>
                <w:b w:val="1"/>
                <w:bCs w:val="1"/>
                <w:color w:val="auto"/>
                <w:w w:val="90"/>
              </w:rPr>
              <w:t>2020-2024</w:t>
            </w:r>
          </w:p>
        </w:tc>
        <w:tc>
          <w:tcPr>
            <w:tcW w:w="1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37"/>
        </w:trPr>
        <w:tc>
          <w:tcPr>
            <w:tcW w:w="63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 Expense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24.8</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7"/>
        </w:trPr>
        <w:tc>
          <w:tcPr>
            <w:tcW w:w="6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6440" w:type="dxa"/>
            <w:vAlign w:val="bottom"/>
            <w:gridSpan w:val="2"/>
          </w:tcPr>
          <w:p>
            <w:pPr>
              <w:ind w:left="160"/>
              <w:spacing w:after="0"/>
              <w:rPr>
                <w:sz w:val="20"/>
                <w:szCs w:val="20"/>
                <w:color w:val="auto"/>
              </w:rPr>
            </w:pPr>
            <w:r>
              <w:rPr>
                <w:rFonts w:ascii="Arial" w:cs="Arial" w:eastAsia="Arial" w:hAnsi="Arial"/>
                <w:sz w:val="18"/>
                <w:szCs w:val="18"/>
                <w:color w:val="auto"/>
              </w:rPr>
              <w:t>Maintenance capital expenditures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7"/>
        </w:trPr>
        <w:tc>
          <w:tcPr>
            <w:tcW w:w="6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9"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Available for Distribution (CAFD) is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14"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sectPr>
      <w:pgSz w:w="11900" w:h="16838" w:orient="portrait"/>
      <w:cols w:equalWidth="0" w:num="1">
        <w:col w:w="11420"/>
      </w:cols>
      <w:pgMar w:left="240" w:top="6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2019-12-28T08:33:59Z</dcterms:created>
  <dcterms:modified xsi:type="dcterms:W3CDTF">2019-12-28T08:33:59Z</dcterms:modified>
</cp:coreProperties>
</file>