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hanging="36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7842" w:type="dxa"/>
        <w:jc w:val="center"/>
        <w:tblInd w:w="0" w:type="dxa"/>
        <w:tblLayout w:type="fixed"/>
        <w:tblCellMar>
          <w:top w:w="28" w:type="dxa"/>
          <w:left w:w="28" w:type="dxa"/>
          <w:bottom w:w="28" w:type="dxa"/>
          <w:right w:w="28" w:type="dxa"/>
        </w:tblCellMar>
      </w:tblPr>
      <w:tblGrid>
        <w:gridCol w:w="124"/>
        <w:gridCol w:w="109"/>
        <w:gridCol w:w="109"/>
        <w:gridCol w:w="1168"/>
        <w:gridCol w:w="1168"/>
        <w:gridCol w:w="1168"/>
        <w:gridCol w:w="1168"/>
        <w:gridCol w:w="1168"/>
        <w:gridCol w:w="1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001-36002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Clearway Energy,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3" w:type="dxa"/>
        <w:jc w:val="center"/>
        <w:tblInd w:w="0" w:type="dxa"/>
        <w:tblLayout w:type="fixed"/>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46-1777204</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300 Carnegie Center, Suite 300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(609) 608-1525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9" w:type="dxa"/>
        <w:jc w:val="center"/>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CWEN.A</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As of October 30, 2025, there were 34,613,853 shares of Class A common stock outstanding, par value $0.01 per share, 42,738,750 shares of Class B common stock outstanding, par value $0.01 per share, 84,844,929 shares of Class C common stock outstanding, par value $0.01 per share, and 41,576,142 shares of Class D common stock outstanding, par value $0.01 per share.</w:t>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74"/>
        <w:gridCol w:w="3123"/>
        <w:gridCol w:w="3135"/>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CAUTIONARY STATEMENT REGARDING FORWARD LOOKING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0">
              <w:r>
                <w:rPr>
                  <w:rStyle w:val="InternetLink"/>
                  <w:rFonts w:ascii="Times New Roman;serif" w:hAnsi="Times New Roman;serif"/>
                  <w:b w:val="false"/>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GLOSSARY OF TERMS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3">
              <w:r>
                <w:rPr>
                  <w:rStyle w:val="InternetLink"/>
                  <w:rFonts w:ascii="Times New Roman;serif" w:hAnsi="Times New Roman;serif"/>
                  <w:b w:val="false"/>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 — FINANCIAL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6">
              <w:r>
                <w:rPr>
                  <w:rStyle w:val="InternetLink"/>
                  <w:rFonts w:ascii="Times New Roman;serif" w:hAnsi="Times New Roman;serif"/>
                  <w:b w:val="false"/>
                  <w:color w:val="0000FF"/>
                  <w:sz w:val="20"/>
                  <w:u w:val="single"/>
                </w:rPr>
                <w:t>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 — FINANCIAL STATEMENTS AND NOTES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9">
              <w:r>
                <w:rPr>
                  <w:rStyle w:val="InternetLink"/>
                  <w:rFonts w:ascii="Times New Roman;serif" w:hAnsi="Times New Roman;serif"/>
                  <w:b w:val="false"/>
                  <w:color w:val="0000FF"/>
                  <w:sz w:val="20"/>
                  <w:u w:val="single"/>
                </w:rPr>
                <w:t>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2 — MANAGEMENT’S DISCUSSION AND ANALYSIS OF FINANCIAL CONDITION AND RESULTS OF OPERATIONS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12">
              <w:r>
                <w:rPr>
                  <w:rStyle w:val="InternetLink"/>
                  <w:rFonts w:ascii="Times New Roman;serif" w:hAnsi="Times New Roman;serif"/>
                  <w:b w:val="false"/>
                  <w:color w:val="0000FF"/>
                  <w:sz w:val="20"/>
                  <w:u w:val="single"/>
                </w:rPr>
                <w:t>39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3 — QUANTITATIVE AND QUALITATIVE DISCLOSURES ABOUT MARKET RISK</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54">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4 — CONTROLS AND PROCEDURES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60">
              <w:r>
                <w:rPr>
                  <w:rStyle w:val="InternetLink"/>
                  <w:rFonts w:ascii="Times New Roman;serif" w:hAnsi="Times New Roman;serif"/>
                  <w:b w:val="false"/>
                  <w:color w:val="0000FF"/>
                  <w:sz w:val="20"/>
                  <w:u w:val="single"/>
                </w:rPr>
                <w:t>61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II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63">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 — LEGAL PROCEEDINGS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66">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 — RISK FACTORS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69">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2 — UNREGISTERED SALES OF EQUITY SECURITIES AND USE OF PROCEEDS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72">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3 — DEFAULTS UPON SENIOR SECURITIES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75">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4 — MINE SAFETY DISCLOSURES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78">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5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81">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 — EXHIBITS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84">
              <w:r>
                <w:rPr>
                  <w:rStyle w:val="InternetLink"/>
                  <w:rFonts w:ascii="Times New Roman;serif" w:hAnsi="Times New Roman;serif"/>
                  <w:b w:val="false"/>
                  <w:color w:val="0000FF"/>
                  <w:sz w:val="20"/>
                  <w:u w:val="single"/>
                </w:rPr>
                <w:t>63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SIGNATURES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f9a875fb13491eb1450498b29715de_190">
              <w:r>
                <w:rPr>
                  <w:rStyle w:val="InternetLink"/>
                  <w:rFonts w:ascii="Times New Roman;serif" w:hAnsi="Times New Roman;serif"/>
                  <w:b w:val="false"/>
                  <w:color w:val="0000FF"/>
                  <w:sz w:val="20"/>
                  <w:u w:val="single"/>
                </w:rPr>
                <w:t>64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20" w:after="60"/>
        <w:ind w:left="0" w:right="0" w:firstLine="450"/>
        <w:jc w:val="both"/>
        <w:rPr/>
      </w:pPr>
      <w:r>
        <w:rPr>
          <w:rFonts w:ascii="Times New Roman;serif" w:hAnsi="Times New Roman;serif"/>
          <w:b w:val="false"/>
          <w:color w:val="000000"/>
          <w:sz w:val="20"/>
        </w:rPr>
        <w:t>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of the Company’s Annual Report on Form 10-K for the year ended December 31, 2024, as well as the following: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maintain and grow its quarterly dividend;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successfully identify, evaluate and consummate investment opportunities, as well as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45"/>
        <w:gridCol w:w="360"/>
        <w:gridCol w:w="272"/>
        <w:gridCol w:w="3153"/>
        <w:gridCol w:w="2804"/>
        <w:gridCol w:w="2813"/>
        <w:gridCol w:w="158"/>
      </w:tblGrid>
      <w:tr>
        <w:trPr/>
        <w:tc>
          <w:tcPr>
            <w:tcW w:w="6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Form 10-K</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2024, as filed with the SEC on February 25,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$850 million aggregate principal amount of 4.75% unsecured senior notes due 2028,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$925 million aggregate principal amount of 3.75% unsecured senior notes due 2031,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Senior Notes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$350 million aggregate principal amount of 3.75% unsecured senior notes due 2032,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77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FASB Accounting Standards Codification, which the FASB established as the source of authoritative GAAP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Program</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At-The-Market Equity Offering Program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BESS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Battery energy storage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BlackRock </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BlackRock, Inc., a publicly-traded global investment management firm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CAFD</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 non-GAAP measure, Cash Available for Distribution is defined as of September 30, 2025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Catalina</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 MW solar facility located in Kern County, California that the Company leases and operates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 (formerly Zephyr Renewables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 Master Services Agreement</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Master Services Agreement and Payroll Sharing Agreement, effective as of January 1, 2025, among the Company, Clearway Energy Finance Inc., Clearway Energy LLC, Clearway Energy Operating LLC and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holding company through which the facilities are owned by Clearway Energy Group LLC, the holder of Class B and Class D units, and Clearway Energy, Inc., the holder of the Class A and Class C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all shares of the Company’s Class B and Class D common stock and Clearway Energy LLC’s Class B and Class D units and, from time to time, possibly shares of the Company’s Class A and/or Class C common stock. Clearway Energy Group LLC is a leading developer of renewable energy, energy storage and power infrastructure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Operating LLC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facilities that are owned by Clearway Energy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Renew</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 LLC, a subsidiary of CEG, and its wholly-owned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 together with its consolidated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CVSR </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 Valley Solar Ranch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Daggett 1 Class B</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Daggett 1 Class B Member LLC, the indirect owner of Daggett 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Dan’s Mountain TargetCo</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Dan’s Mountain TargetCo LLC, a partnership and the indirect owner of Dan’s Mountain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Solar</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less than 20 MW in size (on an alternating current, or AC, basis), that primarily sell power produced to customers for usage on site, or are interconnected to sell power into the local distribution grid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DRIP</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Dividend Reinvestment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Drop Down Assets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Assets under common control acquired by the Company from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DSPP</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 Stock Purchase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EPA</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Environmental Protection Agency</w:t>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w:t>
                      </w:r>
                    </w:p>
                  </w:txbxContent>
                </v:textbox>
                <w10:wrap type="none"/>
              </v:rect>
            </w:pict>
          </mc:Fallback>
        </mc:AlternateContent>
      </w:r>
    </w:p>
    <w:p>
      <w:pPr>
        <w:pStyle w:val="TextBody"/>
        <w:bidi w:val="0"/>
        <w:spacing w:before="0" w:after="18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685"/>
        <w:gridCol w:w="418"/>
        <w:gridCol w:w="422"/>
        <w:gridCol w:w="3182"/>
        <w:gridCol w:w="2666"/>
        <w:gridCol w:w="2674"/>
        <w:gridCol w:w="158"/>
      </w:tblGrid>
      <w:tr>
        <w:trPr/>
        <w:tc>
          <w:tcPr>
            <w:tcW w:w="6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ERCOT</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Electric Reliability Council of Texas, the ISO and the regional reliability coordinator of the various electricity systems within Texas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Formerly the Conventional Generation segment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GenConn</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GenConn Energy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Global Infrastructure Management, LLC, the manager of GIP and an indirect subsidiary of BlackRock</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GIP</w:t>
            </w:r>
          </w:p>
        </w:tc>
        <w:tc>
          <w:tcPr>
            <w:tcW w:w="8522"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erif" w:hAnsi="Times New Roman;serif"/>
                <w:b w:val="false"/>
                <w:color w:val="000000"/>
                <w:sz w:val="20"/>
              </w:rPr>
            </w:pPr>
            <w:r>
              <w:rPr>
                <w:rFonts w:ascii="Times New Roman;serif" w:hAnsi="Times New Roman;serif"/>
                <w:b w:val="false"/>
                <w:color w:val="000000"/>
                <w:sz w:val="20"/>
              </w:rPr>
              <w:t>Global Infrastructure Partners, an infrastructure fund manager managed by GIM that makes equity and debt investments in infrastructure assets and businesses. GIM is an indirect subsidiary of BlackRock.</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Gigawatt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HLBV</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Hypothetical Liquidation at Book Value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Portfolio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 BESS facilities under construction in Beaver County and Iron County, Utah representing 320 MW of capacity, which includes Enterprise, Escalante I, Granite Mountain East and Iron Springs that are co-located with the respective solar facilities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Internal Revenue Service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Independent System Operator, also referred to as an RTO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ITC</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Tax Credit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Luna Valley Class B</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Luna Valley Class B Member LLC, the indirect owner of Luna Valley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British Thermal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Megawatt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Saleable megawatt hours, net of internal/parasitic load megawatt-hours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Exposure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to Clearway Energy, Inc., net of collateral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OCI/OCL</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O&amp;M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PG&amp;E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Pacific Gas and Electric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TargetCo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CE TargetCo LLC, a partnership and the indirect owner of Pine Forest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TE Class A</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TE Class A Owner LLC, a consolidated subsidiary of Clearway Energy Finance Inc. and an indirect subsidiary of the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PJM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PJM Interconnection,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 Purchase Agreement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PTC</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Production Tax Credit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Resource adequacy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Renewables &amp; Storage </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Formerly the Renewables segment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RENOM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Renewable Operation &amp; Maintenance LLC, a wholly-owned subsidiary of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Rosie South TargetCo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Rosie South TargetCo LLC, a partnership and the indirect owner of Rosamond South I</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Regional Transmission Organization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Southern California Edison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SDG&amp;E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San Diego Gas &amp; Electric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 </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Collectively, the 2028 Senior Notes, the 2031 Senior Notes and the 2032 Senior Notes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Partners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SREC </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Renewable Energy Credit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TotalEnergies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TotalEnergies SE, a global multi-energy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w:t>
                      </w:r>
                    </w:p>
                  </w:txbxContent>
                </v:textbox>
                <w10:wrap type="none"/>
              </v:rect>
            </w:pict>
          </mc:Fallback>
        </mc:AlternateContent>
      </w:r>
    </w:p>
    <w:p>
      <w:pPr>
        <w:pStyle w:val="TextBody"/>
        <w:bidi w:val="0"/>
        <w:spacing w:before="0" w:after="18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16"/>
        <w:gridCol w:w="365"/>
        <w:gridCol w:w="369"/>
        <w:gridCol w:w="2964"/>
        <w:gridCol w:w="2964"/>
        <w:gridCol w:w="2970"/>
        <w:gridCol w:w="157"/>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Scale Solar</w:t>
            </w:r>
          </w:p>
        </w:tc>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20 MW or greater in size (on an alternating current, or AC, basis), that are interconnected into the transmission or distribution grid to sell power at a wholesale level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Variable Interest Entity</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72"/>
        <w:gridCol w:w="1428"/>
        <w:gridCol w:w="1441"/>
        <w:gridCol w:w="220"/>
        <w:gridCol w:w="753"/>
        <w:gridCol w:w="113"/>
        <w:gridCol w:w="113"/>
        <w:gridCol w:w="113"/>
        <w:gridCol w:w="113"/>
        <w:gridCol w:w="220"/>
        <w:gridCol w:w="753"/>
        <w:gridCol w:w="113"/>
        <w:gridCol w:w="109"/>
        <w:gridCol w:w="109"/>
        <w:gridCol w:w="109"/>
        <w:gridCol w:w="216"/>
        <w:gridCol w:w="740"/>
        <w:gridCol w:w="111"/>
        <w:gridCol w:w="111"/>
        <w:gridCol w:w="111"/>
        <w:gridCol w:w="111"/>
        <w:gridCol w:w="216"/>
        <w:gridCol w:w="740"/>
        <w:gridCol w:w="170"/>
      </w:tblGrid>
      <w:tr>
        <w:trPr/>
        <w:tc>
          <w:tcPr>
            <w:tcW w:w="197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Clearway Energy, Inc.</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Clearway Energy, Inc. Class A and Class C Common Stockholders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 - basic and diluted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C common shares outstanding - basic and diluted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Weighted Average Class A and Class C Common Share - Basic and Diluted</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A Common Share </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0.4171 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Dividends Per Class C Common Share </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0.4171 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1.2306 </w:t>
            </w:r>
          </w:p>
        </w:tc>
        <w:tc>
          <w:tcPr>
            <w:tcW w:w="1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25"/>
        <w:gridCol w:w="1775"/>
        <w:gridCol w:w="1680"/>
        <w:gridCol w:w="257"/>
        <w:gridCol w:w="570"/>
        <w:gridCol w:w="133"/>
        <w:gridCol w:w="133"/>
        <w:gridCol w:w="133"/>
        <w:gridCol w:w="133"/>
        <w:gridCol w:w="257"/>
        <w:gridCol w:w="441"/>
        <w:gridCol w:w="133"/>
        <w:gridCol w:w="109"/>
        <w:gridCol w:w="109"/>
        <w:gridCol w:w="109"/>
        <w:gridCol w:w="246"/>
        <w:gridCol w:w="544"/>
        <w:gridCol w:w="127"/>
        <w:gridCol w:w="127"/>
        <w:gridCol w:w="127"/>
        <w:gridCol w:w="127"/>
        <w:gridCol w:w="246"/>
        <w:gridCol w:w="477"/>
        <w:gridCol w:w="187"/>
      </w:tblGrid>
      <w:tr>
        <w:trPr/>
        <w:tc>
          <w:tcPr>
            <w:tcW w:w="202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 and changes in accumulated OCI/OCL, net of income tax benefit of $—, $(2), $(5) and $(2)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 and redeemable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Clearway Energy, Inc.</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8</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313"/>
        <w:gridCol w:w="2200"/>
        <w:gridCol w:w="2218"/>
        <w:gridCol w:w="217"/>
        <w:gridCol w:w="716"/>
        <w:gridCol w:w="120"/>
        <w:gridCol w:w="109"/>
        <w:gridCol w:w="109"/>
        <w:gridCol w:w="109"/>
        <w:gridCol w:w="214"/>
        <w:gridCol w:w="708"/>
        <w:gridCol w:w="172"/>
      </w:tblGrid>
      <w:tr>
        <w:trPr/>
        <w:tc>
          <w:tcPr>
            <w:tcW w:w="3313"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trade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Property, plant and equipment, net </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for power purchase agreements, net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intangible assets, net </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trade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affiliates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$0.01 par value; 10,000,000 shares authorized; none issued </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Class B, Class C and Class D common stock, $0.01 par value; 3,000,000,000 shares authorized (Class A 500,000,000, Class B 500,000,000, Class C 1,000,000,000, Class D 1,000,000,000); 202,195,425 shares issued and outstanding (Class A 34,613,853, Class B 42,738,750, Class C 83,266,680, Class D 41,576,142) at September 30, 2025 and 202,147,579 shares issued and outstanding (Class A 34,613,853, Class B 42,738,750, Class C 82,833,226, Class D 41,961,750) at December 31, 2024</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9</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9026" w:type="dxa"/>
        <w:jc w:val="left"/>
        <w:tblInd w:w="0" w:type="dxa"/>
        <w:tblLayout w:type="fixed"/>
        <w:tblCellMar>
          <w:top w:w="28" w:type="dxa"/>
          <w:left w:w="28" w:type="dxa"/>
          <w:bottom w:w="28" w:type="dxa"/>
          <w:right w:w="28" w:type="dxa"/>
        </w:tblCellMar>
      </w:tblPr>
      <w:tblGrid>
        <w:gridCol w:w="2331"/>
        <w:gridCol w:w="2046"/>
        <w:gridCol w:w="2058"/>
        <w:gridCol w:w="281"/>
        <w:gridCol w:w="622"/>
        <w:gridCol w:w="145"/>
        <w:gridCol w:w="145"/>
        <w:gridCol w:w="145"/>
        <w:gridCol w:w="145"/>
        <w:gridCol w:w="281"/>
        <w:gridCol w:w="622"/>
        <w:gridCol w:w="205"/>
      </w:tblGrid>
      <w:tr>
        <w:trPr/>
        <w:tc>
          <w:tcPr>
            <w:tcW w:w="23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Loss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of unconsolidated affiliates </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debt extinguishment </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amount of right-of-use assets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deferred income taxes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derivative instruments and amortization of accumulated OCI/OCL</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working capital</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Drop Down Assets, net of cash acquired</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from unconsolidated affiliates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note receivable — affiliate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 net of distributions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and distributions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CEG</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revolving credit facility</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the revolving credit facility</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issuance of long-term debt </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10</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Nine Months Ended September 30, 2025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97"/>
        <w:gridCol w:w="570"/>
        <w:gridCol w:w="560"/>
        <w:gridCol w:w="211"/>
        <w:gridCol w:w="438"/>
        <w:gridCol w:w="117"/>
        <w:gridCol w:w="109"/>
        <w:gridCol w:w="109"/>
        <w:gridCol w:w="109"/>
        <w:gridCol w:w="249"/>
        <w:gridCol w:w="306"/>
        <w:gridCol w:w="140"/>
        <w:gridCol w:w="109"/>
        <w:gridCol w:w="109"/>
        <w:gridCol w:w="109"/>
        <w:gridCol w:w="196"/>
        <w:gridCol w:w="556"/>
        <w:gridCol w:w="109"/>
        <w:gridCol w:w="109"/>
        <w:gridCol w:w="109"/>
        <w:gridCol w:w="109"/>
        <w:gridCol w:w="219"/>
        <w:gridCol w:w="472"/>
        <w:gridCol w:w="122"/>
        <w:gridCol w:w="109"/>
        <w:gridCol w:w="109"/>
        <w:gridCol w:w="109"/>
        <w:gridCol w:w="354"/>
        <w:gridCol w:w="625"/>
        <w:gridCol w:w="198"/>
        <w:gridCol w:w="109"/>
        <w:gridCol w:w="109"/>
        <w:gridCol w:w="109"/>
        <w:gridCol w:w="232"/>
        <w:gridCol w:w="659"/>
        <w:gridCol w:w="130"/>
        <w:gridCol w:w="109"/>
        <w:gridCol w:w="109"/>
        <w:gridCol w:w="109"/>
        <w:gridCol w:w="211"/>
        <w:gridCol w:w="598"/>
        <w:gridCol w:w="174"/>
      </w:tblGrid>
      <w:tr>
        <w:trPr/>
        <w:tc>
          <w:tcPr>
            <w:tcW w:w="79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non-cash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 for change in tax basis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 net of tax</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Pro-rata distributions to CEG,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 for change in tax basis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OCL,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Buyout of noncontrolling interest </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 for change in tax basis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11</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Nine Months Ended September 30, 2024</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21"/>
        <w:gridCol w:w="591"/>
        <w:gridCol w:w="581"/>
        <w:gridCol w:w="211"/>
        <w:gridCol w:w="437"/>
        <w:gridCol w:w="117"/>
        <w:gridCol w:w="109"/>
        <w:gridCol w:w="109"/>
        <w:gridCol w:w="109"/>
        <w:gridCol w:w="248"/>
        <w:gridCol w:w="306"/>
        <w:gridCol w:w="139"/>
        <w:gridCol w:w="109"/>
        <w:gridCol w:w="109"/>
        <w:gridCol w:w="109"/>
        <w:gridCol w:w="196"/>
        <w:gridCol w:w="556"/>
        <w:gridCol w:w="109"/>
        <w:gridCol w:w="109"/>
        <w:gridCol w:w="109"/>
        <w:gridCol w:w="109"/>
        <w:gridCol w:w="222"/>
        <w:gridCol w:w="478"/>
        <w:gridCol w:w="123"/>
        <w:gridCol w:w="109"/>
        <w:gridCol w:w="109"/>
        <w:gridCol w:w="109"/>
        <w:gridCol w:w="395"/>
        <w:gridCol w:w="486"/>
        <w:gridCol w:w="221"/>
        <w:gridCol w:w="109"/>
        <w:gridCol w:w="109"/>
        <w:gridCol w:w="109"/>
        <w:gridCol w:w="232"/>
        <w:gridCol w:w="659"/>
        <w:gridCol w:w="130"/>
        <w:gridCol w:w="109"/>
        <w:gridCol w:w="109"/>
        <w:gridCol w:w="109"/>
        <w:gridCol w:w="211"/>
        <w:gridCol w:w="598"/>
        <w:gridCol w:w="176"/>
      </w:tblGrid>
      <w:tr>
        <w:trPr/>
        <w:tc>
          <w:tcPr>
            <w:tcW w:w="8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derivatives and changes in accumulated OCI, net of tax</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 for change in tax basis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2024</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OCI, net of tax</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 net of distributions, cash</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non-cash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 for change in tax basis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2024</w:t>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 net of tax</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cash</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distributions to CEG unit holders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12</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CLEARWAY ENERGY,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1 — </w:t>
      </w:r>
      <w:r>
        <w:rPr>
          <w:rFonts w:ascii="Times New Roman;serif" w:hAnsi="Times New Roman;serif"/>
          <w:b/>
          <w:i/>
          <w:color w:val="000000"/>
          <w:sz w:val="20"/>
        </w:rPr>
        <w:t>Nature of Business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12.7 GW of gross capacity in 27 states, including approximately 9.9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of the Company’s revenues are derived from long-term contractual arrangements for the output or capacity from these assets.</w:t>
      </w:r>
    </w:p>
    <w:p>
      <w:pPr>
        <w:pStyle w:val="TextBody"/>
        <w:bidi w:val="0"/>
        <w:spacing w:lineRule="auto" w:line="288" w:before="0" w:after="180"/>
        <w:ind w:left="0" w:right="0" w:firstLine="450"/>
        <w:jc w:val="both"/>
        <w:rPr/>
      </w:pPr>
      <w:r>
        <w:rPr>
          <w:rFonts w:ascii="Times New Roman;serif" w:hAnsi="Times New Roman;serif"/>
          <w:b w:val="false"/>
          <w:color w:val="231F20"/>
          <w:sz w:val="20"/>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w:t>
      </w:r>
      <w:r>
        <w:rPr>
          <w:color w:val="000000"/>
        </w:rPr>
        <w:t xml:space="preserve"> </w:t>
      </w:r>
      <w:r>
        <w:rPr>
          <w:rFonts w:ascii="Times New Roman;serif" w:hAnsi="Times New Roman;serif"/>
          <w:b w:val="false"/>
          <w:color w:val="000000"/>
          <w:sz w:val="20"/>
        </w:rPr>
        <w:t>From time to time, CEG may also hold shares of the Company’s Class A and/or Class C common stock.</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owned 58.30% of the economic interests of Clearway Energy LLC, with CEG owning 41.70% of the economic interests of Clearway Energy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13</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left"/>
        <w:rPr/>
      </w:pPr>
      <w:r>
        <w:rPr>
          <w:rFonts w:ascii="Times New Roman;serif" w:hAnsi="Times New Roman;serif"/>
          <w:b w:val="false"/>
          <w:color w:val="000000"/>
          <w:sz w:val="20"/>
        </w:rPr>
        <w:t>The following table represents a summarized structure of the Company as of September 30, 2025:</w:t>
      </w:r>
      <w:r>
        <w:rPr/>
        <w:drawing>
          <wp:inline distT="0" distB="0" distL="0" distR="0">
            <wp:extent cx="6915150" cy="480060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6915150" cy="4800600"/>
                    </a:xfrm>
                    <a:prstGeom prst="rect">
                      <a:avLst/>
                    </a:prstGeom>
                  </pic:spPr>
                </pic:pic>
              </a:graphicData>
            </a:graphic>
          </wp:inline>
        </w:drawing>
      </w:r>
      <w:bookmarkStart w:id="0" w:name="i-1"/>
      <w:bookmarkEnd w:id="0"/>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2024 Form 10-K. Interim results are not necessarily indicative of results for a full year.</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consolidated financial statements contain all material adjustments consisting of normal and recurring accruals necessary for a fair statement of the Company’s consolidated financial position as of September 30, 2025, and results of operations, comprehensive income and cash flows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Note 2 — </w:t>
      </w:r>
      <w:r>
        <w:rPr>
          <w:rFonts w:ascii="Times New Roman;serif" w:hAnsi="Times New Roman;serif"/>
          <w:b/>
          <w:i/>
          <w:color w:val="000000"/>
          <w:sz w:val="20"/>
        </w:rPr>
        <w:t>Summary of Significant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14</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highly liquid investments with an original maturity of three months or less at the time of purchase. Cash and cash equivalents held at subsidiary facilities was $223 million and $194 million as of September 30, 2025 and December 31, 2024, respectively.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490"/>
        <w:gridCol w:w="2175"/>
        <w:gridCol w:w="2188"/>
        <w:gridCol w:w="406"/>
        <w:gridCol w:w="899"/>
        <w:gridCol w:w="213"/>
        <w:gridCol w:w="109"/>
        <w:gridCol w:w="109"/>
        <w:gridCol w:w="109"/>
        <w:gridCol w:w="380"/>
        <w:gridCol w:w="843"/>
        <w:gridCol w:w="284"/>
      </w:tblGrid>
      <w:tr>
        <w:trPr/>
        <w:tc>
          <w:tcPr>
            <w:tcW w:w="2490"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685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8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consolidated statements of cash flows</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consists primarily of funds held to satisfy the requirements of certain debt agreements and funds held within the Company’s facilities that are restricted in their use. As of September 30, 2025, these restricted funds were comprised of $185 million designated to fund operating expenses, $79 million designated for current debt service payments and $84 million restricted for reserves including debt service, performance obligations and other reserves as well as capital expenditures. The remaining $42 million is held in distributions reserve accounts.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Depreciation and Accumulated Amortization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accumulated depreciation included in property, plant and equipment, net, and accumulated amortization included in intangible assets, net:</w:t>
      </w:r>
    </w:p>
    <w:tbl>
      <w:tblPr>
        <w:tblW w:w="8397" w:type="dxa"/>
        <w:jc w:val="left"/>
        <w:tblInd w:w="0" w:type="dxa"/>
        <w:tblLayout w:type="fixed"/>
        <w:tblCellMar>
          <w:top w:w="28" w:type="dxa"/>
          <w:left w:w="28" w:type="dxa"/>
          <w:bottom w:w="28" w:type="dxa"/>
          <w:right w:w="28" w:type="dxa"/>
        </w:tblCellMar>
      </w:tblPr>
      <w:tblGrid>
        <w:gridCol w:w="1766"/>
        <w:gridCol w:w="1550"/>
        <w:gridCol w:w="1559"/>
        <w:gridCol w:w="362"/>
        <w:gridCol w:w="1056"/>
        <w:gridCol w:w="187"/>
        <w:gridCol w:w="109"/>
        <w:gridCol w:w="109"/>
        <w:gridCol w:w="109"/>
        <w:gridCol w:w="342"/>
        <w:gridCol w:w="999"/>
        <w:gridCol w:w="249"/>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Accumulated Depreciation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Accumulated Amortization</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Dividends to Class A and Class C Common Stockholders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dividends paid on the Company's Class A and Class C common stock during the nine months ended September 30, 2025:</w:t>
      </w:r>
    </w:p>
    <w:tbl>
      <w:tblPr>
        <w:tblW w:w="8244"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C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declared quarterly dividends on its Class A and Class C common stock of $0.4528 per share payable on December 15, 2025 to stockholders of record as of December 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Clearway Energy LLC Distributions to CEG</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distributions paid to CEG during the nine months ended September 30, 2025 on Clearway Energy LLC’s Class B and D units:</w:t>
      </w:r>
    </w:p>
    <w:tbl>
      <w:tblPr>
        <w:tblW w:w="8454" w:type="dxa"/>
        <w:jc w:val="left"/>
        <w:tblInd w:w="0" w:type="dxa"/>
        <w:tblLayout w:type="fixed"/>
        <w:tblCellMar>
          <w:top w:w="28" w:type="dxa"/>
          <w:left w:w="28" w:type="dxa"/>
          <w:bottom w:w="28" w:type="dxa"/>
          <w:right w:w="28" w:type="dxa"/>
        </w:tblCellMar>
      </w:tblPr>
      <w:tblGrid>
        <w:gridCol w:w="941"/>
        <w:gridCol w:w="825"/>
        <w:gridCol w:w="829"/>
        <w:gridCol w:w="109"/>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per Class B Unit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D Unit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15</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quarterly distributions paid to CEG, on June 10, 2025, Clearway Energy LLC distributed an additional $7 million to CEG, which represents CEG’s pro-rata share of distributions related to the Company’s $9 million contribution through Pine Forest TE Class A Owner LLC, or Pine Forest TE Class A, an indirect subsidiary of the Company, to acquire the Class A membership interests in Pine Forest TE HoldCo LLC,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3, 2025, Clearway Energy LLC declared a distribution on its Class B and Class D units of $0.4528 per unit payable on December 15, 2025 to unit holders of record as of December 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tbl>
      <w:tblPr>
        <w:tblW w:w="7346" w:type="dxa"/>
        <w:jc w:val="left"/>
        <w:tblInd w:w="0" w:type="dxa"/>
        <w:tblLayout w:type="fixed"/>
        <w:tblCellMar>
          <w:top w:w="28" w:type="dxa"/>
          <w:left w:w="28" w:type="dxa"/>
          <w:bottom w:w="28" w:type="dxa"/>
          <w:right w:w="28" w:type="dxa"/>
        </w:tblCellMar>
      </w:tblPr>
      <w:tblGrid>
        <w:gridCol w:w="2143"/>
        <w:gridCol w:w="1887"/>
        <w:gridCol w:w="1895"/>
        <w:gridCol w:w="109"/>
        <w:gridCol w:w="109"/>
        <w:gridCol w:w="109"/>
        <w:gridCol w:w="299"/>
        <w:gridCol w:w="577"/>
        <w:gridCol w:w="218"/>
      </w:tblGrid>
      <w:tr>
        <w:trPr/>
        <w:tc>
          <w:tcPr>
            <w:tcW w:w="214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the Company’s disaggregation of revenue from contracts with customers along with the reportable segment for each category:</w:t>
      </w:r>
    </w:p>
    <w:tbl>
      <w:tblPr>
        <w:tblW w:w="9309" w:type="dxa"/>
        <w:jc w:val="left"/>
        <w:tblInd w:w="0" w:type="dxa"/>
        <w:tblLayout w:type="fixed"/>
        <w:tblCellMar>
          <w:top w:w="28" w:type="dxa"/>
          <w:left w:w="28" w:type="dxa"/>
          <w:bottom w:w="28" w:type="dxa"/>
          <w:right w:w="28" w:type="dxa"/>
        </w:tblCellMar>
      </w:tblPr>
      <w:tblGrid>
        <w:gridCol w:w="1410"/>
        <w:gridCol w:w="1237"/>
        <w:gridCol w:w="1238"/>
        <w:gridCol w:w="478"/>
        <w:gridCol w:w="819"/>
        <w:gridCol w:w="247"/>
        <w:gridCol w:w="165"/>
        <w:gridCol w:w="165"/>
        <w:gridCol w:w="165"/>
        <w:gridCol w:w="467"/>
        <w:gridCol w:w="1032"/>
        <w:gridCol w:w="241"/>
        <w:gridCol w:w="165"/>
        <w:gridCol w:w="165"/>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16</w:t>
                      </w:r>
                    </w:p>
                  </w:txbxContent>
                </v:textbox>
                <w10:wrap type="none"/>
              </v:rect>
            </w:pict>
          </mc:Fallback>
        </mc:AlternateContent>
      </w:r>
    </w:p>
    <w:p>
      <w:pPr>
        <w:pStyle w:val="TextBody"/>
        <w:bidi w:val="0"/>
        <w:spacing w:before="0" w:after="180"/>
        <w:ind w:left="0" w:right="0" w:hanging="360"/>
        <w:jc w:val="both"/>
        <w:rPr/>
      </w:pPr>
      <w:r>
        <w:rPr/>
      </w:r>
    </w:p>
    <w:tbl>
      <w:tblPr>
        <w:tblW w:w="9520"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48"/>
        <w:gridCol w:w="148"/>
        <w:gridCol w:w="148"/>
        <w:gridCol w:w="467"/>
        <w:gridCol w:w="1032"/>
        <w:gridCol w:w="240"/>
        <w:gridCol w:w="148"/>
        <w:gridCol w:w="148"/>
        <w:gridCol w:w="148"/>
        <w:gridCol w:w="148"/>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350 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102 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384 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486 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(274)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76 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110 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186 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4" w:type="dxa"/>
        <w:jc w:val="left"/>
        <w:tblInd w:w="0" w:type="dxa"/>
        <w:tblLayout w:type="fixed"/>
        <w:tblCellMar>
          <w:top w:w="28" w:type="dxa"/>
          <w:left w:w="28" w:type="dxa"/>
          <w:bottom w:w="28" w:type="dxa"/>
          <w:right w:w="28" w:type="dxa"/>
        </w:tblCellMar>
      </w:tblPr>
      <w:tblGrid>
        <w:gridCol w:w="1410"/>
        <w:gridCol w:w="1237"/>
        <w:gridCol w:w="1238"/>
        <w:gridCol w:w="415"/>
        <w:gridCol w:w="917"/>
        <w:gridCol w:w="213"/>
        <w:gridCol w:w="137"/>
        <w:gridCol w:w="137"/>
        <w:gridCol w:w="137"/>
        <w:gridCol w:w="468"/>
        <w:gridCol w:w="1032"/>
        <w:gridCol w:w="240"/>
        <w:gridCol w:w="137"/>
        <w:gridCol w:w="137"/>
        <w:gridCol w:w="137"/>
        <w:gridCol w:w="137"/>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949 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(28)</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224 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895 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1,119 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125 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(765)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378 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521 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17</w:t>
                      </w:r>
                    </w:p>
                  </w:txbxContent>
                </v:textbox>
                <w10:wrap type="none"/>
              </v:rect>
            </w:pict>
          </mc:Fallback>
        </mc:AlternateContent>
      </w:r>
    </w:p>
    <w:p>
      <w:pPr>
        <w:pStyle w:val="TextBody"/>
        <w:bidi w:val="0"/>
        <w:spacing w:before="0" w:after="180"/>
        <w:ind w:left="0" w:right="0" w:hanging="360"/>
        <w:jc w:val="both"/>
        <w:rPr/>
      </w:pPr>
      <w:r>
        <w:rPr/>
      </w:r>
    </w:p>
    <w:tbl>
      <w:tblPr>
        <w:tblW w:w="9244" w:type="dxa"/>
        <w:jc w:val="left"/>
        <w:tblInd w:w="0" w:type="dxa"/>
        <w:tblLayout w:type="fixed"/>
        <w:tblCellMar>
          <w:top w:w="28" w:type="dxa"/>
          <w:left w:w="28" w:type="dxa"/>
          <w:bottom w:w="28" w:type="dxa"/>
          <w:right w:w="28" w:type="dxa"/>
        </w:tblCellMar>
      </w:tblPr>
      <w:tblGrid>
        <w:gridCol w:w="1410"/>
        <w:gridCol w:w="1237"/>
        <w:gridCol w:w="1238"/>
        <w:gridCol w:w="414"/>
        <w:gridCol w:w="916"/>
        <w:gridCol w:w="214"/>
        <w:gridCol w:w="152"/>
        <w:gridCol w:w="152"/>
        <w:gridCol w:w="152"/>
        <w:gridCol w:w="467"/>
        <w:gridCol w:w="1032"/>
        <w:gridCol w:w="241"/>
        <w:gridCol w:w="152"/>
        <w:gridCol w:w="152"/>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contract assets included on the Company’s consolidated balance sheets:</w:t>
      </w:r>
    </w:p>
    <w:tbl>
      <w:tblPr>
        <w:tblW w:w="7825" w:type="dxa"/>
        <w:jc w:val="left"/>
        <w:tblInd w:w="0" w:type="dxa"/>
        <w:tblLayout w:type="fixed"/>
        <w:tblCellMar>
          <w:top w:w="28" w:type="dxa"/>
          <w:left w:w="28" w:type="dxa"/>
          <w:bottom w:w="28" w:type="dxa"/>
          <w:right w:w="28" w:type="dxa"/>
        </w:tblCellMar>
      </w:tblPr>
      <w:tblGrid>
        <w:gridCol w:w="1558"/>
        <w:gridCol w:w="1369"/>
        <w:gridCol w:w="1378"/>
        <w:gridCol w:w="429"/>
        <w:gridCol w:w="950"/>
        <w:gridCol w:w="225"/>
        <w:gridCol w:w="109"/>
        <w:gridCol w:w="109"/>
        <w:gridCol w:w="109"/>
        <w:gridCol w:w="339"/>
        <w:gridCol w:w="750"/>
        <w:gridCol w:w="500"/>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Contracts with customers</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Leases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Standards Not Yet Adopted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The amendment clarifies when software costs should be capitalized and requires certain disclosures for all capitalized internal-use software costs. This guidance may be applied prospectively, retrospectively or on a modified retrospective basis and is effective for annual reporting periods in fiscal years beginning after December 15, 2027. The Company intends to early adopt ASU 2025-06 prospectively, effective January 1, 2026. The adoption is not expected to have an impact on the Company’s financial statements.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September 2025, the FASB issued ASU No. 2025-07, </w:t>
      </w:r>
      <w:r>
        <w:rPr>
          <w:rFonts w:ascii="Times New Roman;serif" w:hAnsi="Times New Roman;serif"/>
          <w:b w:val="false"/>
          <w:i/>
          <w:color w:val="000000"/>
          <w:sz w:val="20"/>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serif" w:hAnsi="Times New Roman;serif"/>
          <w:b w:val="false"/>
          <w:color w:val="000000"/>
          <w:sz w:val="20"/>
        </w:rPr>
        <w:t xml:space="preserve">The amendment expands the derivative scope exceptions and clarifies when an entity should apply the guidance in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to contracts with share-based noncash consideration from a customer for the transfer of goods or services. This guidance may be applied either prospectively or on a modified retrospective basis and is effective for annual reporting periods in fiscal years beginning after December 15, 2026. The Company intends to early adopt ASU 2025-07 prospectively, effective January 1, 2026. The adoption is not expected to have an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3 — </w:t>
      </w:r>
      <w:r>
        <w:rPr>
          <w:rFonts w:ascii="Times New Roman;serif" w:hAnsi="Times New Roman;serif"/>
          <w:b/>
          <w:i/>
          <w:color w:val="000000"/>
          <w:sz w:val="20"/>
        </w:rPr>
        <w:t>Acquisitions and Dispositions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Acquisitions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18</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property, plant and equipment for the Company’s third-party acquisition of Tuolumne was determined primarily based on an income method using discounted cash flows and validated using a cost approach based on the replacement cost of the assets less economic depreciation. This methodology was utilized as the forecasted cash flows incorporate specific attributes including age, useful life, equipment condition and technology. The fair value of intangible assets for power purchase agreements related to the Company’s third-party acquisitions of Tuolumne and Catalina were determined utilizing a variation of the income approach determined by discounting the replacement market price of the incremental cash flows associated with the contract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pStyle w:val="TextBody"/>
        <w:bidi w:val="0"/>
        <w:spacing w:lineRule="auto" w:line="288" w:before="0" w:after="180"/>
        <w:ind w:left="0" w:right="0" w:firstLine="450"/>
        <w:jc w:val="both"/>
        <w:rPr/>
      </w:pPr>
      <w:r>
        <w:rPr>
          <w:rFonts w:ascii="Times New Roman;serif" w:hAnsi="Times New Roman;serif"/>
          <w:b/>
          <w:i/>
          <w:color w:val="000000"/>
          <w:sz w:val="20"/>
        </w:rPr>
        <w:t>Honeycomb Portfolio Drop Down</w:t>
      </w:r>
      <w:r>
        <w:rPr>
          <w:color w:val="000000"/>
        </w:rPr>
        <w:t xml:space="preserve"> — </w:t>
      </w:r>
      <w:r>
        <w:rPr>
          <w:rFonts w:ascii="Times New Roman;serif" w:hAnsi="Times New Roman;serif"/>
          <w:b w:val="false"/>
          <w:color w:val="000000"/>
          <w:sz w:val="20"/>
        </w:rPr>
        <w:t>On October 15, 2025, the Company, through its indirect subsidiary, Honeycomb 1 Holdco LLC, acquired Honeycomb TargetCo LLC, the indirect owner of the Honeycomb Portfolio, which includes four BESS facilities under construction in Beaver County and Iron County, Utah representing 320 MW of capacity, from Clearway Renew for initial cash consideration of $16 million. Honeycomb TargetCo LLC consolidates as primary beneficiary, Honeycomb TE Holdco LLC, a tax equity fund that owns the Honeycomb Portfolio BESS facilities. Also on October 15, 2025, a tax equity investor contributed $59 million to acquire the Class A membership interests in Honeycomb TE Holdco LLC. At substantial completion, which is expected to occur in the first half of 2026, the Company estimates it will pay an additional $62 million to Clearway Renew and the tax equity investor will contribute an additional $237 million. The Honeycomb Portfolio has 20-year PPAs with an investment-grade utility that will commence when the underlying operating assets reach commercial operations, which is expected to occur in the first half of 2026. The acquisition was funded with existing sources of liquidity. The Company estimates that its total capital investment in Honeycomb TargetCo LLC will be $78 million, excluding the impact of any closing adjustments noted in the purchase agreement.</w:t>
      </w:r>
    </w:p>
    <w:p>
      <w:pPr>
        <w:pStyle w:val="TextBody"/>
        <w:bidi w:val="0"/>
        <w:spacing w:lineRule="auto" w:line="288" w:before="0" w:after="180"/>
        <w:ind w:left="0" w:right="0" w:firstLine="450"/>
        <w:jc w:val="both"/>
        <w:rPr/>
      </w:pPr>
      <w:r>
        <w:rPr>
          <w:rFonts w:ascii="Times New Roman;serif" w:hAnsi="Times New Roman;serif"/>
          <w:b/>
          <w:i/>
          <w:color w:val="000000"/>
          <w:sz w:val="20"/>
        </w:rPr>
        <w:t>Daggett 1 Drop Down</w:t>
      </w:r>
      <w:r>
        <w:rPr>
          <w:color w:val="000000"/>
        </w:rPr>
        <w:t xml:space="preserve"> — </w:t>
      </w:r>
      <w:r>
        <w:rPr>
          <w:rFonts w:ascii="Times New Roman;serif" w:hAnsi="Times New Roman;serif"/>
          <w:b w:val="false"/>
          <w:color w:val="000000"/>
          <w:sz w:val="20"/>
        </w:rPr>
        <w:t>On April 29, 2025, the Company, through its indirect subsidiary, LV-Daggett Parent Holdco LLC, acquired Daggett 1 Class B Member LLC, or Daggett 1 Class B, the indirect owner of Daggett 1, a 114 MW BESS facility located in San Bernardino County, California, from Clearway Renew for initial cash consideration of $11 million. On September 19, 2025, when the facility reached substantial completion, the Company paid $42 million to Clearway Renew as additional purchase price. Daggett 1 Class B consolidates as primary beneficiary, Daggett 1 TE Holdco LLC, a tax equity fund that owns the Daggett 1 BESS facility</w:t>
      </w:r>
      <w:r>
        <w:rPr>
          <w:rFonts w:ascii="Times New Roman;serif" w:hAnsi="Times New Roman;serif"/>
          <w:b w:val="false"/>
          <w:color w:val="000000"/>
          <w:sz w:val="20"/>
          <w:shd w:fill="FFFFFF" w:val="clear"/>
        </w:rPr>
        <w:t xml:space="preserve">,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Daggett 1 has a PPA for capacity with an investment-grade counterparty for a contract duration of 15 years that commenced in September 2025. </w:t>
      </w:r>
      <w:r>
        <w:rPr>
          <w:rFonts w:ascii="Times New Roman;serif" w:hAnsi="Times New Roman;serif"/>
          <w:b w:val="false"/>
          <w:color w:val="000000"/>
          <w:sz w:val="20"/>
          <w:shd w:fill="FFFFFF" w:val="clear"/>
        </w:rPr>
        <w:t>Daggett 1 is reflected in the Company’s Renewables &amp; Storage segment and the acquisition was funded with existing sources of liquidity. The acquisition was determined to be an asset acquisition and the Company consolidates Daggett 1 on a prospective basis in its financial statements.</w:t>
      </w:r>
      <w:r>
        <w:rPr>
          <w:color w:val="000000"/>
        </w:rPr>
        <w:t xml:space="preserve"> </w:t>
      </w:r>
      <w:r>
        <w:rPr>
          <w:rFonts w:ascii="Times New Roman;serif" w:hAnsi="Times New Roman;serif"/>
          <w:b w:val="false"/>
          <w:color w:val="000000"/>
          <w:sz w:val="20"/>
          <w:shd w:fill="FFFFFF" w:val="clear"/>
        </w:rPr>
        <w:t xml:space="preserve">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difference between the initial cash consideration of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and the historical cost of the Company’s net assets acquired of </w:t>
      </w:r>
      <w:r>
        <w:rPr>
          <w:rFonts w:ascii="Times New Roman;serif" w:hAnsi="Times New Roman;serif"/>
          <w:b w:val="false"/>
          <w:color w:val="000000"/>
          <w:sz w:val="20"/>
        </w:rPr>
        <w:t>$1 million</w:t>
      </w:r>
      <w:r>
        <w:rPr>
          <w:color w:val="000000"/>
          <w:shd w:fill="FFFFFF" w:val="clear"/>
        </w:rPr>
        <w:t xml:space="preserve"> </w:t>
      </w:r>
      <w:r>
        <w:rPr>
          <w:rFonts w:ascii="Times New Roman;serif" w:hAnsi="Times New Roman;serif"/>
          <w:b w:val="false"/>
          <w:color w:val="000000"/>
          <w:sz w:val="20"/>
          <w:shd w:fill="FFFFFF" w:val="clear"/>
        </w:rPr>
        <w:t xml:space="preserve">was recorded as an adjustment to CEG’s noncontrolling interest balance. The </w:t>
      </w:r>
      <w:r>
        <w:rPr>
          <w:rFonts w:ascii="Times New Roman;serif" w:hAnsi="Times New Roman;serif"/>
          <w:b w:val="false"/>
          <w:color w:val="000000"/>
          <w:sz w:val="20"/>
        </w:rPr>
        <w:t xml:space="preserve">$42 million additional purchase price was also </w:t>
      </w:r>
      <w:r>
        <w:rPr>
          <w:rFonts w:ascii="Times New Roman;serif" w:hAnsi="Times New Roman;serif"/>
          <w:b w:val="false"/>
          <w:color w:val="000000"/>
          <w:sz w:val="20"/>
          <w:shd w:fill="FFFFFF" w:val="clear"/>
        </w:rPr>
        <w:t xml:space="preserve">recorded as an adjustment to CEG’s noncontrolling interest balance. In addition, the Company reflected the entire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of the Company’s initial purchase price, which was contributed back to the Company by CEG into escrow in the line item contributions from CEG, net of distributions, in the consolidated statements of stockholders’ equity. The Company also reflected the entire </w:t>
      </w:r>
      <w:r>
        <w:rPr>
          <w:rFonts w:ascii="Times New Roman;serif" w:hAnsi="Times New Roman;serif"/>
          <w:b w:val="false"/>
          <w:color w:val="000000"/>
          <w:sz w:val="20"/>
        </w:rPr>
        <w:t xml:space="preserve">$42 million of the Company’s additional purchase price, </w:t>
      </w:r>
      <w:r>
        <w:rPr>
          <w:rFonts w:ascii="Times New Roman;serif" w:hAnsi="Times New Roman;serif"/>
          <w:b w:val="false"/>
          <w:color w:val="000000"/>
          <w:sz w:val="20"/>
          <w:shd w:fill="FFFFFF" w:val="clear"/>
        </w:rPr>
        <w:t xml:space="preserve">which was contributed back to the Company by CEG to pay down long-term debt, in the line item contributions from CEG, net of distributions, in the consolidated statements of stockholders’ equity. </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15, 2025, the Company paid $4 million to Clearway Renew as a purchase price true up. The Company’s total capital investment in Daggett 1 Class B was $57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19</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April 29, 2025:</w:t>
      </w:r>
    </w:p>
    <w:tbl>
      <w:tblPr>
        <w:tblW w:w="4555" w:type="dxa"/>
        <w:jc w:val="left"/>
        <w:tblInd w:w="0" w:type="dxa"/>
        <w:tblLayout w:type="fixed"/>
        <w:tblCellMar>
          <w:top w:w="28" w:type="dxa"/>
          <w:left w:w="28" w:type="dxa"/>
          <w:bottom w:w="28" w:type="dxa"/>
          <w:right w:w="28" w:type="dxa"/>
        </w:tblCellMar>
      </w:tblPr>
      <w:tblGrid>
        <w:gridCol w:w="1209"/>
        <w:gridCol w:w="1064"/>
        <w:gridCol w:w="1071"/>
        <w:gridCol w:w="109"/>
        <w:gridCol w:w="109"/>
        <w:gridCol w:w="109"/>
        <w:gridCol w:w="300"/>
        <w:gridCol w:w="364"/>
        <w:gridCol w:w="220"/>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Daggett 1</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$221 million.</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Includes a $92 million construction loan and a $131 million tax equity bridge loan, offset by $3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TextBody"/>
        <w:bidi w:val="0"/>
        <w:spacing w:lineRule="auto" w:line="288" w:before="0" w:after="180"/>
        <w:ind w:left="0" w:right="0" w:firstLine="450"/>
        <w:jc w:val="both"/>
        <w:rPr/>
      </w:pPr>
      <w:r>
        <w:rPr>
          <w:rFonts w:ascii="Times New Roman;serif" w:hAnsi="Times New Roman;serif"/>
          <w:b/>
          <w:i/>
          <w:color w:val="000000"/>
          <w:sz w:val="20"/>
        </w:rPr>
        <w:t>Luna Valley Drop Down</w:t>
      </w:r>
      <w:r>
        <w:rPr>
          <w:color w:val="000000"/>
        </w:rPr>
        <w:t xml:space="preserve"> — </w:t>
      </w:r>
      <w:r>
        <w:rPr>
          <w:rFonts w:ascii="Times New Roman;serif" w:hAnsi="Times New Roman;serif"/>
          <w:b w:val="false"/>
          <w:color w:val="000000"/>
          <w:sz w:val="20"/>
        </w:rPr>
        <w:t>On April 29, 2025, the Company, through its indirect subsidiary, LV-Daggett Parent Holdco LLC, acquired Luna Valley Class B Member LLC, or Luna Valley Class B, the indirect owner of Luna Valley, a 200 MW solar facility located in Fresno County, California, from Clearway Renew for initial cash consideration of $18 million. On September 4, 2025, when the facility reached substantial completion, the Company paid $72 million to Clearway Renew as additional purchase price. Luna Valley Class B consolidates as primary beneficiary, Luna Valley TE Holdco LLC, a tax equity fund that owns the Luna Valley solar facility</w:t>
      </w:r>
      <w:r>
        <w:rPr>
          <w:rFonts w:ascii="Times New Roman;serif" w:hAnsi="Times New Roman;serif"/>
          <w:b w:val="false"/>
          <w:color w:val="000000"/>
          <w:sz w:val="20"/>
          <w:shd w:fill="FFFFFF" w:val="clear"/>
        </w:rPr>
        <w:t xml:space="preserve">,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Luna Valley has PPAs with investment-grade counterparties that have a 17-year weighted average contract duration that commenced in August 2025. </w:t>
      </w:r>
      <w:r>
        <w:rPr>
          <w:rFonts w:ascii="Times New Roman;serif" w:hAnsi="Times New Roman;serif"/>
          <w:b w:val="false"/>
          <w:color w:val="000000"/>
          <w:sz w:val="20"/>
          <w:shd w:fill="FFFFFF" w:val="clear"/>
        </w:rPr>
        <w:t>Luna Valley is reflected in the Company’s Renewables &amp; Storage segment and the acquisition was funded with existing sources of liquidity. The acquisition was determined to be an asset acquisition and the Company consolidates Luna Valley on a prospective basis in its financial statements.</w:t>
      </w:r>
      <w:r>
        <w:rPr>
          <w:color w:val="000000"/>
        </w:rPr>
        <w:t xml:space="preserve"> </w:t>
      </w:r>
      <w:r>
        <w:rPr>
          <w:rFonts w:ascii="Times New Roman;serif" w:hAnsi="Times New Roman;serif"/>
          <w:b w:val="false"/>
          <w:color w:val="000000"/>
          <w:sz w:val="20"/>
          <w:shd w:fill="FFFFFF" w:val="clear"/>
        </w:rPr>
        <w:t xml:space="preserve">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sum of the initial cash consideration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the historical cost of the Company’s net liabilities assumed of </w:t>
      </w:r>
      <w:r>
        <w:rPr>
          <w:rFonts w:ascii="Times New Roman;serif" w:hAnsi="Times New Roman;serif"/>
          <w:b w:val="false"/>
          <w:color w:val="000000"/>
          <w:sz w:val="20"/>
        </w:rPr>
        <w:t>$7 million</w:t>
      </w:r>
      <w:r>
        <w:rPr>
          <w:color w:val="000000"/>
          <w:shd w:fill="FFFFFF" w:val="clear"/>
        </w:rPr>
        <w:t xml:space="preserve"> </w:t>
      </w:r>
      <w:r>
        <w:rPr>
          <w:rFonts w:ascii="Times New Roman;serif" w:hAnsi="Times New Roman;serif"/>
          <w:b w:val="false"/>
          <w:color w:val="000000"/>
          <w:sz w:val="20"/>
          <w:shd w:fill="FFFFFF" w:val="clear"/>
        </w:rPr>
        <w:t xml:space="preserve">was recorded as an adjustment to CEG’s noncontrolling interest balance. The </w:t>
      </w:r>
      <w:r>
        <w:rPr>
          <w:rFonts w:ascii="Times New Roman;serif" w:hAnsi="Times New Roman;serif"/>
          <w:b w:val="false"/>
          <w:color w:val="000000"/>
          <w:sz w:val="20"/>
        </w:rPr>
        <w:t>$72 million additional purchase price was also recorded as an adjustment to CEG’s noncontrolling interest balance.</w:t>
      </w:r>
      <w:r>
        <w:rPr>
          <w:color w:val="000000"/>
          <w:shd w:fill="FFFFFF" w:val="clear"/>
        </w:rPr>
        <w:t xml:space="preserve"> </w:t>
      </w:r>
      <w:r>
        <w:rPr>
          <w:rFonts w:ascii="Times New Roman;serif" w:hAnsi="Times New Roman;serif"/>
          <w:b w:val="false"/>
          <w:color w:val="000000"/>
          <w:sz w:val="20"/>
          <w:shd w:fill="FFFFFF" w:val="clear"/>
        </w:rPr>
        <w:t xml:space="preserve">In addition, the Company reflected the entire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of the Company’s initial purchase price and </w:t>
      </w:r>
      <w:r>
        <w:rPr>
          <w:rFonts w:ascii="Times New Roman;serif" w:hAnsi="Times New Roman;serif"/>
          <w:b w:val="false"/>
          <w:color w:val="000000"/>
          <w:sz w:val="20"/>
        </w:rPr>
        <w:t>$72 million of the Company’s additional purchase price</w:t>
      </w:r>
      <w:r>
        <w:rPr>
          <w:rFonts w:ascii="Times New Roman;serif" w:hAnsi="Times New Roman;serif"/>
          <w:b w:val="false"/>
          <w:color w:val="000000"/>
          <w:sz w:val="20"/>
          <w:shd w:fill="FFFFFF" w:val="clear"/>
        </w:rPr>
        <w:t xml:space="preserve">, which were contributed back to the Company by CEG to pay down the acquired long-term debt, in the line item contributions from CEG, net of distributions, in the consolidated statements of stockholders’ equity. </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15, 2025, the Company paid $29 million to Clearway Renew as a purchase price true up. The Company’s total capital investment in Luna Valley Class B was $119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20</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April 29, 2025:</w:t>
      </w:r>
    </w:p>
    <w:tbl>
      <w:tblPr>
        <w:tblW w:w="4766" w:type="dxa"/>
        <w:jc w:val="left"/>
        <w:tblInd w:w="0" w:type="dxa"/>
        <w:tblLayout w:type="fixed"/>
        <w:tblCellMar>
          <w:top w:w="28" w:type="dxa"/>
          <w:left w:w="28" w:type="dxa"/>
          <w:bottom w:w="28" w:type="dxa"/>
          <w:right w:w="28" w:type="dxa"/>
        </w:tblCellMar>
      </w:tblPr>
      <w:tblGrid>
        <w:gridCol w:w="1209"/>
        <w:gridCol w:w="1065"/>
        <w:gridCol w:w="1070"/>
        <w:gridCol w:w="109"/>
        <w:gridCol w:w="109"/>
        <w:gridCol w:w="109"/>
        <w:gridCol w:w="332"/>
        <w:gridCol w:w="521"/>
        <w:gridCol w:w="242"/>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Luna Valley</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$338 million.</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Includes a $144 million construction loan, a $64 million cash equity bridge loan and a $144 million tax equity bridge loan, offset by $4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TextBody"/>
        <w:bidi w:val="0"/>
        <w:spacing w:lineRule="auto" w:line="288" w:before="0" w:after="180"/>
        <w:ind w:left="0" w:right="0" w:firstLine="450"/>
        <w:jc w:val="both"/>
        <w:rPr/>
      </w:pPr>
      <w:r>
        <w:rPr>
          <w:rFonts w:ascii="Times New Roman;serif" w:hAnsi="Times New Roman;serif"/>
          <w:b/>
          <w:i/>
          <w:color w:val="000000"/>
          <w:sz w:val="20"/>
        </w:rPr>
        <w:t>Rosamond South I Drop Down</w:t>
      </w:r>
      <w:r>
        <w:rPr>
          <w:color w:val="000000"/>
        </w:rPr>
        <w:t xml:space="preserve"> — </w:t>
      </w:r>
      <w:r>
        <w:rPr>
          <w:rFonts w:ascii="Times New Roman;serif" w:hAnsi="Times New Roman;serif"/>
          <w:b w:val="false"/>
          <w:color w:val="000000"/>
          <w:sz w:val="20"/>
        </w:rPr>
        <w:t xml:space="preserve">On March 20,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Rosamond South Investment LLC,</w:t>
      </w:r>
      <w:r>
        <w:rPr>
          <w:color w:val="000000"/>
          <w:shd w:fill="FFFFFF" w:val="clear"/>
        </w:rPr>
        <w:t xml:space="preserve"> </w:t>
      </w:r>
      <w:r>
        <w:rPr>
          <w:rFonts w:ascii="Times New Roman;serif" w:hAnsi="Times New Roman;serif"/>
          <w:b w:val="false"/>
          <w:color w:val="000000"/>
          <w:sz w:val="20"/>
          <w:shd w:fill="FFFFFF" w:val="clear"/>
        </w:rPr>
        <w:t xml:space="preserve">acquired the Class A membership interests in Rosie South TargetCo LLC, or Rosie South TargetCo, a partnership and the indirect owner of Rosamond South I, a 140 MW solar facility that is paired with a 117 MW BESS facility located in Rosamond, California,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Rosie South TargetCo consolidates as primary beneficiary, Rosie South TE Holdco LLC, a tax equity fund that directly owns the Rosamond South I solar and BESS facility,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shd w:fill="FFFFFF" w:val="clear"/>
        </w:rPr>
        <w:t xml:space="preserve">. Rosamond South I has PPAs with investment-grade counterparties that have a 15-year weighted average contract duration </w:t>
      </w:r>
      <w:r>
        <w:rPr>
          <w:rFonts w:ascii="Times New Roman;serif" w:hAnsi="Times New Roman;serif"/>
          <w:b w:val="false"/>
          <w:color w:val="000000"/>
          <w:sz w:val="20"/>
        </w:rPr>
        <w:t xml:space="preserve">that commenced in August 2025. </w:t>
      </w:r>
      <w:r>
        <w:rPr>
          <w:rFonts w:ascii="Times New Roman;serif" w:hAnsi="Times New Roman;serif"/>
          <w:b w:val="false"/>
          <w:color w:val="000000"/>
          <w:sz w:val="20"/>
          <w:shd w:fill="FFFFFF" w:val="clear"/>
        </w:rPr>
        <w:t xml:space="preserve">Rosamond South I is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sum of the initial cash consideration of $4 million and the historical cost of the Company’s net liabilities assumed of </w:t>
      </w:r>
      <w:r>
        <w:rPr>
          <w:rFonts w:ascii="Times New Roman;serif" w:hAnsi="Times New Roman;serif"/>
          <w:b w:val="false"/>
          <w:color w:val="000000"/>
          <w:sz w:val="20"/>
        </w:rPr>
        <w:t>$3 million</w:t>
      </w:r>
      <w:r>
        <w:rPr>
          <w:color w:val="000000"/>
          <w:shd w:fill="FFFFFF" w:val="clear"/>
        </w:rPr>
        <w:t xml:space="preserve"> </w:t>
      </w:r>
      <w:r>
        <w:rPr>
          <w:rFonts w:ascii="Times New Roman;serif" w:hAnsi="Times New Roman;serif"/>
          <w:b w:val="false"/>
          <w:color w:val="000000"/>
          <w:sz w:val="20"/>
          <w:shd w:fill="FFFFFF" w:val="clear"/>
        </w:rPr>
        <w:t>was recorded as an adjustment to CEG’s noncontrolling interest balance. The $29 million additional purchase price was also recorded as an adjustment to CEG’s noncontrolling interest balance. In addition, the Company reflected the entire $4 million of the Company’s initial purchase price, which was contributed back to the Company by CEG to pay down the acquired long-term debt, in the line item distributions to CEG, net of contributions, in the consolidated statements of stockholders’ equity. The Company also reflected the entire $29 million of the Company’s additional purchase price, which was contributed back to the Company by CEG to pay down long-term debt, in the line item contributions from CEG, net of distributions, in the consolidated statements of stockholders’ equity. The Company’s total capital investment in Rosie South TargetCo was $33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21</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March 20, 2025:</w:t>
      </w:r>
    </w:p>
    <w:tbl>
      <w:tblPr>
        <w:tblW w:w="5290" w:type="dxa"/>
        <w:jc w:val="left"/>
        <w:tblInd w:w="0" w:type="dxa"/>
        <w:tblLayout w:type="fixed"/>
        <w:tblCellMar>
          <w:top w:w="28" w:type="dxa"/>
          <w:left w:w="28" w:type="dxa"/>
          <w:bottom w:w="28" w:type="dxa"/>
          <w:right w:w="28" w:type="dxa"/>
        </w:tblCellMar>
      </w:tblPr>
      <w:tblGrid>
        <w:gridCol w:w="1209"/>
        <w:gridCol w:w="1064"/>
        <w:gridCol w:w="1071"/>
        <w:gridCol w:w="109"/>
        <w:gridCol w:w="109"/>
        <w:gridCol w:w="109"/>
        <w:gridCol w:w="410"/>
        <w:gridCol w:w="907"/>
        <w:gridCol w:w="302"/>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Rosamond South I</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Right-of-use assets, net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lease liabilities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$495 million.</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Balances primarily relate to a land lease agreement with a wholly-owned subsidiary of CEG, which expires on September 30, 2058.</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 xml:space="preserve">Includes a $179 million construction loan, a $6 million cash equity bridge loan and a $284 million tax equity bridge loan, offset by $1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TextBody"/>
        <w:bidi w:val="0"/>
        <w:spacing w:lineRule="auto" w:line="288" w:before="0" w:after="60"/>
        <w:ind w:left="0" w:right="0" w:firstLine="450"/>
        <w:jc w:val="both"/>
        <w:rPr/>
      </w:pPr>
      <w:r>
        <w:rPr>
          <w:rFonts w:ascii="Times New Roman;serif" w:hAnsi="Times New Roman;serif"/>
          <w:b/>
          <w:i/>
          <w:color w:val="000000"/>
          <w:sz w:val="20"/>
          <w:shd w:fill="FFFFFF" w:val="clear"/>
        </w:rPr>
        <w:t>Catalina Solar Acquisition</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On July 16, 2025, the Company, through its indirect subsidiary, Catalina Solar Investment LLC, acquired Catalina Solar Lessee Holdco LLC, which leases and operates Catalina, a 109 MW solar facility located in Kern County, California, from a third-party for approximately $127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Catalina reached commercial operations in 2013 and has a PPA with an investment-grade utility through 2038. Catalina is reflected in the Renewables &amp; Storage segment and the acquisition was funded with existing sources of liquidity. After factoring in cash reserves acquired and transaction expenses, the Company’s net capital investment in Catalina is expected to be $128 million. The acquisition was determined to be an asset acquisition and the purchase price, including transaction expenses, was allocated to the fair value of the assets acquired and liabilities assumed on the acquisition date as follows:</w:t>
      </w:r>
    </w:p>
    <w:tbl>
      <w:tblPr>
        <w:tblW w:w="5012" w:type="dxa"/>
        <w:jc w:val="left"/>
        <w:tblInd w:w="0" w:type="dxa"/>
        <w:tblLayout w:type="fixed"/>
        <w:tblCellMar>
          <w:top w:w="28" w:type="dxa"/>
          <w:left w:w="28" w:type="dxa"/>
          <w:bottom w:w="28" w:type="dxa"/>
          <w:right w:w="28" w:type="dxa"/>
        </w:tblCellMar>
      </w:tblPr>
      <w:tblGrid>
        <w:gridCol w:w="1393"/>
        <w:gridCol w:w="1227"/>
        <w:gridCol w:w="1234"/>
        <w:gridCol w:w="109"/>
        <w:gridCol w:w="109"/>
        <w:gridCol w:w="109"/>
        <w:gridCol w:w="211"/>
        <w:gridCol w:w="466"/>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Catalina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for power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22</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pPr>
      <w:r>
        <w:rPr>
          <w:rFonts w:ascii="Times New Roman;serif" w:hAnsi="Times New Roman;serif"/>
          <w:b/>
          <w:i/>
          <w:color w:val="000000"/>
          <w:sz w:val="20"/>
          <w:shd w:fill="FFFFFF" w:val="clear"/>
        </w:rPr>
        <w:t xml:space="preserve">Pine Forest Drop Down </w:t>
      </w:r>
      <w:r>
        <w:rPr>
          <w:color w:val="000000"/>
        </w:rPr>
        <w:t xml:space="preserve">— </w:t>
      </w:r>
      <w:r>
        <w:rPr>
          <w:rFonts w:ascii="Times New Roman;serif" w:hAnsi="Times New Roman;serif"/>
          <w:b w:val="false"/>
          <w:color w:val="000000"/>
          <w:sz w:val="20"/>
        </w:rPr>
        <w:t>On June 10, 2025, the Company,</w:t>
      </w:r>
      <w:r>
        <w:rPr>
          <w:color w:val="000000"/>
          <w:shd w:fill="FFFFFF" w:val="clear"/>
        </w:rPr>
        <w:t xml:space="preserve"> </w:t>
      </w:r>
      <w:r>
        <w:rPr>
          <w:rFonts w:ascii="Times New Roman;serif" w:hAnsi="Times New Roman;serif"/>
          <w:b w:val="false"/>
          <w:color w:val="000000"/>
          <w:sz w:val="20"/>
          <w:shd w:fill="FFFFFF" w:val="clear"/>
        </w:rPr>
        <w:t xml:space="preserve">through its indirect subsidiary, Pine Forest CE Class A Owner LLC, acquired the Class A membership interests in Pine Forest CE TargetCo LLC, or Pine Forest TargetCo, a partnership and the indirect owner of Pine Forest, a 300 MW solar facility that is paired with a 200 MW BESS facility, which are both currently under construction in Hopkins County, Texas, from Clearway Renew for initial cash consideration of $18 million. Simultaneously, a third-party cash equity investor acquired the Class B membership interests in Pine Forest TargetCo from Clearway Renew for initial cash consideration of $36 million. Pine Forest TargetCo consolidates as primary beneficiary, Pine Forest TE HoldCo LLC, a tax equity fund that directly owns the Pine Forest solar and BESS facility,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shd w:fill="FFFFFF" w:val="clear"/>
        </w:rPr>
        <w:t>. Also on June 10, 2025, the Company, through its indirect subsidiary, Pine Forest TE Class A, contributed $9 million to acquire the Class A membership interests in Pine Forest TE HoldCo LLC. At substantial completion, which is expected to occur in the fourth quarter of 2025, the Company estimates it will pay an additional $72 million to Clearway Renew for its Class A membership interests in Pine Forest TargetCo and will contribute an additional $37 million for its Class A membership interests in Pine Forest TE HoldCo LLC. In addition, the third-party cash equity investor in Pine Forest TargetCo is expected to contribute an additional $144 million.</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Pine Forest has PPAs for the solar facility with investment-grade counterparties and a 20-year weighted average contract duration that will commence when the underlying operating assets reach commercial operations, which is expected to occur in the fourth quarter of 2025. Pine Forest is reflected in the Company’s Renewables &amp; Storage segment and the acquisition was funded with existing sources of liquidity. The acquisition was determined to be an asset acquisition and the Company consolidates Pine Forest on a prospective basis in its financial statements. 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sum of the initial cash consideration of $18 million and the historical cost of the Company’s net liabilities assumed of </w:t>
      </w:r>
      <w:r>
        <w:rPr>
          <w:rFonts w:ascii="Times New Roman;serif" w:hAnsi="Times New Roman;serif"/>
          <w:b w:val="false"/>
          <w:color w:val="000000"/>
          <w:sz w:val="20"/>
        </w:rPr>
        <w:t>$9 million</w:t>
      </w:r>
      <w:r>
        <w:rPr>
          <w:color w:val="000000"/>
          <w:shd w:fill="FFFFFF" w:val="clear"/>
        </w:rPr>
        <w:t xml:space="preserve"> </w:t>
      </w:r>
      <w:r>
        <w:rPr>
          <w:rFonts w:ascii="Times New Roman;serif" w:hAnsi="Times New Roman;serif"/>
          <w:b w:val="false"/>
          <w:color w:val="000000"/>
          <w:sz w:val="20"/>
          <w:shd w:fill="FFFFFF" w:val="clear"/>
        </w:rPr>
        <w:t>was recorded as an adjustment to CEG’s noncontrolling interest balance. In addition, the Company reflected the entire $18 million of the Company’s initial purchase price, which was contributed back to the Company by CEG to pay down the acquired long-term debt, in the line item contributions from CEG, net of distributions, in the consolidated statements of stockholders’ equity. The Company estimates that its total capital investment in Pine Forest TargetCo will be $136 million, excluding the impact of any closing adjustments noted in the purchase agreement.</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June 10, 2025:</w:t>
      </w:r>
    </w:p>
    <w:tbl>
      <w:tblPr>
        <w:tblW w:w="4675" w:type="dxa"/>
        <w:jc w:val="left"/>
        <w:tblInd w:w="0" w:type="dxa"/>
        <w:tblLayout w:type="fixed"/>
        <w:tblCellMar>
          <w:top w:w="28" w:type="dxa"/>
          <w:left w:w="28" w:type="dxa"/>
          <w:bottom w:w="28" w:type="dxa"/>
          <w:right w:w="28" w:type="dxa"/>
        </w:tblCellMar>
      </w:tblPr>
      <w:tblGrid>
        <w:gridCol w:w="1209"/>
        <w:gridCol w:w="1065"/>
        <w:gridCol w:w="1070"/>
        <w:gridCol w:w="109"/>
        <w:gridCol w:w="109"/>
        <w:gridCol w:w="109"/>
        <w:gridCol w:w="304"/>
        <w:gridCol w:w="478"/>
        <w:gridCol w:w="222"/>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Pine Forest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$550 million.</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Includes a $103 million construction loan, a $102 million cash equity bridge loan, a $41 million tax equity bridge loan and a $275 million tax credit transfer bridge loan, offset by $6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23</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pPr>
      <w:r>
        <w:rPr>
          <w:rFonts w:ascii="Times New Roman;serif" w:hAnsi="Times New Roman;serif"/>
          <w:b/>
          <w:i/>
          <w:color w:val="000000"/>
          <w:sz w:val="20"/>
          <w:shd w:fill="FFFFFF" w:val="clear"/>
        </w:rPr>
        <w:t>Tuolumne Wind Acquisition</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On April 29, 2025, the Company, through its indirect subsidiary, Washington Wind LLC, acquired Tuolumne, a 137 MW wind facility located in Klickitat County, Washington, from an investment-grade regulated entity for approximately $210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Tuolumne reached commercial operations in 2009. In connection with the acquisition, the Company entered into a 15-year PPA with an investment-grade regulated entity that commenced in April 2025</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Tuolumne is reflected in the Company’s Renewables &amp; Storage segment and the acquisition was funded with borrowings under the new financing agreement that was entered into in connection with the acquisition, as further described in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shd w:fill="FFFFFF" w:val="clear"/>
        </w:rPr>
        <w:t>, as well as existing sources of liquidity. After factoring in transaction expenses and the new financing, the Company’s net capital investment in Tuolumne was $59 million. The acquisition was determined to be an asset acquisition and the purchase price, including transaction expenses, was allocated to the fair value of the assets acquired and liabilities assumed on the acquisition date as follows:</w:t>
      </w:r>
    </w:p>
    <w:tbl>
      <w:tblPr>
        <w:tblW w:w="5128" w:type="dxa"/>
        <w:jc w:val="left"/>
        <w:tblInd w:w="0" w:type="dxa"/>
        <w:tblLayout w:type="fixed"/>
        <w:tblCellMar>
          <w:top w:w="28" w:type="dxa"/>
          <w:left w:w="28" w:type="dxa"/>
          <w:bottom w:w="28" w:type="dxa"/>
          <w:right w:w="28" w:type="dxa"/>
        </w:tblCellMar>
      </w:tblPr>
      <w:tblGrid>
        <w:gridCol w:w="1394"/>
        <w:gridCol w:w="1227"/>
        <w:gridCol w:w="1234"/>
        <w:gridCol w:w="109"/>
        <w:gridCol w:w="109"/>
        <w:gridCol w:w="109"/>
        <w:gridCol w:w="240"/>
        <w:gridCol w:w="530"/>
        <w:gridCol w:w="176"/>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Tuolumne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for power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Dispositions</w:t>
      </w:r>
    </w:p>
    <w:p>
      <w:pPr>
        <w:pStyle w:val="TextBody"/>
        <w:bidi w:val="0"/>
        <w:spacing w:lineRule="auto" w:line="288" w:before="0" w:after="180"/>
        <w:ind w:left="0" w:right="0" w:firstLine="450"/>
        <w:jc w:val="both"/>
        <w:rPr/>
      </w:pPr>
      <w:r>
        <w:rPr>
          <w:rFonts w:ascii="Times New Roman;serif" w:hAnsi="Times New Roman;serif"/>
          <w:b/>
          <w:i/>
          <w:color w:val="000000"/>
          <w:sz w:val="20"/>
        </w:rPr>
        <w:t>Mt. Storm Sale to Clearway Renew</w:t>
      </w:r>
      <w:r>
        <w:rPr>
          <w:color w:val="000000"/>
        </w:rPr>
        <w:t xml:space="preserve"> — </w:t>
      </w:r>
      <w:r>
        <w:rPr>
          <w:rFonts w:ascii="Times New Roman;serif" w:hAnsi="Times New Roman;serif"/>
          <w:b w:val="false"/>
          <w:color w:val="000000"/>
          <w:sz w:val="20"/>
        </w:rPr>
        <w:t>On October 2, 2025, the Company, through its indirect subsidiary, WV Wind Holdco LLC, sold 100% of its membership interests in Mount Storm Wind LLC, which owns Mt. Storm, a 264 MW wind facility located in Grant County, West Virginia,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Additionally, the Company has an exclusive option to purchase the Class B membership interests in the tax equity fund that, upon mechanical completion of the first phase of the repowering of the facility, will own Mt. Storm. Upon achieving repowering commercial operations, which is expected to occur in the second half of 2027, the facility will sell power to Microsoft under a 20-year PPA.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Note 4 — </w:t>
      </w:r>
      <w:r>
        <w:rPr>
          <w:rFonts w:ascii="Times New Roman;serif" w:hAnsi="Times New Roman;serif"/>
          <w:b/>
          <w:i/>
          <w:color w:val="000000"/>
          <w:sz w:val="20"/>
        </w:rPr>
        <w:t>Investments Accounted for by the Equity Method and Variable Interest Entities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not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w:t>
      </w:r>
      <w:r>
        <w:rPr>
          <w:color w:val="000000"/>
        </w:rPr>
        <w:t xml:space="preserve"> </w:t>
      </w:r>
      <w:r>
        <w:rPr>
          <w:rFonts w:ascii="Times New Roman;serif" w:hAnsi="Times New Roman;serif"/>
          <w:b w:val="false"/>
          <w:i/>
          <w:color w:val="000000"/>
          <w:sz w:val="20"/>
        </w:rPr>
        <w:t xml:space="preserve">Investments Accounted for by the Equity Method and Variable Interest Entities,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2024</w:t>
      </w:r>
      <w:r>
        <w:rPr>
          <w:color w:val="231F20"/>
        </w:rPr>
        <w:t xml:space="preserve"> </w:t>
      </w:r>
      <w:r>
        <w:rPr>
          <w:rFonts w:ascii="Times New Roman;serif" w:hAnsi="Times New Roman;serif"/>
          <w:b w:val="false"/>
          <w:color w:val="231F20"/>
          <w:sz w:val="20"/>
        </w:rPr>
        <w:t>Form 10</w:t>
      </w:r>
      <w:r>
        <w:rPr>
          <w:rFonts w:ascii="Times New Roman;serif" w:hAnsi="Times New Roman;serif"/>
          <w:b w:val="false"/>
          <w:color w:val="000000"/>
          <w:sz w:val="20"/>
        </w:rPr>
        <w:t>-K.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24</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Company’s equity investments in unconsolidated affiliates as of September 30, 2025:</w:t>
      </w:r>
    </w:p>
    <w:tbl>
      <w:tblPr>
        <w:tblW w:w="5408" w:type="dxa"/>
        <w:jc w:val="left"/>
        <w:tblInd w:w="0" w:type="dxa"/>
        <w:tblLayout w:type="fixed"/>
        <w:tblCellMar>
          <w:top w:w="28" w:type="dxa"/>
          <w:left w:w="28" w:type="dxa"/>
          <w:bottom w:w="28" w:type="dxa"/>
          <w:right w:w="28" w:type="dxa"/>
        </w:tblCellMar>
      </w:tblPr>
      <w:tblGrid>
        <w:gridCol w:w="498"/>
        <w:gridCol w:w="434"/>
        <w:gridCol w:w="448"/>
        <w:gridCol w:w="109"/>
        <w:gridCol w:w="109"/>
        <w:gridCol w:w="109"/>
        <w:gridCol w:w="499"/>
        <w:gridCol w:w="499"/>
        <w:gridCol w:w="501"/>
        <w:gridCol w:w="109"/>
        <w:gridCol w:w="109"/>
        <w:gridCol w:w="109"/>
        <w:gridCol w:w="475"/>
        <w:gridCol w:w="1051"/>
        <w:gridCol w:w="349"/>
      </w:tblGrid>
      <w:tr>
        <w:trPr/>
        <w:tc>
          <w:tcPr>
            <w:tcW w:w="49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Investment Balance </w:t>
            </w:r>
            <w:r>
              <w:rPr>
                <w:rFonts w:ascii="Times New Roman;serif" w:hAnsi="Times New Roman;serif"/>
                <w:b/>
                <w:color w:val="000000"/>
                <w:sz w:val="13"/>
              </w:rPr>
              <w:t>(a)</w:t>
            </w:r>
          </w:p>
        </w:tc>
      </w:tr>
      <w:tr>
        <w:trPr/>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Desert Sunlight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Elkhorn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GenConn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Juan Mesa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 Company’s maximum exposure to loss is limited to its investment balances.</w:t>
      </w:r>
    </w:p>
    <w:p>
      <w:pPr>
        <w:pStyle w:val="TextBody"/>
        <w:bidi w:val="0"/>
        <w:spacing w:lineRule="auto" w:line="288" w:before="0" w:after="18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GenConn is a VIE.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As further described under Item 15 — Note 5,</w:t>
      </w:r>
      <w:r>
        <w:rPr>
          <w:color w:val="000000"/>
        </w:rPr>
        <w:t xml:space="preserve"> </w:t>
      </w:r>
      <w:r>
        <w:rPr>
          <w:rFonts w:ascii="Times New Roman;serif" w:hAnsi="Times New Roman;serif"/>
          <w:b w:val="false"/>
          <w:i/>
          <w:color w:val="000000"/>
          <w:sz w:val="20"/>
        </w:rPr>
        <w:t xml:space="preserve">Investments Accounted for by the Equity Method and Variable Interest Entities, </w:t>
      </w:r>
      <w:r>
        <w:rPr>
          <w:rFonts w:ascii="Times New Roman;serif" w:hAnsi="Times New Roman;serif"/>
          <w:b w:val="false"/>
          <w:color w:val="000000"/>
          <w:sz w:val="20"/>
        </w:rPr>
        <w:t xml:space="preserve">to the consolidated financial statements included in the Company’s 2024 Form 10-K, the Company has a controlling financial interest in certain entities which have been identified as VIEs under ASC 810, </w:t>
      </w:r>
      <w:r>
        <w:rPr>
          <w:rFonts w:ascii="Times New Roman;serif" w:hAnsi="Times New Roman;serif"/>
          <w:b w:val="false"/>
          <w:i/>
          <w:color w:val="000000"/>
          <w:sz w:val="20"/>
        </w:rPr>
        <w:t>Consolidations</w:t>
      </w:r>
      <w:r>
        <w:rPr>
          <w:rFonts w:ascii="Times New Roman;serif" w:hAnsi="Times New Roman;serif"/>
          <w:b w:val="false"/>
          <w:color w:val="000000"/>
          <w:sz w:val="20"/>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activity during the nine months ended September 30, 2025 related to the Company’s consolidated VIEs:</w:t>
      </w:r>
    </w:p>
    <w:p>
      <w:pPr>
        <w:pStyle w:val="TextBody"/>
        <w:bidi w:val="0"/>
        <w:spacing w:lineRule="auto" w:line="288" w:before="0" w:after="180"/>
        <w:ind w:left="0" w:right="0" w:firstLine="450"/>
        <w:jc w:val="both"/>
        <w:rPr/>
      </w:pPr>
      <w:r>
        <w:rPr>
          <w:rFonts w:ascii="Times New Roman;serif" w:hAnsi="Times New Roman;serif"/>
          <w:b/>
          <w:i/>
          <w:color w:val="000000"/>
          <w:sz w:val="20"/>
        </w:rPr>
        <w:t>DGPV Funds</w:t>
      </w:r>
      <w:r>
        <w:rPr>
          <w:color w:val="000000"/>
        </w:rPr>
        <w:t xml:space="preserve"> — </w:t>
      </w:r>
      <w:r>
        <w:rPr>
          <w:rFonts w:ascii="Times New Roman;serif" w:hAnsi="Times New Roman;serif"/>
          <w:b w:val="false"/>
          <w:color w:val="000000"/>
          <w:sz w:val="20"/>
        </w:rPr>
        <w:t>On August 11, 2025, Puma Class B LLC, an indirect subsidiary of the Company, acquired 100% of the Class A membership interests in Golden Puma Fund LLC, a tax equity fund that owns several distributed solar facilities, from the tax equity investor for $3 million. Prior to the acquisition, the Company consolidated Golden Puma Fund LLC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and the cash paid to acquire the Class A membership interests was less than $1 million.</w:t>
      </w:r>
    </w:p>
    <w:p>
      <w:pPr>
        <w:pStyle w:val="TextBody"/>
        <w:bidi w:val="0"/>
        <w:spacing w:lineRule="auto" w:line="288" w:before="0" w:after="180"/>
        <w:ind w:left="0" w:right="0" w:firstLine="450"/>
        <w:jc w:val="both"/>
        <w:rPr/>
      </w:pPr>
      <w:r>
        <w:rPr>
          <w:rFonts w:ascii="Times New Roman;serif" w:hAnsi="Times New Roman;serif"/>
          <w:b/>
          <w:i/>
          <w:color w:val="000000"/>
          <w:sz w:val="20"/>
        </w:rPr>
        <w:t xml:space="preserve">Pine Forest TargetCo </w:t>
      </w:r>
      <w:r>
        <w:rPr>
          <w:color w:val="000000"/>
        </w:rPr>
        <w:t xml:space="preserve">—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June 10, 2025, Pine Forest CE Class A Owner LLC, an indirect subsidiary of the Company, acquired the Class A membership interests in Pine Forest TargetCo, which is a partnership. The Company consolidates Pine Forest TargetCo as a VIE, as the Company is the primary beneficiary. Through its membership interests in Pine Forest TargetCo, the Company receives 50% of distributable cash. The Company recorded the third-party cash equity investor’s noncontrolling interest in Pine Forest TargetCo at the historical carrying amount, with the offset to additional paid-in capital. Pine Forest TargetCo consolidates as primary beneficiary, and through its ownership of the Class B membership interests, Pine Forest TE HoldCo LLC, a tax equity fund that directly owns the Pine Forest solar and BESS facility. The Class A membership interests in Pine Forest TE HoldCo LLC are held by Pine Forest TE Class A, an indirect subsidiary of the Company.</w:t>
      </w:r>
    </w:p>
    <w:p>
      <w:pPr>
        <w:pStyle w:val="TextBody"/>
        <w:bidi w:val="0"/>
        <w:spacing w:lineRule="auto" w:line="288" w:before="0" w:after="180"/>
        <w:ind w:left="0" w:right="0" w:firstLine="450"/>
        <w:jc w:val="both"/>
        <w:rPr/>
      </w:pPr>
      <w:r>
        <w:rPr>
          <w:rFonts w:ascii="Times New Roman;serif" w:hAnsi="Times New Roman;serif"/>
          <w:b/>
          <w:i/>
          <w:color w:val="000000"/>
          <w:sz w:val="20"/>
        </w:rPr>
        <w:t>Luna Valley TE Holdco LLC</w:t>
      </w:r>
      <w:r>
        <w:rPr>
          <w:color w:val="000000"/>
        </w:rPr>
        <w:t xml:space="preserve"> —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April 29, 2025, LV-Daggett Parent Holdco LLC, an indirect subsidiary of the Company, acquired Luna Valley Class B. Luna Valley Class B consolidates as primary beneficiary, and through its ownership of the Class B membership interests, Luna Valley TE Holdco LLC, a tax equity fund that owns the Luna Valley solar facility. The Class A membership interests in Luna Valley TE Holdco LLC are held by a tax equity investor and are reflected as redeemable noncontrolling interest on the Company’s consolidated balance sheet.</w:t>
      </w:r>
    </w:p>
    <w:p>
      <w:pPr>
        <w:pStyle w:val="TextBody"/>
        <w:bidi w:val="0"/>
        <w:spacing w:lineRule="auto" w:line="288" w:before="0" w:after="180"/>
        <w:ind w:left="0" w:right="0" w:firstLine="450"/>
        <w:jc w:val="both"/>
        <w:rPr/>
      </w:pPr>
      <w:r>
        <w:rPr>
          <w:rFonts w:ascii="Times New Roman;serif" w:hAnsi="Times New Roman;serif"/>
          <w:b/>
          <w:i/>
          <w:color w:val="000000"/>
          <w:sz w:val="20"/>
        </w:rPr>
        <w:t>Daggett 1 TE Holdco LLC</w:t>
      </w:r>
      <w:r>
        <w:rPr>
          <w:color w:val="000000"/>
        </w:rPr>
        <w:t xml:space="preserve"> —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April 29, 2025, LV-Daggett Parent Holdco LLC acquired Daggett 1 Class B. Daggett 1 Class B consolidates as primary beneficiary, and through its ownership of the Class B membership interests, Daggett 1 TE Holdco LLC, a tax equity fund that owns the Daggett 1 BESS facility. The Class A membership interests in Daggett 1 TE Holdco LLC are held by a tax equity investor and are reflected as redeemable noncontrolling interest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pPr>
      <w:r>
        <w:rPr>
          <w:rFonts w:ascii="Times New Roman;serif" w:hAnsi="Times New Roman;serif"/>
          <w:b/>
          <w:i/>
          <w:color w:val="000000"/>
          <w:sz w:val="20"/>
        </w:rPr>
        <w:t xml:space="preserve">Rosie South TargetCo </w:t>
      </w:r>
      <w:r>
        <w:rPr>
          <w:color w:val="000000"/>
        </w:rPr>
        <w:t xml:space="preserve">—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March 20, 2025, Rosamond South Investment LLC, an indirect subsidiary of the Company, acquired the 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additional paid-in capital. Rosie South TargetCo consolidates as primary beneficiary, and through its ownership of the Class B membership interests, Rosie South TE Holdco LLC, a tax equity fund that directly owns the Rosamond South I solar and BESS facility. The Class A membership interests in Rosie South TE Holdco LLC are held by a tax equity investor and are reflected as noncontrolling interest on the Company’s consolidated balance sheet.</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updated the following disclosure of assets and liabilities for its consolidated VIEs to present combined totals, and has revised the amounts as of December 31, 2024 to reflect accurate comparative totals for the same relevant entities:</w:t>
      </w:r>
    </w:p>
    <w:tbl>
      <w:tblPr>
        <w:tblW w:w="6551" w:type="dxa"/>
        <w:jc w:val="left"/>
        <w:tblInd w:w="0" w:type="dxa"/>
        <w:tblLayout w:type="fixed"/>
        <w:tblCellMar>
          <w:top w:w="28" w:type="dxa"/>
          <w:left w:w="28" w:type="dxa"/>
          <w:bottom w:w="28" w:type="dxa"/>
          <w:right w:w="28" w:type="dxa"/>
        </w:tblCellMar>
      </w:tblPr>
      <w:tblGrid>
        <w:gridCol w:w="1097"/>
        <w:gridCol w:w="963"/>
        <w:gridCol w:w="969"/>
        <w:gridCol w:w="362"/>
        <w:gridCol w:w="1056"/>
        <w:gridCol w:w="187"/>
        <w:gridCol w:w="109"/>
        <w:gridCol w:w="109"/>
        <w:gridCol w:w="109"/>
        <w:gridCol w:w="342"/>
        <w:gridCol w:w="999"/>
        <w:gridCol w:w="24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5 — </w:t>
      </w:r>
      <w:r>
        <w:rPr>
          <w:rFonts w:ascii="Times New Roman;serif" w:hAnsi="Times New Roman;serif"/>
          <w:b/>
          <w:i/>
          <w:color w:val="000000"/>
          <w:sz w:val="20"/>
        </w:rPr>
        <w:t>Fair Value of Financial Instruments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Accounting under ASC 820</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the Company’s recorded financial instrument not carried at fair market value or that does not approximate fair value is as follows:</w:t>
      </w:r>
    </w:p>
    <w:tbl>
      <w:tblPr>
        <w:tblW w:w="9453" w:type="dxa"/>
        <w:jc w:val="left"/>
        <w:tblInd w:w="0" w:type="dxa"/>
        <w:tblLayout w:type="fixed"/>
        <w:tblCellMar>
          <w:top w:w="28" w:type="dxa"/>
          <w:left w:w="28" w:type="dxa"/>
          <w:bottom w:w="28" w:type="dxa"/>
          <w:right w:w="28" w:type="dxa"/>
        </w:tblCellMar>
      </w:tblPr>
      <w:tblGrid>
        <w:gridCol w:w="1351"/>
        <w:gridCol w:w="1190"/>
        <w:gridCol w:w="1194"/>
        <w:gridCol w:w="318"/>
        <w:gridCol w:w="928"/>
        <w:gridCol w:w="164"/>
        <w:gridCol w:w="109"/>
        <w:gridCol w:w="109"/>
        <w:gridCol w:w="109"/>
        <w:gridCol w:w="211"/>
        <w:gridCol w:w="616"/>
        <w:gridCol w:w="109"/>
        <w:gridCol w:w="109"/>
        <w:gridCol w:w="109"/>
        <w:gridCol w:w="109"/>
        <w:gridCol w:w="318"/>
        <w:gridCol w:w="928"/>
        <w:gridCol w:w="164"/>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 including current portion</w:t>
            </w:r>
            <w:r>
              <w:rPr>
                <w:color w:val="000000"/>
              </w:rPr>
              <w:t xml:space="preserve"> </w:t>
            </w:r>
            <w:r>
              <w:rPr>
                <w:rFonts w:ascii="Times New Roman;serif" w:hAnsi="Times New Roman;serif"/>
                <w:b w:val="false"/>
                <w:color w:val="000000"/>
                <w:sz w:val="13"/>
              </w:rPr>
              <w:t>(a)</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Excludes net debt issuance costs, which are recorded as a reduction to long-term debt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26</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878" w:type="dxa"/>
        <w:jc w:val="left"/>
        <w:tblInd w:w="0" w:type="dxa"/>
        <w:tblLayout w:type="fixed"/>
        <w:tblCellMar>
          <w:top w:w="28" w:type="dxa"/>
          <w:left w:w="28" w:type="dxa"/>
          <w:bottom w:w="28" w:type="dxa"/>
          <w:right w:w="28" w:type="dxa"/>
        </w:tblCellMar>
      </w:tblPr>
      <w:tblGrid>
        <w:gridCol w:w="1190"/>
        <w:gridCol w:w="1042"/>
        <w:gridCol w:w="1053"/>
        <w:gridCol w:w="109"/>
        <w:gridCol w:w="109"/>
        <w:gridCol w:w="221"/>
        <w:gridCol w:w="490"/>
        <w:gridCol w:w="113"/>
        <w:gridCol w:w="112"/>
        <w:gridCol w:w="112"/>
        <w:gridCol w:w="112"/>
        <w:gridCol w:w="218"/>
        <w:gridCol w:w="482"/>
        <w:gridCol w:w="112"/>
        <w:gridCol w:w="109"/>
        <w:gridCol w:w="171"/>
        <w:gridCol w:w="171"/>
        <w:gridCol w:w="171"/>
        <w:gridCol w:w="171"/>
        <w:gridCol w:w="331"/>
        <w:gridCol w:w="732"/>
        <w:gridCol w:w="171"/>
        <w:gridCol w:w="109"/>
        <w:gridCol w:w="109"/>
        <w:gridCol w:w="109"/>
        <w:gridCol w:w="211"/>
        <w:gridCol w:w="46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Energy-related commodity contracts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financial instruments </w:t>
            </w:r>
            <w:r>
              <w:rPr>
                <w:rFonts w:ascii="Times New Roman;serif" w:hAnsi="Times New Roman;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Energy-related commodity contracts</w:t>
            </w:r>
            <w:r>
              <w:rPr>
                <w:color w:val="000000"/>
              </w:rPr>
              <w:t xml:space="preserv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There were no derivative assets or liabilities classified as Level 1 as of September 30, 2025 and December 31, 2024.</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The Company’s interest rate swaps are measured at fair value using an income approach, which uses readily observable inputs, such as forward interest rates (e.g., SOFR) and contractual terms to estimate fair value.</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Includes heat rate call option contracts.</w:t>
      </w:r>
    </w:p>
    <w:p>
      <w:pPr>
        <w:pStyle w:val="TextBody"/>
        <w:bidi w:val="0"/>
        <w:spacing w:lineRule="auto" w:line="288" w:before="0" w:after="6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Includes SREC contract.</w:t>
      </w:r>
    </w:p>
    <w:p>
      <w:pPr>
        <w:pStyle w:val="TextBody"/>
        <w:bidi w:val="0"/>
        <w:spacing w:lineRule="auto" w:line="288" w:before="0" w:after="18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Includes short-term backbone transportation service contracts classified as Level 2, and long-term power commodity contracts and heat rate call option contracts classified as Level 3. As of September 30, 2025 and December 31, 2024, respectively, $336 million and $366 million related to long-term power commodity contracts, and zero and $5 million related to heat rate call option contracts.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388"/>
        <w:gridCol w:w="1152"/>
        <w:gridCol w:w="1159"/>
        <w:gridCol w:w="109"/>
        <w:gridCol w:w="109"/>
        <w:gridCol w:w="109"/>
        <w:gridCol w:w="307"/>
        <w:gridCol w:w="746"/>
        <w:gridCol w:w="158"/>
        <w:gridCol w:w="158"/>
        <w:gridCol w:w="158"/>
        <w:gridCol w:w="158"/>
        <w:gridCol w:w="307"/>
        <w:gridCol w:w="746"/>
        <w:gridCol w:w="158"/>
        <w:gridCol w:w="109"/>
        <w:gridCol w:w="109"/>
        <w:gridCol w:w="109"/>
        <w:gridCol w:w="305"/>
        <w:gridCol w:w="741"/>
        <w:gridCol w:w="157"/>
        <w:gridCol w:w="157"/>
        <w:gridCol w:w="157"/>
        <w:gridCol w:w="157"/>
        <w:gridCol w:w="305"/>
        <w:gridCol w:w="741"/>
        <w:gridCol w:w="236"/>
      </w:tblGrid>
      <w:tr>
        <w:trPr/>
        <w:tc>
          <w:tcPr>
            <w:tcW w:w="138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47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(losses) gains for the period 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included in earnings for derivatives and other financial instruments held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September 30, 2025, contracts valued with prices provided by models and other valuation techniques make up 9% of derivative assets, 90% of derivative liabilities and 100% of other financial instruments.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quantifies the significant unobservable inputs used in developing the fair value of the Company’s Level 3 positions:</w:t>
      </w:r>
    </w:p>
    <w:tbl>
      <w:tblPr>
        <w:tblW w:w="10205" w:type="dxa"/>
        <w:jc w:val="left"/>
        <w:tblInd w:w="0" w:type="dxa"/>
        <w:tblLayout w:type="fixed"/>
        <w:tblCellMar>
          <w:top w:w="28" w:type="dxa"/>
          <w:left w:w="28" w:type="dxa"/>
          <w:bottom w:w="28" w:type="dxa"/>
          <w:right w:w="28" w:type="dxa"/>
        </w:tblCellMar>
      </w:tblPr>
      <w:tblGrid>
        <w:gridCol w:w="699"/>
        <w:gridCol w:w="587"/>
        <w:gridCol w:w="589"/>
        <w:gridCol w:w="196"/>
        <w:gridCol w:w="406"/>
        <w:gridCol w:w="109"/>
        <w:gridCol w:w="263"/>
        <w:gridCol w:w="565"/>
        <w:gridCol w:w="148"/>
        <w:gridCol w:w="422"/>
        <w:gridCol w:w="422"/>
        <w:gridCol w:w="424"/>
        <w:gridCol w:w="762"/>
        <w:gridCol w:w="762"/>
        <w:gridCol w:w="764"/>
        <w:gridCol w:w="210"/>
        <w:gridCol w:w="597"/>
        <w:gridCol w:w="116"/>
        <w:gridCol w:w="217"/>
        <w:gridCol w:w="616"/>
        <w:gridCol w:w="120"/>
        <w:gridCol w:w="258"/>
        <w:gridCol w:w="736"/>
        <w:gridCol w:w="217"/>
      </w:tblGrid>
      <w:tr>
        <w:trPr/>
        <w:tc>
          <w:tcPr>
            <w:tcW w:w="6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Input/Range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Heat Rate Call Option Commodity Contracts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MMBtu)</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Financial Instruments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Forecast annual generation levels of certain DG solar facilities</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60,047 MWh</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120,094 MWh</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108,791 MWh</w:t>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impact on the fair value measurements to increases/(decreases) in significant unobservable inputs as of September 30, 2025:</w:t>
      </w:r>
    </w:p>
    <w:tbl>
      <w:tblPr>
        <w:tblW w:w="10205" w:type="dxa"/>
        <w:jc w:val="left"/>
        <w:tblInd w:w="0" w:type="dxa"/>
        <w:tblLayout w:type="fixed"/>
        <w:tblCellMar>
          <w:top w:w="28" w:type="dxa"/>
          <w:left w:w="28" w:type="dxa"/>
          <w:bottom w:w="28" w:type="dxa"/>
          <w:right w:w="28" w:type="dxa"/>
        </w:tblCellMar>
      </w:tblPr>
      <w:tblGrid>
        <w:gridCol w:w="1014"/>
        <w:gridCol w:w="892"/>
        <w:gridCol w:w="901"/>
        <w:gridCol w:w="795"/>
        <w:gridCol w:w="795"/>
        <w:gridCol w:w="797"/>
        <w:gridCol w:w="265"/>
        <w:gridCol w:w="265"/>
        <w:gridCol w:w="266"/>
        <w:gridCol w:w="514"/>
        <w:gridCol w:w="482"/>
        <w:gridCol w:w="484"/>
        <w:gridCol w:w="798"/>
        <w:gridCol w:w="798"/>
        <w:gridCol w:w="1139"/>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Input</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Fair Value Measurement</w:t>
            </w:r>
          </w:p>
        </w:tc>
      </w:tr>
      <w:tr>
        <w:trPr/>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Power</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Lower/(Higher)</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Gas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Instruments</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Forecast Generation Levels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2025, the non-performance reserve was a $17 million gain recorded primarily to total operating revenues in the consolidated statements of operations. It is possible that future market prices could vary from those used in recording assets and liabilities and such variations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28</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credit risk discussion as disclosed under Item 15 —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 xml:space="preserve">consolidated financial statements included in the </w:t>
      </w:r>
      <w:r>
        <w:rPr>
          <w:rFonts w:ascii="Times New Roman;serif" w:hAnsi="Times New Roman;serif"/>
          <w:b w:val="false"/>
          <w:color w:val="231F20"/>
          <w:sz w:val="20"/>
        </w:rPr>
        <w:t xml:space="preserve">Company’s </w:t>
      </w:r>
      <w:r>
        <w:rPr>
          <w:rFonts w:ascii="Times New Roman;serif" w:hAnsi="Times New Roman;serif"/>
          <w:b w:val="false"/>
          <w:color w:val="000000"/>
          <w:sz w:val="20"/>
        </w:rPr>
        <w:t>2024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6 — </w:t>
      </w:r>
      <w:r>
        <w:rPr>
          <w:rFonts w:ascii="Times New Roman;serif" w:hAnsi="Times New Roman;serif"/>
          <w:b/>
          <w:i/>
          <w:color w:val="000000"/>
          <w:sz w:val="20"/>
        </w:rPr>
        <w:t>Derivative Instruments and Hedging Activities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This footnote should be read in conjunction with the complete description under Item 15 — Note 7, </w:t>
      </w:r>
      <w:r>
        <w:rPr>
          <w:rFonts w:ascii="Times New Roman;serif" w:hAnsi="Times New Roman;serif"/>
          <w:b w:val="false"/>
          <w:i/>
          <w:color w:val="000000"/>
          <w:sz w:val="20"/>
        </w:rPr>
        <w:t>Accounting for Derivative Instruments and Hedging Activities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consolidated financial statements included in the Company’s 2024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in order to hedge the variability of expected future cash interest payments that may arise in connection with its non-recourse debt or a potential refinancing of its Senior Notes. As of September 30, 2025, the Company had interest rate derivative instruments extending through 2033,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Energy-Related Commodity Contracts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energy-related derivative instruments extending through 2033. At September 30, 2025, these contracts were not designated as cash flow or fair value hedges.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Volumetric Underlying Derivative Transactions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notional volume buy/(sell) of the Company’s open derivative transactions broken out by commodity:</w:t>
      </w:r>
    </w:p>
    <w:tbl>
      <w:tblPr>
        <w:tblW w:w="5619" w:type="dxa"/>
        <w:jc w:val="left"/>
        <w:tblInd w:w="0" w:type="dxa"/>
        <w:tblLayout w:type="fixed"/>
        <w:tblCellMar>
          <w:top w:w="28" w:type="dxa"/>
          <w:left w:w="28" w:type="dxa"/>
          <w:bottom w:w="28" w:type="dxa"/>
          <w:right w:w="28" w:type="dxa"/>
        </w:tblCellMar>
      </w:tblPr>
      <w:tblGrid>
        <w:gridCol w:w="401"/>
        <w:gridCol w:w="354"/>
        <w:gridCol w:w="355"/>
        <w:gridCol w:w="253"/>
        <w:gridCol w:w="253"/>
        <w:gridCol w:w="260"/>
        <w:gridCol w:w="109"/>
        <w:gridCol w:w="109"/>
        <w:gridCol w:w="109"/>
        <w:gridCol w:w="348"/>
        <w:gridCol w:w="1017"/>
        <w:gridCol w:w="180"/>
        <w:gridCol w:w="109"/>
        <w:gridCol w:w="109"/>
        <w:gridCol w:w="109"/>
        <w:gridCol w:w="332"/>
        <w:gridCol w:w="970"/>
        <w:gridCol w:w="24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Volume</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Natural Gas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29</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of Derivative Instruments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421"/>
        <w:gridCol w:w="1196"/>
        <w:gridCol w:w="1200"/>
        <w:gridCol w:w="364"/>
        <w:gridCol w:w="807"/>
        <w:gridCol w:w="190"/>
        <w:gridCol w:w="109"/>
        <w:gridCol w:w="109"/>
        <w:gridCol w:w="109"/>
        <w:gridCol w:w="352"/>
        <w:gridCol w:w="780"/>
        <w:gridCol w:w="184"/>
        <w:gridCol w:w="109"/>
        <w:gridCol w:w="109"/>
        <w:gridCol w:w="109"/>
        <w:gridCol w:w="364"/>
        <w:gridCol w:w="807"/>
        <w:gridCol w:w="190"/>
        <w:gridCol w:w="109"/>
        <w:gridCol w:w="109"/>
        <w:gridCol w:w="109"/>
        <w:gridCol w:w="345"/>
        <w:gridCol w:w="764"/>
        <w:gridCol w:w="260"/>
      </w:tblGrid>
      <w:tr>
        <w:trPr/>
        <w:tc>
          <w:tcPr>
            <w:tcW w:w="142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Cash Flow Hedges</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Cash Flow Hedges:</w:t>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current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long-term</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Cash Flow Hedges</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present derivative assets and liabilities on the balance sheet on a trade-by-trade basis and does not offset amounts at the counterparty level. As of September 30, 2025 and December 31, 2024, the amount of outstanding collateral paid or received was immaterial.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38"/>
        <w:gridCol w:w="1026"/>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derivative instruments </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6912" w:type="dxa"/>
            <w:gridSpan w:val="15"/>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30</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on the Company’s accumulated OCI (OCL) balance attributable to interest rate swaps designated as cash flow hedge derivatives, net of tax:</w:t>
      </w:r>
    </w:p>
    <w:tbl>
      <w:tblPr>
        <w:tblW w:w="10205" w:type="dxa"/>
        <w:jc w:val="left"/>
        <w:tblInd w:w="0" w:type="dxa"/>
        <w:tblLayout w:type="fixed"/>
        <w:tblCellMar>
          <w:top w:w="28" w:type="dxa"/>
          <w:left w:w="28" w:type="dxa"/>
          <w:bottom w:w="28" w:type="dxa"/>
          <w:right w:w="28" w:type="dxa"/>
        </w:tblCellMar>
      </w:tblPr>
      <w:tblGrid>
        <w:gridCol w:w="2026"/>
        <w:gridCol w:w="1702"/>
        <w:gridCol w:w="1712"/>
        <w:gridCol w:w="268"/>
        <w:gridCol w:w="528"/>
        <w:gridCol w:w="138"/>
        <w:gridCol w:w="138"/>
        <w:gridCol w:w="138"/>
        <w:gridCol w:w="138"/>
        <w:gridCol w:w="268"/>
        <w:gridCol w:w="460"/>
        <w:gridCol w:w="138"/>
        <w:gridCol w:w="109"/>
        <w:gridCol w:w="109"/>
        <w:gridCol w:w="109"/>
        <w:gridCol w:w="261"/>
        <w:gridCol w:w="513"/>
        <w:gridCol w:w="135"/>
        <w:gridCol w:w="135"/>
        <w:gridCol w:w="135"/>
        <w:gridCol w:w="135"/>
        <w:gridCol w:w="261"/>
        <w:gridCol w:w="447"/>
        <w:gridCol w:w="202"/>
      </w:tblGrid>
      <w:tr>
        <w:trPr/>
        <w:tc>
          <w:tcPr>
            <w:tcW w:w="202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(OCL) OCI beginning balance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Rosamond South I Drop Down </w:t>
            </w:r>
            <w:r>
              <w:rPr>
                <w:rFonts w:ascii="Times New Roman;serif" w:hAnsi="Times New Roman;serif"/>
                <w:b w:val="false"/>
                <w:color w:val="000000"/>
                <w:sz w:val="13"/>
              </w:rPr>
              <w:t>(a)</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Daggett 1 Drop Down </w:t>
            </w:r>
            <w:r>
              <w:rPr>
                <w:rFonts w:ascii="Times New Roman;serif" w:hAnsi="Times New Roman;serif"/>
                <w:b w:val="false"/>
                <w:color w:val="000000"/>
                <w:sz w:val="13"/>
              </w:rPr>
              <w:t>(b)</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Luna Valley Drop Down </w:t>
            </w:r>
            <w:r>
              <w:rPr>
                <w:rFonts w:ascii="Times New Roman;serif" w:hAnsi="Times New Roman;serif"/>
                <w:b w:val="false"/>
                <w:color w:val="000000"/>
                <w:sz w:val="13"/>
              </w:rPr>
              <w:t>(c)</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Pine Forest Drop Down </w:t>
            </w:r>
            <w:r>
              <w:rPr>
                <w:rFonts w:ascii="Times New Roman;serif" w:hAnsi="Times New Roman;serif"/>
                <w:b w:val="false"/>
                <w:color w:val="000000"/>
                <w:sz w:val="13"/>
              </w:rPr>
              <w:t>(d)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accumulated OCI/OCL to income due to realization of previously deferred amounts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of cash flow hedge accounting contracts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(OCL) OCI ending balance, net of income tax benefit of $(4), $—, $(4) and $—, respectively</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(OCL) OCI attributable to noncontrolling interests</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(OCL) OCI attributable to Clearway Energy, Inc.</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expected to be realized from OCL during the next 12 months</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Represents $1 million attributable to the Company and $3 million attributable to noncontrolling interests.</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Represents $4 million attributable to the Company and $2 million attributable to noncontrolling interests.</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Represents $5 million attributable to the Company and $3 million attributable to noncontrolling interests.</w:t>
      </w:r>
    </w:p>
    <w:p>
      <w:pPr>
        <w:pStyle w:val="TextBody"/>
        <w:bidi w:val="0"/>
        <w:spacing w:lineRule="auto" w:line="288" w:before="0" w:after="18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Represents $3 million attributable to the Company and $2 million attributable to noncontrolling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Amounts reclassified from accumulated OCI/OCL into income are recorded to interest expense.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Derivative Instruments on the Consolidated Statements of Operations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Mark-to-market gains/(losses) related to the Company’s derivatives are recorded in the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2163"/>
        <w:gridCol w:w="1729"/>
        <w:gridCol w:w="1735"/>
        <w:gridCol w:w="262"/>
        <w:gridCol w:w="380"/>
        <w:gridCol w:w="135"/>
        <w:gridCol w:w="135"/>
        <w:gridCol w:w="135"/>
        <w:gridCol w:w="135"/>
        <w:gridCol w:w="262"/>
        <w:gridCol w:w="511"/>
        <w:gridCol w:w="135"/>
        <w:gridCol w:w="109"/>
        <w:gridCol w:w="109"/>
        <w:gridCol w:w="109"/>
        <w:gridCol w:w="248"/>
        <w:gridCol w:w="481"/>
        <w:gridCol w:w="128"/>
        <w:gridCol w:w="128"/>
        <w:gridCol w:w="128"/>
        <w:gridCol w:w="128"/>
        <w:gridCol w:w="248"/>
        <w:gridCol w:w="481"/>
        <w:gridCol w:w="191"/>
      </w:tblGrid>
      <w:tr>
        <w:trPr/>
        <w:tc>
          <w:tcPr>
            <w:tcW w:w="2163"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(Interest expense)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Total operating revenues) </w:t>
            </w:r>
            <w:r>
              <w:rPr>
                <w:rFonts w:ascii="Times New Roman;serif" w:hAnsi="Times New Roman;serif"/>
                <w:b w:val="false"/>
                <w:color w:val="000000"/>
                <w:sz w:val="13"/>
              </w:rPr>
              <w:t>(a)</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Cost of operations) </w:t>
            </w:r>
            <w:r>
              <w:rPr>
                <w:rFonts w:ascii="Times New Roman;serif" w:hAnsi="Times New Roman;serif"/>
                <w:b w:val="false"/>
                <w:color w:val="000000"/>
                <w:sz w:val="13"/>
              </w:rPr>
              <w:t>(b)</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 xml:space="preserve">Relates to long-term energy related commodity contracts at Elbow Creek, Mesquite Star, Mt. Storm, Langford and Mesquite Sky and heat rate call option energy-related commodity contracts at El Segundo, Marsh Landing and Walnut Creek. </w:t>
      </w:r>
    </w:p>
    <w:p>
      <w:pPr>
        <w:pStyle w:val="TextBody"/>
        <w:bidi w:val="0"/>
        <w:spacing w:lineRule="auto" w:line="288" w:before="0" w:after="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16"/>
        </w:rPr>
        <w:t xml:space="preserve">Relates to backbone transportation service energy-related commodity contracts at El Segundo and Walnut Creek.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31</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pPr>
      <w:r>
        <w:rPr>
          <w:rFonts w:ascii="Times New Roman;serif" w:hAnsi="Times New Roman;serif"/>
          <w:b/>
          <w:color w:val="000000"/>
          <w:sz w:val="20"/>
        </w:rPr>
        <w:t xml:space="preserve">Note 7 — </w:t>
      </w:r>
      <w:r>
        <w:rPr>
          <w:rFonts w:ascii="Times New Roman;serif" w:hAnsi="Times New Roman;serif"/>
          <w:b/>
          <w:i/>
          <w:color w:val="000000"/>
          <w:sz w:val="20"/>
        </w:rPr>
        <w:t>Long-term Debt</w:t>
      </w:r>
    </w:p>
    <w:p>
      <w:pPr>
        <w:pStyle w:val="TextBody"/>
        <w:bidi w:val="0"/>
        <w:spacing w:lineRule="auto" w:line="288" w:before="0" w:after="60"/>
        <w:ind w:left="0" w:right="0" w:firstLine="450"/>
        <w:jc w:val="both"/>
        <w:rPr/>
      </w:pPr>
      <w:r>
        <w:rPr>
          <w:rFonts w:ascii="Times New Roman;serif" w:hAnsi="Times New Roman;serif"/>
          <w:b w:val="false"/>
          <w:color w:val="000000"/>
          <w:sz w:val="20"/>
        </w:rPr>
        <w:t xml:space="preserve">This note should be read in conjunction with the complete description under Item 15 — Note 10,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to the consolidated financial statements included in the Company’s 2024 Form 10-K. 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646"/>
        <w:gridCol w:w="1209"/>
        <w:gridCol w:w="1223"/>
        <w:gridCol w:w="109"/>
        <w:gridCol w:w="109"/>
        <w:gridCol w:w="109"/>
        <w:gridCol w:w="323"/>
        <w:gridCol w:w="323"/>
        <w:gridCol w:w="325"/>
        <w:gridCol w:w="109"/>
        <w:gridCol w:w="109"/>
        <w:gridCol w:w="109"/>
        <w:gridCol w:w="279"/>
        <w:gridCol w:w="794"/>
        <w:gridCol w:w="156"/>
        <w:gridCol w:w="109"/>
        <w:gridCol w:w="109"/>
        <w:gridCol w:w="109"/>
        <w:gridCol w:w="273"/>
        <w:gridCol w:w="776"/>
        <w:gridCol w:w="152"/>
        <w:gridCol w:w="109"/>
        <w:gridCol w:w="109"/>
        <w:gridCol w:w="109"/>
        <w:gridCol w:w="382"/>
        <w:gridCol w:w="382"/>
        <w:gridCol w:w="383"/>
        <w:gridCol w:w="109"/>
        <w:gridCol w:w="162"/>
      </w:tblGrid>
      <w:tr>
        <w:trPr/>
        <w:tc>
          <w:tcPr>
            <w:tcW w:w="16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color w:val="000000"/>
              </w:rPr>
              <w:t xml:space="preserve"> </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3.750% - 4.750%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Clearway Energy LLC and Clearway Energy Operating LLC Revolving Credit Facility </w:t>
            </w:r>
            <w:r>
              <w:rPr>
                <w:rFonts w:ascii="Times New Roman;serif" w:hAnsi="Times New Roman;serif"/>
                <w:b w:val="false"/>
                <w:color w:val="000000"/>
                <w:sz w:val="12"/>
              </w:rPr>
              <w:t>(b)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S+1.750%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Non-recourse facility-level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2.339% - 8.000%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S+1.475% - 2.775%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premiums </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As of September 30, 2025, S+ equals SOFR plus x%.</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Applicable rate is determined by the borrower leverage ratio, as defined in the credit agreement.</w:t>
      </w:r>
    </w:p>
    <w:p>
      <w:pPr>
        <w:pStyle w:val="TextBody"/>
        <w:bidi w:val="0"/>
        <w:spacing w:lineRule="auto" w:line="288" w:before="0" w:after="6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 xml:space="preserve">During October 2025, the Company repaid $190 million of the outstanding borrowings under the revolving credit facility primarily utilizing the proceeds received from the sale of Mt. Storm to Clearway Renew, as further discussed in Note 3, </w:t>
      </w:r>
      <w:r>
        <w:rPr>
          <w:rFonts w:ascii="Times New Roman;serif" w:hAnsi="Times New Roman;serif"/>
          <w:b w:val="false"/>
          <w:i/>
          <w:color w:val="000000"/>
          <w:sz w:val="16"/>
        </w:rPr>
        <w:t>Acquisitions and Dispositions</w:t>
      </w:r>
      <w:r>
        <w:rPr>
          <w:rFonts w:ascii="Times New Roman;serif" w:hAnsi="Times New Roman;serif"/>
          <w:b w:val="false"/>
          <w:color w:val="000000"/>
          <w:sz w:val="16"/>
        </w:rPr>
        <w:t>. As of October 31, 2025, the Company had $215 million in outstanding borrowings under the revolving credit facility.</w:t>
      </w:r>
    </w:p>
    <w:p>
      <w:pPr>
        <w:pStyle w:val="TextBody"/>
        <w:bidi w:val="0"/>
        <w:spacing w:lineRule="auto" w:line="288" w:before="0" w:after="180"/>
        <w:jc w:val="both"/>
        <w:rPr/>
      </w:pPr>
      <w:r>
        <w:rPr>
          <w:rFonts w:ascii="Times New Roman;serif" w:hAnsi="Times New Roman;serif"/>
          <w:b w:val="false"/>
          <w:color w:val="000000"/>
          <w:sz w:val="12"/>
        </w:rPr>
        <w:t>(d)</w:t>
      </w:r>
      <w:r>
        <w:rPr>
          <w:color w:val="000000"/>
        </w:rPr>
        <w:t xml:space="preserve"> </w:t>
      </w:r>
      <w:r>
        <w:rPr>
          <w:rFonts w:ascii="Times New Roman;serif" w:hAnsi="Times New Roman;serif"/>
          <w:b w:val="false"/>
          <w:color w:val="000000"/>
          <w:sz w:val="16"/>
        </w:rPr>
        <w:t>Premiums relate to the 2028 Senior Notes.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$1,048 million in letters of credit outstanding, $102 million of which is related to the Company’s revolving credit facility.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financing arrangements listed above contain certain covenants, including financial covenants that the Company is required to be in compliance with during the term of the respective arrangement. As of September 30, 2025, the Company was in compliance with all of the required covenants.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discussion below describes material changes to or additions of long-term debt for the nine months ended September 30,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Facility-level Debt</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Daggett 1</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2025, as part of the acquisition of Daggett 1,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Company assumed the facility’s financing agreement, which included a $92 million construction loan and a $131 million tax equity bridge loan, offset by $3 million in unamortized debt issuance costs. </w:t>
      </w:r>
    </w:p>
    <w:p>
      <w:pPr>
        <w:pStyle w:val="TextBody"/>
        <w:bidi w:val="0"/>
        <w:spacing w:lineRule="auto" w:line="288" w:before="0" w:after="180"/>
        <w:ind w:left="0" w:right="0" w:firstLine="450"/>
        <w:jc w:val="both"/>
        <w:rPr/>
      </w:pPr>
      <w:r>
        <w:rPr>
          <w:rFonts w:ascii="Times New Roman;serif" w:hAnsi="Times New Roman;serif"/>
          <w:b w:val="false"/>
          <w:color w:val="000000"/>
          <w:sz w:val="20"/>
        </w:rPr>
        <w:t>On September 19, 2025, when Daggett 1 reached substantial completion, the Company paid $42 million</w:t>
      </w:r>
      <w:r>
        <w:rPr>
          <w:color w:val="000000"/>
          <w:shd w:fill="FFFFFF" w:val="clear"/>
        </w:rPr>
        <w:t xml:space="preserve"> </w:t>
      </w:r>
      <w:r>
        <w:rPr>
          <w:rFonts w:ascii="Times New Roman;serif" w:hAnsi="Times New Roman;serif"/>
          <w:b w:val="false"/>
          <w:color w:val="000000"/>
          <w:sz w:val="20"/>
          <w:shd w:fill="FFFFFF" w:val="clear"/>
        </w:rPr>
        <w:t xml:space="preserve">to Clearway Renew as additional purchase price, as further described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and the tax equity investor contributed an additional $108 million, which was utilized, along with the $38 million previously held in escrow and $31 million in construction loan proceeds, to repay the $131 million tax equity bridge loan, to fund $6 million in construction completion reserves, which is included in restricted cash on the Company’s consolidated balance sheet, and to pay $7 million in associated fees with the remaining $33 million distributed to CEG. Additionally, on September 19, 2025, the outstanding construction loans were converted to a term loan in the amount of $132 million that matures on September 19, 2030. Subsequent to the acquisition, the Company borrowed an additional $40 million in construction loans.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Luna Valley</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2025, as part of the acquisition of Luna Valley,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Company assumed the facility’s financing agreement, which included a $144 million construction loan,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32</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pPr>
      <w:r>
        <w:rPr>
          <w:rFonts w:ascii="Times New Roman;serif" w:hAnsi="Times New Roman;serif"/>
          <w:b w:val="false"/>
          <w:color w:val="000000"/>
          <w:sz w:val="20"/>
        </w:rPr>
        <w:t>On September 4, 2025, when Luna Valley facility reached substantial completion, the Company paid $72 million to Clearway Renew as additional purchase price,</w:t>
      </w:r>
      <w:r>
        <w:rPr>
          <w:color w:val="000000"/>
          <w:shd w:fill="FFFFFF" w:val="clear"/>
        </w:rPr>
        <w:t xml:space="preserve"> </w:t>
      </w:r>
      <w:r>
        <w:rPr>
          <w:rFonts w:ascii="Times New Roman;serif" w:hAnsi="Times New Roman;serif"/>
          <w:b w:val="false"/>
          <w:color w:val="000000"/>
          <w:sz w:val="20"/>
          <w:shd w:fill="FFFFFF" w:val="clear"/>
        </w:rPr>
        <w:t xml:space="preserve">as further described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the tax equity investor contributed an additional $114 million and CEG contributed $50 million, which were utilized, along with the $29 million previously held in escrow and $28 million in construction loan proceeds, to repay the $46 million cash equity bridge loan, to repay the $144 million tax equity bridge loan, to fund $22 million in construction completion reserves, which is included in restricted cash on the Company’s consolidated balance sheet, and to pay $9 million in associated fees. Additionally, on September 4, 2025, the outstanding construction loans were converted to a term loan in the amount of $195 million that matures on September 4, 2030. Subsequent to the acquisition, the Company borrowed an additional $51 million in construction loans.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Rosamond South I</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March 20, 2025, as part of the acquisition of Rosamond South I,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the Company assumed the facility’s financing agreement, which included a $179 million construction loan,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August 13, 2025, when Rosamond South I reached substantial completion, the Company paid </w:t>
      </w:r>
      <w:r>
        <w:rPr>
          <w:rFonts w:ascii="Times New Roman;serif" w:hAnsi="Times New Roman;serif"/>
          <w:b w:val="false"/>
          <w:color w:val="000000"/>
          <w:sz w:val="20"/>
          <w:shd w:fill="FFFFFF" w:val="clear"/>
        </w:rPr>
        <w:t xml:space="preserve">$29 million to Clearway Renew as additional purchase price, as further described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cash equity investor contributed an additional </w:t>
      </w:r>
      <w:r>
        <w:rPr>
          <w:rFonts w:ascii="Times New Roman;serif" w:hAnsi="Times New Roman;serif"/>
          <w:b w:val="false"/>
          <w:color w:val="000000"/>
          <w:sz w:val="20"/>
          <w:shd w:fill="FFFFFF" w:val="clear"/>
        </w:rPr>
        <w:t xml:space="preserve">$41 million and </w:t>
      </w:r>
      <w:r>
        <w:rPr>
          <w:rFonts w:ascii="Times New Roman;serif" w:hAnsi="Times New Roman;serif"/>
          <w:b w:val="false"/>
          <w:color w:val="000000"/>
          <w:sz w:val="20"/>
        </w:rPr>
        <w:t>the tax equity investor contributed an additional $226 million, which were utilized, along with the $58 million previously held in escrow and $13 million in construction loan proceeds, to repay the $276 million tax equity bridge loan and to pay $9 million in associated fees with the remaining $53 million distributed to CEG. Additionally, on August 13, 2025, the outstanding construction loans were converted to a term loan in the amount of $228 million that matures on August 13, 2030. Subsequent to the acquisition, the Company borrowed an additional $49 million in construction loans and also received $40 million in contributions from CEG to pay for construction completion expenses.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Pine Forest</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June 10, 2025, as part of the acquisition of Pine Forest,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the Company assumed the facility’s financing agreement, which included a $103 million construction loan that converts to a term loan when the facility reaches substantial completion, which is expected to occur in the fourth quarter of 2025,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cash equity investor related to the Pine Forest TargetCo acquisition. The tax equity bridge loan, tax credit transfer bridge loan and remaining cash equity bridge loan will be repaid with the final proceeds contributed by Pine Forest TE Class A, an indirect subsidiary of the Company, as well as the Company’s and the third-party cash equity investor’s additional purchase price upon Pine Forest reaching substantial completion, along with the $9 million that was contributed into escrow by Pine Forest TE Class A, which is included in restricted cash on the Company’s consolidated balance sheet. Subsequent to the acquisition, the Company borrowed an additional $44 million in cash equity bridge loans through September 30, 2025.</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Dan’s Mountain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21, 2025, when the Dan’s Mountain facility reached substantial completion, the Company paid $36 million to Clearway Renew as additional purchase price in connection with the Company’s acquisition of the Class A membership interests in Dan’s Mountain TargetCo LLC, or Dan’s Mountain TargetCo, on November 18, 2024, which was funded with existing sources of liquidity. The Company’s additional purchase price was recorded as an adjustment to CEG’s noncontrolling interest balance.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Prior to substantial completion being reached, the Company borrowed an additional $18 million in tax equity bridge loans during 2025. The Company’s total capital investment in Dan’s Mountain TargetCo was $43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33</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Tuolumne</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2025, in order to partially fund the third-party acquisition of the Tuolumne wind facility,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Company entered into a financing agreement, </w:t>
      </w:r>
      <w:r>
        <w:rPr>
          <w:rFonts w:ascii="Times New Roman;serif" w:hAnsi="Times New Roman;serif"/>
          <w:b w:val="false"/>
          <w:color w:val="000000"/>
          <w:sz w:val="20"/>
          <w:shd w:fill="FFFFFF" w:val="clear"/>
        </w:rPr>
        <w:t>which included the issuance of a $163 million term loan, as well as $22 million in letters of credit in support of debt service and facility obligations, supported by the Company’s interests in the Tuolumne wind facility. The term loan bears interest at a rate of SOFR plus 1.625% per annum and matures on April 29, 2030.</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Buckthorn Solar</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9, 2025, the Company, through its indirect subsidiary, Buckthorn Solar Portfolio LLC, refinanced its existing credit agreement, which was scheduled to mature in May 2025, resulting in the issuance of a $104 million term loan facility, as well as $22 million in letters of credit in support of debt service and facility obligations, supported by the Company’s interests in the Buckthorn Solar facility. The term loan bears interest at a rate of SOFR plus 1.625% per annum and matures on April 9, 2031. The Company utilized the proceeds from the term loan and existing sources of liquidity to pay off the existing debt in the amount of $112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Note 8 — </w:t>
      </w:r>
      <w:r>
        <w:rPr>
          <w:rFonts w:ascii="Times New Roman;serif" w:hAnsi="Times New Roman;serif"/>
          <w:b/>
          <w:i/>
          <w:color w:val="000000"/>
          <w:sz w:val="20"/>
        </w:rPr>
        <w:t>Earnings Per Share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basic and diluted earnings per share is shown in the following table:</w:t>
      </w:r>
    </w:p>
    <w:tbl>
      <w:tblPr>
        <w:tblW w:w="10205" w:type="dxa"/>
        <w:jc w:val="left"/>
        <w:tblInd w:w="0" w:type="dxa"/>
        <w:tblLayout w:type="fixed"/>
        <w:tblCellMar>
          <w:top w:w="28" w:type="dxa"/>
          <w:left w:w="28" w:type="dxa"/>
          <w:bottom w:w="28" w:type="dxa"/>
          <w:right w:w="28" w:type="dxa"/>
        </w:tblCellMar>
      </w:tblPr>
      <w:tblGrid>
        <w:gridCol w:w="1882"/>
        <w:gridCol w:w="1452"/>
        <w:gridCol w:w="1464"/>
        <w:gridCol w:w="278"/>
        <w:gridCol w:w="673"/>
        <w:gridCol w:w="143"/>
        <w:gridCol w:w="109"/>
        <w:gridCol w:w="109"/>
        <w:gridCol w:w="109"/>
        <w:gridCol w:w="278"/>
        <w:gridCol w:w="673"/>
        <w:gridCol w:w="143"/>
        <w:gridCol w:w="109"/>
        <w:gridCol w:w="109"/>
        <w:gridCol w:w="109"/>
        <w:gridCol w:w="278"/>
        <w:gridCol w:w="673"/>
        <w:gridCol w:w="143"/>
        <w:gridCol w:w="109"/>
        <w:gridCol w:w="109"/>
        <w:gridCol w:w="109"/>
        <w:gridCol w:w="274"/>
        <w:gridCol w:w="665"/>
        <w:gridCol w:w="205"/>
      </w:tblGrid>
      <w:tr>
        <w:trPr/>
        <w:tc>
          <w:tcPr>
            <w:tcW w:w="188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 millions, except per share data) </w:t>
            </w:r>
            <w:r>
              <w:rPr>
                <w:rFonts w:ascii="Times New Roman;serif" w:hAnsi="Times New Roman;serif"/>
                <w:b/>
                <w:color w:val="000000"/>
                <w:sz w:val="10"/>
              </w:rPr>
              <w:t>(a)</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Common Class C</w:t>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per share attributable to Clearway Energy, Inc. common stockholders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Inc.</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and diluted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weighted average common share — basic and diluted</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Net income attributable to Clearway Energy, Inc. and basic and diluted earnings per share might not recalculate due to presenting amounts in millions rather than whole dollars.</w:t>
      </w:r>
    </w:p>
    <w:tbl>
      <w:tblPr>
        <w:tblW w:w="10205" w:type="dxa"/>
        <w:jc w:val="left"/>
        <w:tblInd w:w="0" w:type="dxa"/>
        <w:tblLayout w:type="fixed"/>
        <w:tblCellMar>
          <w:top w:w="28" w:type="dxa"/>
          <w:left w:w="28" w:type="dxa"/>
          <w:bottom w:w="28" w:type="dxa"/>
          <w:right w:w="28" w:type="dxa"/>
        </w:tblCellMar>
      </w:tblPr>
      <w:tblGrid>
        <w:gridCol w:w="1882"/>
        <w:gridCol w:w="1452"/>
        <w:gridCol w:w="1464"/>
        <w:gridCol w:w="278"/>
        <w:gridCol w:w="673"/>
        <w:gridCol w:w="143"/>
        <w:gridCol w:w="109"/>
        <w:gridCol w:w="109"/>
        <w:gridCol w:w="109"/>
        <w:gridCol w:w="278"/>
        <w:gridCol w:w="673"/>
        <w:gridCol w:w="143"/>
        <w:gridCol w:w="109"/>
        <w:gridCol w:w="109"/>
        <w:gridCol w:w="109"/>
        <w:gridCol w:w="278"/>
        <w:gridCol w:w="673"/>
        <w:gridCol w:w="143"/>
        <w:gridCol w:w="109"/>
        <w:gridCol w:w="109"/>
        <w:gridCol w:w="109"/>
        <w:gridCol w:w="274"/>
        <w:gridCol w:w="665"/>
        <w:gridCol w:w="205"/>
      </w:tblGrid>
      <w:tr>
        <w:trPr/>
        <w:tc>
          <w:tcPr>
            <w:tcW w:w="188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 millions, except per share data) </w:t>
            </w:r>
            <w:r>
              <w:rPr>
                <w:rFonts w:ascii="Times New Roman;serif" w:hAnsi="Times New Roman;serif"/>
                <w:b/>
                <w:color w:val="000000"/>
                <w:sz w:val="10"/>
              </w:rPr>
              <w:t>(a)</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Common Class C</w:t>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per share attributable to Clearway Energy, Inc. common stockholders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Inc.</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and diluted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weighted average common share — basic and diluted</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Net income attributable to Clearway Energy, Inc. and basic and diluted earnings per share might not recalculate due to presenting amounts in millions rather than whole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34</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left"/>
        <w:rPr/>
      </w:pPr>
      <w:r>
        <w:rPr>
          <w:rFonts w:ascii="Times New Roman;serif" w:hAnsi="Times New Roman;serif"/>
          <w:b/>
          <w:color w:val="000000"/>
          <w:sz w:val="20"/>
        </w:rPr>
        <w:t xml:space="preserve">Note 9 — </w:t>
      </w:r>
      <w:r>
        <w:rPr>
          <w:rFonts w:ascii="Times New Roman;serif" w:hAnsi="Times New Roman;serif"/>
          <w:b/>
          <w:i/>
          <w:color w:val="000000"/>
          <w:sz w:val="20"/>
        </w:rPr>
        <w:t>Segment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tbl>
      <w:tblPr>
        <w:tblW w:w="10205" w:type="dxa"/>
        <w:jc w:val="left"/>
        <w:tblInd w:w="0" w:type="dxa"/>
        <w:tblLayout w:type="fixed"/>
        <w:tblCellMar>
          <w:top w:w="28" w:type="dxa"/>
          <w:left w:w="28" w:type="dxa"/>
          <w:bottom w:w="28" w:type="dxa"/>
          <w:right w:w="28" w:type="dxa"/>
        </w:tblCellMar>
      </w:tblPr>
      <w:tblGrid>
        <w:gridCol w:w="1845"/>
        <w:gridCol w:w="1393"/>
        <w:gridCol w:w="1366"/>
        <w:gridCol w:w="272"/>
        <w:gridCol w:w="797"/>
        <w:gridCol w:w="141"/>
        <w:gridCol w:w="109"/>
        <w:gridCol w:w="109"/>
        <w:gridCol w:w="109"/>
        <w:gridCol w:w="274"/>
        <w:gridCol w:w="939"/>
        <w:gridCol w:w="141"/>
        <w:gridCol w:w="109"/>
        <w:gridCol w:w="109"/>
        <w:gridCol w:w="109"/>
        <w:gridCol w:w="251"/>
        <w:gridCol w:w="583"/>
        <w:gridCol w:w="130"/>
        <w:gridCol w:w="109"/>
        <w:gridCol w:w="109"/>
        <w:gridCol w:w="109"/>
        <w:gridCol w:w="211"/>
        <w:gridCol w:w="721"/>
        <w:gridCol w:w="160"/>
      </w:tblGrid>
      <w:tr>
        <w:trPr/>
        <w:tc>
          <w:tcPr>
            <w:tcW w:w="184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affiliates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 xml:space="preserve">(b)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xbxContent>
                </v:textbox>
                <w10:wrap type="none"/>
              </v:rect>
            </w:pict>
          </mc:Fallback>
        </mc:AlternateContent>
      </w:r>
    </w:p>
    <w:p>
      <w:pPr>
        <w:pStyle w:val="TextBody"/>
        <w:bidi w:val="0"/>
        <w:spacing w:before="0" w:after="18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920"/>
        <w:gridCol w:w="1480"/>
        <w:gridCol w:w="1456"/>
        <w:gridCol w:w="329"/>
        <w:gridCol w:w="728"/>
        <w:gridCol w:w="172"/>
        <w:gridCol w:w="109"/>
        <w:gridCol w:w="109"/>
        <w:gridCol w:w="109"/>
        <w:gridCol w:w="356"/>
        <w:gridCol w:w="789"/>
        <w:gridCol w:w="187"/>
        <w:gridCol w:w="109"/>
        <w:gridCol w:w="109"/>
        <w:gridCol w:w="109"/>
        <w:gridCol w:w="252"/>
        <w:gridCol w:w="588"/>
        <w:gridCol w:w="131"/>
        <w:gridCol w:w="109"/>
        <w:gridCol w:w="109"/>
        <w:gridCol w:w="109"/>
        <w:gridCol w:w="211"/>
        <w:gridCol w:w="466"/>
        <w:gridCol w:w="159"/>
      </w:tblGrid>
      <w:tr>
        <w:trPr/>
        <w:tc>
          <w:tcPr>
            <w:tcW w:w="192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income taxes </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affiliates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 xml:space="preserve">(b) </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tbl>
      <w:tblPr>
        <w:tblW w:w="10205" w:type="dxa"/>
        <w:jc w:val="left"/>
        <w:tblInd w:w="0" w:type="dxa"/>
        <w:tblLayout w:type="fixed"/>
        <w:tblCellMar>
          <w:top w:w="28" w:type="dxa"/>
          <w:left w:w="28" w:type="dxa"/>
          <w:bottom w:w="28" w:type="dxa"/>
          <w:right w:w="28" w:type="dxa"/>
        </w:tblCellMar>
      </w:tblPr>
      <w:tblGrid>
        <w:gridCol w:w="1881"/>
        <w:gridCol w:w="1431"/>
        <w:gridCol w:w="1406"/>
        <w:gridCol w:w="331"/>
        <w:gridCol w:w="733"/>
        <w:gridCol w:w="174"/>
        <w:gridCol w:w="109"/>
        <w:gridCol w:w="109"/>
        <w:gridCol w:w="109"/>
        <w:gridCol w:w="352"/>
        <w:gridCol w:w="779"/>
        <w:gridCol w:w="184"/>
        <w:gridCol w:w="109"/>
        <w:gridCol w:w="109"/>
        <w:gridCol w:w="109"/>
        <w:gridCol w:w="251"/>
        <w:gridCol w:w="585"/>
        <w:gridCol w:w="130"/>
        <w:gridCol w:w="109"/>
        <w:gridCol w:w="109"/>
        <w:gridCol w:w="109"/>
        <w:gridCol w:w="211"/>
        <w:gridCol w:w="616"/>
        <w:gridCol w:w="160"/>
      </w:tblGrid>
      <w:tr>
        <w:trPr/>
        <w:tc>
          <w:tcPr>
            <w:tcW w:w="188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Flexible Generation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income taxes </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 xml:space="preserve">(b)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60"/>
        <w:jc w:val="left"/>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36</w:t>
                      </w:r>
                    </w:p>
                  </w:txbxContent>
                </v:textbox>
                <w10:wrap type="none"/>
              </v:rect>
            </w:pict>
          </mc:Fallback>
        </mc:AlternateContent>
      </w:r>
    </w:p>
    <w:p>
      <w:pPr>
        <w:pStyle w:val="TextBody"/>
        <w:bidi w:val="0"/>
        <w:spacing w:before="0" w:after="18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886"/>
        <w:gridCol w:w="1437"/>
        <w:gridCol w:w="1412"/>
        <w:gridCol w:w="326"/>
        <w:gridCol w:w="721"/>
        <w:gridCol w:w="171"/>
        <w:gridCol w:w="109"/>
        <w:gridCol w:w="109"/>
        <w:gridCol w:w="109"/>
        <w:gridCol w:w="352"/>
        <w:gridCol w:w="780"/>
        <w:gridCol w:w="185"/>
        <w:gridCol w:w="109"/>
        <w:gridCol w:w="109"/>
        <w:gridCol w:w="109"/>
        <w:gridCol w:w="252"/>
        <w:gridCol w:w="585"/>
        <w:gridCol w:w="130"/>
        <w:gridCol w:w="109"/>
        <w:gridCol w:w="109"/>
        <w:gridCol w:w="109"/>
        <w:gridCol w:w="211"/>
        <w:gridCol w:w="616"/>
        <w:gridCol w:w="160"/>
      </w:tblGrid>
      <w:tr>
        <w:trPr/>
        <w:tc>
          <w:tcPr>
            <w:tcW w:w="188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4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income taxes </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 and redeemable noncontrolling interests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Inc.</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 xml:space="preserve">(b)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left"/>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10 — </w:t>
      </w:r>
      <w:r>
        <w:rPr>
          <w:rFonts w:ascii="Times New Roman;serif" w:hAnsi="Times New Roman;serif"/>
          <w:b/>
          <w:i/>
          <w:color w:val="000000"/>
          <w:sz w:val="20"/>
        </w:rPr>
        <w:t>Income Taxes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Effective Tax Rate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income tax provision consisted of the following amounts:</w:t>
      </w:r>
    </w:p>
    <w:tbl>
      <w:tblPr>
        <w:tblW w:w="8419" w:type="dxa"/>
        <w:jc w:val="left"/>
        <w:tblInd w:w="0" w:type="dxa"/>
        <w:tblLayout w:type="fixed"/>
        <w:tblCellMar>
          <w:top w:w="28" w:type="dxa"/>
          <w:left w:w="28" w:type="dxa"/>
          <w:bottom w:w="28" w:type="dxa"/>
          <w:right w:w="28" w:type="dxa"/>
        </w:tblCellMar>
      </w:tblPr>
      <w:tblGrid>
        <w:gridCol w:w="1037"/>
        <w:gridCol w:w="910"/>
        <w:gridCol w:w="918"/>
        <w:gridCol w:w="276"/>
        <w:gridCol w:w="473"/>
        <w:gridCol w:w="355"/>
        <w:gridCol w:w="143"/>
        <w:gridCol w:w="143"/>
        <w:gridCol w:w="143"/>
        <w:gridCol w:w="276"/>
        <w:gridCol w:w="473"/>
        <w:gridCol w:w="355"/>
        <w:gridCol w:w="109"/>
        <w:gridCol w:w="109"/>
        <w:gridCol w:w="109"/>
        <w:gridCol w:w="256"/>
        <w:gridCol w:w="530"/>
        <w:gridCol w:w="329"/>
        <w:gridCol w:w="132"/>
        <w:gridCol w:w="132"/>
        <w:gridCol w:w="132"/>
        <w:gridCol w:w="256"/>
        <w:gridCol w:w="439"/>
        <w:gridCol w:w="38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tax purposes, Clearway Energy LLC is treated as a partnership; therefore, the Company and CEG each record their respective share of taxable income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11 —</w:t>
      </w:r>
      <w:r>
        <w:rPr>
          <w:color w:val="000000"/>
        </w:rPr>
        <w:t xml:space="preserve"> </w:t>
      </w:r>
      <w:r>
        <w:rPr>
          <w:rFonts w:ascii="Times New Roman;serif" w:hAnsi="Times New Roman;serif"/>
          <w:b/>
          <w:i/>
          <w:color w:val="000000"/>
          <w:sz w:val="20"/>
        </w:rPr>
        <w:t>Related Party Transactions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consolidated financial statements included in the Company’s 2024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37</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O&amp;M Services Agreements by and between the Company and Clearway Renewable Operation &amp; Maintenance LLC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$20 million and $22 million for the three months ended September 30, 2025 and 2024, respectively. The Company incurred total expenses for these services of $61 million and $59 million for the nine months ended September 30, 2025 and 2024, respectively. Expenses for these services are included in cost of operations in the consolidated statements of operations. There was a balance of $10 million and $12 million due to RENOM as of September 30, 2025 and December 31, 2024,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Administrative Services Agreements by and between the Company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$8 million and $5 million for the three months ended September 30, 2025 and 2024, respectively. The Company incurred expenses under these agreements of $19 million and $17 million for the nine months ended September 30, 2025 and 2024, respectively. Expenses for these services are included in cost of operations in the consolidated statements of operations. There was a balance of $3 million due to CEG as of both September 30, 2025 and December 31,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CEG Master Services Agreement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along with certain of its subsidiaries, is a party to the CEG Master Services Agreement, pursuant to which CEG and certain of its affiliates or third-party service providers provide certain services to the Company. These services include operational and administrative services, including human resources, information systems, cybersecurity, external affairs, accounting, procurement and risk management services, and, effective January 1, 2025,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In addition, effective January 1, 2025, the Company directly bears all labor costs for certain employees of CEG who perform work on behalf of the Company.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net expenses under these agreements of $6 million and $1 million for the three months ended September 30, 2025 and 2024, respectively. The Company incurred net expenses under these agreements of $18 million and $4 million for the nine months ended September 30, 2025 and 2024, respectively. Expenses for these services are included in cost of operations in the consolidated statements of operations. There was a balance of zero and $5 million due to CEG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38</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analyzes the Company’s historical financial condition and results of operations.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you read this discussion and analysis, refer to the Company’s consolidated financial statements to this Form 10-Q, which present the results of operations for the three and nine months ended September 30, 2025 and 2024. Also refer to the Company’s 2024 Form 10-K, which includes detailed discussions of various items impacting the Company’s business, results of operations and financial condition.</w:t>
      </w:r>
    </w:p>
    <w:p>
      <w:pPr>
        <w:pStyle w:val="TextBody"/>
        <w:bidi w:val="0"/>
        <w:spacing w:lineRule="auto" w:line="288" w:before="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discussion and analysis below has been organized as follows: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jc w:val="both"/>
        <w:rPr/>
      </w:pPr>
      <w:r>
        <w:rPr>
          <w:color w:val="000000"/>
        </w:rPr>
        <w:t>•</w:t>
      </w:r>
      <w:r>
        <w:rPr>
          <w:rFonts w:ascii="Times New Roman;serif" w:hAnsi="Times New Roman;serif"/>
          <w:b w:val="false"/>
          <w:color w:val="231F20"/>
          <w:sz w:val="20"/>
        </w:rPr>
        <w:t>Results of operations, including an explanation of significant differences between the periods in the specific line items of the consolidated statements of operations;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 xml:space="preserve">Financial condition addressing liquidity position, sources and uses of cash, capital resources and requirements, commitments and off-balance sheet arrangements; </w:t>
      </w:r>
    </w:p>
    <w:p>
      <w:pPr>
        <w:pStyle w:val="TextBody"/>
        <w:bidi w:val="0"/>
        <w:spacing w:lineRule="auto" w:line="288" w:before="0" w:after="60"/>
        <w:jc w:val="both"/>
        <w:rPr/>
      </w:pPr>
      <w:r>
        <w:rPr>
          <w:color w:val="231F20"/>
        </w:rPr>
        <w:t>•</w:t>
      </w:r>
      <w:r>
        <w:rPr>
          <w:rFonts w:ascii="Times New Roman;serif" w:hAnsi="Times New Roman;serif"/>
          <w:b w:val="false"/>
          <w:color w:val="000000"/>
          <w:sz w:val="20"/>
        </w:rPr>
        <w:t>Known trends that may affect the Company’s results of operations and financial condition in the future; and</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39</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Introduction and Overview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12.7 GW of gross capacity in 27 states, including approximately 9.9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 xml:space="preserve">of the Company’s revenues are derived from long-term contractual arrangements for the output or capacity from these assets. The weighted average remaining contract duration of the Company’s Renewables &amp; Storage segment offtake agreements was approximately 11 years </w:t>
      </w:r>
      <w:r>
        <w:rPr>
          <w:rFonts w:ascii="Times New Roman;serif" w:hAnsi="Times New Roman;serif"/>
          <w:b w:val="false"/>
          <w:color w:val="231F20"/>
          <w:sz w:val="20"/>
        </w:rPr>
        <w:t xml:space="preserve">as of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231F20"/>
          <w:sz w:val="20"/>
        </w:rPr>
        <w:t>based on CAFD.</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Company’s operating assets are comprised of the following facilities:</w:t>
      </w:r>
    </w:p>
    <w:tbl>
      <w:tblPr>
        <w:tblW w:w="9140" w:type="dxa"/>
        <w:jc w:val="left"/>
        <w:tblInd w:w="0" w:type="dxa"/>
        <w:tblLayout w:type="fixed"/>
        <w:tblCellMar>
          <w:top w:w="28" w:type="dxa"/>
          <w:left w:w="28" w:type="dxa"/>
          <w:bottom w:w="28" w:type="dxa"/>
          <w:right w:w="28" w:type="dxa"/>
        </w:tblCellMar>
      </w:tblPr>
      <w:tblGrid>
        <w:gridCol w:w="725"/>
        <w:gridCol w:w="640"/>
        <w:gridCol w:w="644"/>
        <w:gridCol w:w="109"/>
        <w:gridCol w:w="109"/>
        <w:gridCol w:w="109"/>
        <w:gridCol w:w="217"/>
        <w:gridCol w:w="217"/>
        <w:gridCol w:w="482"/>
        <w:gridCol w:w="109"/>
        <w:gridCol w:w="109"/>
        <w:gridCol w:w="109"/>
        <w:gridCol w:w="277"/>
        <w:gridCol w:w="279"/>
        <w:gridCol w:w="181"/>
        <w:gridCol w:w="109"/>
        <w:gridCol w:w="109"/>
        <w:gridCol w:w="109"/>
        <w:gridCol w:w="294"/>
        <w:gridCol w:w="262"/>
        <w:gridCol w:w="229"/>
        <w:gridCol w:w="109"/>
        <w:gridCol w:w="109"/>
        <w:gridCol w:w="109"/>
        <w:gridCol w:w="679"/>
        <w:gridCol w:w="679"/>
        <w:gridCol w:w="681"/>
        <w:gridCol w:w="109"/>
        <w:gridCol w:w="109"/>
        <w:gridCol w:w="109"/>
        <w:gridCol w:w="298"/>
        <w:gridCol w:w="298"/>
        <w:gridCol w:w="423"/>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Expiration</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Flexible Generation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2027 - 2029</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2026 - 2030</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2026 - 2027</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Flexible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Utility Scale Solar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Agua Caliente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Alpine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2026 - 2041</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Avenal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Avra Valley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Tucson Electric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Blythe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Borrego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Buckthorn Solar</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of Georgetown,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Catalina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w:t>
            </w:r>
            <w:r>
              <w:rPr>
                <w:rFonts w:ascii="Times New Roman;serif" w:hAnsi="Times New Roman;serif"/>
                <w:b w:val="false"/>
                <w:color w:val="000000"/>
                <w:sz w:val="16"/>
              </w:rPr>
              <w:t xml:space="preserve">% </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CVSR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Desert Sunlight 300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Enterprise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Iron Springs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Kansas South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Luna Valley</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40</w:t>
                      </w:r>
                    </w:p>
                  </w:txbxContent>
                </v:textbox>
                <w10:wrap type="none"/>
              </v:rect>
            </w:pict>
          </mc:Fallback>
        </mc:AlternateContent>
      </w:r>
    </w:p>
    <w:p>
      <w:pPr>
        <w:pStyle w:val="TextBody"/>
        <w:bidi w:val="0"/>
        <w:spacing w:before="0" w:after="180"/>
        <w:ind w:left="0" w:right="0" w:hanging="360"/>
        <w:jc w:val="both"/>
        <w:rPr/>
      </w:pPr>
      <w:r>
        <w:rPr/>
      </w:r>
    </w:p>
    <w:tbl>
      <w:tblPr>
        <w:tblW w:w="9596" w:type="dxa"/>
        <w:jc w:val="left"/>
        <w:tblInd w:w="0" w:type="dxa"/>
        <w:tblLayout w:type="fixed"/>
        <w:tblCellMar>
          <w:top w:w="28" w:type="dxa"/>
          <w:left w:w="28" w:type="dxa"/>
          <w:bottom w:w="28" w:type="dxa"/>
          <w:right w:w="28" w:type="dxa"/>
        </w:tblCellMar>
      </w:tblPr>
      <w:tblGrid>
        <w:gridCol w:w="721"/>
        <w:gridCol w:w="635"/>
        <w:gridCol w:w="639"/>
        <w:gridCol w:w="109"/>
        <w:gridCol w:w="109"/>
        <w:gridCol w:w="109"/>
        <w:gridCol w:w="232"/>
        <w:gridCol w:w="234"/>
        <w:gridCol w:w="241"/>
        <w:gridCol w:w="109"/>
        <w:gridCol w:w="109"/>
        <w:gridCol w:w="109"/>
        <w:gridCol w:w="276"/>
        <w:gridCol w:w="280"/>
        <w:gridCol w:w="109"/>
        <w:gridCol w:w="109"/>
        <w:gridCol w:w="109"/>
        <w:gridCol w:w="109"/>
        <w:gridCol w:w="276"/>
        <w:gridCol w:w="280"/>
        <w:gridCol w:w="109"/>
        <w:gridCol w:w="109"/>
        <w:gridCol w:w="109"/>
        <w:gridCol w:w="109"/>
        <w:gridCol w:w="969"/>
        <w:gridCol w:w="969"/>
        <w:gridCol w:w="972"/>
        <w:gridCol w:w="109"/>
        <w:gridCol w:w="109"/>
        <w:gridCol w:w="109"/>
        <w:gridCol w:w="296"/>
        <w:gridCol w:w="296"/>
        <w:gridCol w:w="427"/>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Oahu Solar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Roadrunner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Paso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2035 - 2047</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 High Desert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Victory Pass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2039 - 2041</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1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Victory Pass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Distributed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DGPV Funds</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2030 - 2044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Solar Power Partners (SPP)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2026 - 2037</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DG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2025 - 2039</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Distributed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Alta X</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Alta XI</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Black Rock</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Toyota and Google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Broken Bow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Buffalo Bear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Western Farmers Electric Co-operative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Cedar Creek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Cedro Hill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CPS 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Crofton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Dan’s Mountain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Constellation Energy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Elbow Creek</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Elkhorn Ridge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Forward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Constellation NewEnergy,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Goat 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Dow Pipeline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Langford</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Goldman Sachs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Laredo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Lookout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Southern Maryland Electric Cooperative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Sky</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Star</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2032 - 2035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41</w:t>
                      </w:r>
                    </w:p>
                  </w:txbxContent>
                </v:textbox>
                <w10:wrap type="none"/>
              </v:rect>
            </w:pict>
          </mc:Fallback>
        </mc:AlternateContent>
      </w:r>
    </w:p>
    <w:p>
      <w:pPr>
        <w:pStyle w:val="TextBody"/>
        <w:bidi w:val="0"/>
        <w:spacing w:before="0" w:after="18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689"/>
        <w:gridCol w:w="574"/>
        <w:gridCol w:w="579"/>
        <w:gridCol w:w="109"/>
        <w:gridCol w:w="109"/>
        <w:gridCol w:w="109"/>
        <w:gridCol w:w="232"/>
        <w:gridCol w:w="234"/>
        <w:gridCol w:w="241"/>
        <w:gridCol w:w="109"/>
        <w:gridCol w:w="109"/>
        <w:gridCol w:w="109"/>
        <w:gridCol w:w="320"/>
        <w:gridCol w:w="326"/>
        <w:gridCol w:w="109"/>
        <w:gridCol w:w="109"/>
        <w:gridCol w:w="109"/>
        <w:gridCol w:w="109"/>
        <w:gridCol w:w="276"/>
        <w:gridCol w:w="280"/>
        <w:gridCol w:w="109"/>
        <w:gridCol w:w="109"/>
        <w:gridCol w:w="109"/>
        <w:gridCol w:w="109"/>
        <w:gridCol w:w="1382"/>
        <w:gridCol w:w="1343"/>
        <w:gridCol w:w="1361"/>
        <w:gridCol w:w="109"/>
        <w:gridCol w:w="109"/>
        <w:gridCol w:w="109"/>
        <w:gridCol w:w="149"/>
        <w:gridCol w:w="149"/>
        <w:gridCol w:w="217"/>
      </w:tblGrid>
      <w:tr>
        <w:trPr/>
        <w:tc>
          <w:tcPr>
            <w:tcW w:w="6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Mt. Storm </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Ocotillo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Pinnacle</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Department of General Services and University System of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Rattlesnake </w:t>
            </w:r>
            <w:r>
              <w:rPr>
                <w:rFonts w:ascii="Times New Roman;serif" w:hAnsi="Times New Roman;serif"/>
                <w:b w:val="false"/>
                <w:color w:val="000000"/>
                <w:sz w:val="12"/>
              </w:rPr>
              <w:t>(b)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Avista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San Juan Mesa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Sleeping Bear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Spanish Fork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Spring Canyon II</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Spring Canyon III</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Tuolumne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Turlock Irrigation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Wildorado</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Total Wind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Clearway Energy,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For owned facilities, net capacity represents the maximum, or rated, generating or storage capacity of the facility multiplied by the Company’s percentage ownership in the facility as of September 30, 2025.</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Facilities are part of tax equity arrangements, as further described in Note 4, </w:t>
      </w:r>
      <w:r>
        <w:rPr>
          <w:rFonts w:ascii="Times New Roman;serif" w:hAnsi="Times New Roman;serif"/>
          <w:b w:val="false"/>
          <w:i/>
          <w:color w:val="000000"/>
          <w:sz w:val="16"/>
        </w:rPr>
        <w:t>Investments Accounted for by the Equity Method and Variable Interest Entities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The Company leases 100% of the interests in the Catalina solar facility through a facility lease agreement that expires in October 2043.</w:t>
      </w:r>
    </w:p>
    <w:p>
      <w:pPr>
        <w:pStyle w:val="TextBody"/>
        <w:bidi w:val="0"/>
        <w:spacing w:lineRule="auto" w:line="288" w:before="0" w:after="6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 xml:space="preserve">On October 2, 2025, the Company, through its indirect subsidiary, WV Wind Holdco LLC, sold 100% of its membership interests in Mount Storm Wind LLC, which owns Mt. Storm, to Clearway Renew, as further described in Note 3, </w:t>
      </w:r>
      <w:r>
        <w:rPr>
          <w:rFonts w:ascii="Times New Roman;serif" w:hAnsi="Times New Roman;serif"/>
          <w:b w:val="false"/>
          <w:i/>
          <w:color w:val="000000"/>
          <w:sz w:val="16"/>
        </w:rPr>
        <w:t>Acquisitions and Dispositions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Rattlesnake has a deliverable capacity of 144 MW.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42</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Significant Events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Third-Party Acquisitions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On October 3, 2025, the Company entered into a binding agreement to acquire a 613 MW operational solar portfolio located in eight states, from a third party for a base purchase price of approximately $305 million in cash, subject to certain customary price adjustments. For 12 facilities in the portfolio located in the Western U.S. and comprising of 227 MW, the Company will co-invest in a 50/50 joint venture with a third-party cash equity investor. The weighted average remaining contract duration of the overall portfolio is approximately 10 years. After factoring in estimated closing adjustments and proceeds from facility-level financings, including the third-party cash equity investor in a subset of the portfolio, the Company expects its net capital commitment to acquire the portfolio to be between $210 million and $230 million. The Company expects to fund the acquisition primarily utilizing existing sources of liquidity. The consummation of the transaction is subject to customary closing conditions and certain third-party approvals and is expected to occur in the first half of 2026.</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July 16, 2025, the Company, through its indirect subsidiary, Catalina Solar Investment LLC, acquired Catalina Solar Lessee Holdco LLC, which leases and operates the Catalina solar facility, for approximately $127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xml:space="preserve">. After factoring in cash reserves acquired and transaction expenses, the Company’s net capital investment in Catalina is expected to be $128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xml:space="preserve">. The Company’s net capital investment in Tuolumne was $59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color w:val="000000"/>
        </w:rPr>
        <w:t xml:space="preserve"> </w:t>
      </w:r>
      <w:r>
        <w:rPr>
          <w:rFonts w:ascii="Times New Roman;serif" w:hAnsi="Times New Roman;serif"/>
          <w:b w:val="false"/>
          <w:color w:val="000000"/>
          <w:sz w:val="20"/>
        </w:rPr>
        <w:t>for further discussion of the transaction.</w:t>
      </w:r>
    </w:p>
    <w:p>
      <w:pPr>
        <w:pStyle w:val="TextBody"/>
        <w:bidi w:val="0"/>
        <w:spacing w:lineRule="auto" w:line="288" w:before="0" w:after="180"/>
        <w:jc w:val="both"/>
        <w:rPr/>
      </w:pPr>
      <w:r>
        <w:rPr>
          <w:rFonts w:ascii="Times New Roman;serif" w:hAnsi="Times New Roman;serif"/>
          <w:b w:val="false"/>
          <w:i/>
          <w:color w:val="000000"/>
          <w:sz w:val="20"/>
        </w:rPr>
        <w:t>Drop Down Transactions</w:t>
      </w:r>
      <w:r>
        <w:rPr>
          <w:color w:val="000000"/>
        </w:rPr>
        <w:t xml:space="preserv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October 15, 2025, the Company, through its indirect subsidiary, Honeycomb 1 Holdco LLC, acquired Honeycomb TargetCo LLC, the indirect owner of the Honeycomb Portfolio, from Clearway Renew for initial cash consideration of $16 million. At substantial completion, which is expected to occur in the first half of 2026, the Company estimates it will pay an additional $62 million to Clearway Renew. The Company estimates that its total capital investment in Honeycomb TargetCo LLC will be $78 million, excluding the impact of any closing adjustments noted in the purchase agreement. 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October 2, 2025, the Company, through its indirect subsidiary, WV Wind 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Additionally, the Company has an exclusive option to purchase the Class B membership interests in the tax equity fund that, upon mechanical completion of the first phase of the repowering of the facility, will own Mt. Storm. 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 In connection with the agreement with Clearway Renew to sell its membership interests in Mt. Storm, on May 1, 2025, the Company bought down a portion of Mt. Storm’s contract to sell power to a counterparty through a hedge agreement and paid approximately $35 million to the hedge counterparty to reduce the contract by approximately 50%. On July 22, 2025, the Company paid approximately $39 million to the hedge counterparty to buy out the remaining contract.</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April 29, 2025, the Company, through its indirect subsidiary, LV-Daggett Parent Holdco LLC, acquired Daggett 1 Class B, the indirect owner of the Daggett 1 BESS facility, from Clearway Renew for initial cash consideration of $11 million. On September 19, 2025, when the facility reached substantial completion, the Company paid $42 million to Clearway Renew as additional purchase price. </w:t>
      </w:r>
      <w:r>
        <w:rPr>
          <w:rFonts w:ascii="Times New Roman;serif" w:hAnsi="Times New Roman;serif"/>
          <w:b w:val="false"/>
          <w:color w:val="000000"/>
          <w:sz w:val="20"/>
          <w:shd w:fill="FFFFFF" w:val="clear"/>
        </w:rPr>
        <w:t xml:space="preserve">On October 15, 2025, the Company paid $4 million to Clearway Renew as a purchase price true up. The Company’s total capital investment in Daggett 1 Class B was $57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43</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April 29,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LV-Daggett Parent Holdco LLC,</w:t>
      </w:r>
      <w:r>
        <w:rPr>
          <w:color w:val="000000"/>
          <w:shd w:fill="FFFFFF" w:val="clear"/>
        </w:rPr>
        <w:t xml:space="preserve"> </w:t>
      </w:r>
      <w:r>
        <w:rPr>
          <w:rFonts w:ascii="Times New Roman;serif" w:hAnsi="Times New Roman;serif"/>
          <w:b w:val="false"/>
          <w:color w:val="000000"/>
          <w:sz w:val="20"/>
          <w:shd w:fill="FFFFFF" w:val="clear"/>
        </w:rPr>
        <w:t xml:space="preserve">acquired </w:t>
      </w:r>
      <w:r>
        <w:rPr>
          <w:rFonts w:ascii="Times New Roman;serif" w:hAnsi="Times New Roman;serif"/>
          <w:b w:val="false"/>
          <w:color w:val="000000"/>
          <w:sz w:val="20"/>
        </w:rPr>
        <w:t>Luna Valley Class B</w:t>
      </w:r>
      <w:r>
        <w:rPr>
          <w:rFonts w:ascii="Times New Roman;serif" w:hAnsi="Times New Roman;serif"/>
          <w:b w:val="false"/>
          <w:color w:val="000000"/>
          <w:sz w:val="20"/>
          <w:shd w:fill="FFFFFF" w:val="clear"/>
        </w:rPr>
        <w:t>, the indirect owner of the Luna Valley solar facility, from</w:t>
      </w:r>
      <w:r>
        <w:rPr>
          <w:color w:val="000000"/>
        </w:rPr>
        <w:t xml:space="preserve"> </w:t>
      </w:r>
      <w:r>
        <w:rPr>
          <w:rFonts w:ascii="Times New Roman;serif" w:hAnsi="Times New Roman;serif"/>
          <w:b w:val="false"/>
          <w:color w:val="000000"/>
          <w:sz w:val="20"/>
        </w:rPr>
        <w:t xml:space="preserve">Clearway Renew for initial cash consideration of $18 million. On September 4, 2025, when the facility reached substantial completion, the Company paid $72 million to Clearway Renew as additional purchase price. </w:t>
      </w:r>
      <w:r>
        <w:rPr>
          <w:rFonts w:ascii="Times New Roman;serif" w:hAnsi="Times New Roman;serif"/>
          <w:b w:val="false"/>
          <w:color w:val="000000"/>
          <w:sz w:val="20"/>
          <w:shd w:fill="FFFFFF" w:val="clear"/>
        </w:rPr>
        <w:t xml:space="preserve">On October 15, 2025, the Company paid $29 million to Clearway Renew as a purchase price true up. The Company's total capital investment in Luna Valley Class B was $119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March 20,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Rosamond South Investment LLC,</w:t>
      </w:r>
      <w:r>
        <w:rPr>
          <w:color w:val="000000"/>
          <w:shd w:fill="FFFFFF" w:val="clear"/>
        </w:rPr>
        <w:t xml:space="preserve"> </w:t>
      </w:r>
      <w:r>
        <w:rPr>
          <w:rFonts w:ascii="Times New Roman;serif" w:hAnsi="Times New Roman;serif"/>
          <w:b w:val="false"/>
          <w:color w:val="000000"/>
          <w:sz w:val="20"/>
          <w:shd w:fill="FFFFFF" w:val="clear"/>
        </w:rPr>
        <w:t>acquired the Class A membership interests in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The Company’s total capital investment in Rosie South TargetCo was $33 million.</w:t>
      </w:r>
      <w:r>
        <w:rPr>
          <w:color w:val="000000"/>
        </w:rPr>
        <w:t xml:space="preserve">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July 23, 2025, the Company entered into an agreement with Clearway Renew to repower the Goat Mountain facility, which is located in Sterling City, Texas. The Company estimates that its total capital investment in the Goat Mountain repowering will be $200 million, subject to closing adjustments. Contingent upon achieving repowering commercial operations in 2027, the 360 MW facility will sell power to </w:t>
      </w:r>
      <w:r>
        <w:rPr>
          <w:rFonts w:ascii="Times New Roman;serif" w:hAnsi="Times New Roman;serif"/>
          <w:b w:val="false"/>
          <w:color w:val="000000"/>
          <w:sz w:val="20"/>
        </w:rPr>
        <w:t>an investment-grade counterparty under a new 15-year PPA.</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On June 10, 2025, the Company,</w:t>
      </w:r>
      <w:r>
        <w:rPr>
          <w:color w:val="000000"/>
          <w:shd w:fill="FFFFFF" w:val="clear"/>
        </w:rPr>
        <w:t xml:space="preserve"> </w:t>
      </w:r>
      <w:r>
        <w:rPr>
          <w:rFonts w:ascii="Times New Roman;serif" w:hAnsi="Times New Roman;serif"/>
          <w:b w:val="false"/>
          <w:color w:val="000000"/>
          <w:sz w:val="20"/>
          <w:shd w:fill="FFFFFF" w:val="clear"/>
        </w:rPr>
        <w:t xml:space="preserve">through its indirect subsidiary, Pine Forest CE Class A Owner LLC, acquired the Class A membership interests in Pine Forest TargetCo, a partnership and the indirect owner of the Pine Forest solar and BESS facility, from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contributed $9 million to acquire the Class A membership interests in Pine Forest TE HoldCo LLC. At substantial completion, which is expected to occur in the fourth quarter of 2025, the Company estimates it will pay an additional $72 million to Clearway Renew for its Class A membership interests in Pine Forest TargetCo and will contribute an additional $37 million for its Class A membership interests in Pine Forest TE HoldCo LLC. In addition, the third-party cash equity investor in Pine Forest TargetCo is expected to contribute an additional $144 million. The Company estimates that its total capital investment in Pine Forest TargetCo will be $136 million, excluding the impact of any closing adjustments noted in the purchase agreement.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RA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Facility-level Financing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 connection with the 2025 Drop Downs of Rosamond South I, Luna Valley, Daggett 1 and Pine Forest, the Company assumed non-recourse facility-level debt. See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non-recourse facility-level debt associated with each facility.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May 21, 2025, when the Dan’s Mountain wind facility reached substantial completion, the Company paid $36 million to Clearway Renew as additional purchase price in connection with the Company’s acquisition of the Class A membership interests in Dan’s Mountain TargetCo on November 18, 2024. Also, on May 21, 2025, a third-party cash equity investor contributed $45 million to acquire the Class B membership interests in Dan’s Mountain TargetCo from Clearway Renew and the tax equity investor contributed an additional $90 million. The Company utilized the combined proceeds to repay the cash equity bridge loan, to repay the tax equity bridge loan and to pay associated fees with the remaining proceeds distributed to CEG. The Company’s total capital investment in Dan’s Mountain TargetCo was $43 million.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 xml:space="preserve">Long-term Debt, </w:t>
      </w:r>
      <w:r>
        <w:rPr>
          <w:rFonts w:ascii="Times New Roman;serif" w:hAnsi="Times New Roman;serif"/>
          <w:b w:val="false"/>
          <w:color w:val="000000"/>
          <w:sz w:val="20"/>
          <w:shd w:fill="FFFFFF" w:val="clear"/>
        </w:rPr>
        <w:t>for further discussion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44</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April 29, 2025, in order to partially fund the third-party acquisition of the Tuolumne wind facility, the Company entered into a financing agreement, </w:t>
      </w:r>
      <w:r>
        <w:rPr>
          <w:rFonts w:ascii="Times New Roman;serif" w:hAnsi="Times New Roman;serif"/>
          <w:b w:val="false"/>
          <w:color w:val="000000"/>
          <w:sz w:val="20"/>
          <w:shd w:fill="FFFFFF" w:val="clear"/>
        </w:rPr>
        <w:t xml:space="preserve">which included the issuance of a $163 million term loan, as well as $22 million in letters of credit in support of debt service and facility obligations. 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 xml:space="preserve">Long-term Debt, </w:t>
      </w:r>
      <w:r>
        <w:rPr>
          <w:rFonts w:ascii="Times New Roman;serif" w:hAnsi="Times New Roman;serif"/>
          <w:b w:val="false"/>
          <w:color w:val="000000"/>
          <w:sz w:val="20"/>
          <w:shd w:fill="FFFFFF" w:val="clear"/>
        </w:rPr>
        <w:t>for further discussion of the financing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refinanced credit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environmental matters are further described in the Company’s 2024 Form 10-K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Environmental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following disclosures about the Company’s regulatory matters provide an update to, and should be read in conjunction with,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Regulatory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Company’s 2024 Form 10-K</w:t>
      </w:r>
      <w:r>
        <w:rPr>
          <w:rFonts w:ascii="Times New Roman;serif" w:hAnsi="Times New Roman;serif"/>
          <w:b w:val="false"/>
          <w:i/>
          <w:color w:val="000000"/>
          <w:sz w:val="20"/>
        </w:rPr>
        <w: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 On September 12, 2025, the U.S. Court of Appeals denied the SEC’s request to proceed with the case and indicated that the case would be held in abeyance until the SEC either renews its defense of the rules or revises the rules via notice-and-comment rulemaking.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federal tax legislation was enacted. Among other changes, the federal tax legislation phases out, repeals, and/or adds stricter eligibility requirements for business tax credits and incentives for the development of clean energy facilities and production of clean energy, including wind, solar and BESS facilities. Among other things, (i) wind and solar facilities that begin construction after July 4, 2026 must be placed in service by December 31, 2027 in order to qualify for production tax credits or investment tax credits, (ii) BESS facilities that begin construction by December 31, 2033 receive full investment tax credit value, stepping down to 75% for BESS facilities that begin construction in 2034, 50% for BESS facilities that begin construction in 2035 and 0% for BESS facilities that begin construction after 2035 and (iii) for facilities that begin construction after 2024, new foreign entity of concern requirements will restrict availability of the credits to wind, solar and BESS facilities if the entity that owns the facility has certain relationships with or makes certain payments to foreign entities of concern and, for facilities that begin construction after 2025, if the percentage of components in the facility manufactured by foreign entities of concern exceeds a specified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45</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7, 2025, a federal executive order was issued directing the Secretary of the Treasury to issue, within 45 days, new or revised guidance regarding the interpretation of “begin construction” requirements for wind, solar and BESS facilities that claim “technology neutral” tax credits under sections 45Y or 48E of the Internal Revenue Code. On August 15, 2025, the U.S. Treasury Department issued new guidance which requires developers of wind and solar projects with a maximum net output of greater than 1.5 megawatts to perform physical work of a significant nature to qualify a project as having started, and then meet a continuity test. Under the continuity test, developers must place a project in service within four years after the end of the year in which construction starts or show that construction has been continuous from and after the start. The new guidance applies only to wind and solar projects that seek to qualify for “technology neutral credits” under Sections 45Y and 48E of the Internal Revenue Code and applies only for purposes of determining whether projects began construction before July 4, 2026. It does not apply to projects that began construction prior to September 2, 2025.</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29, 2025, the United States Environmental Protection Agency, or the EPA, issued an interim final rule extending several compliance deadlines associated with the strict new methane rules for the oil and gas industry that were published in March 2024 and took effect in May 2024. On July 29, 2025, the EPA released a pre-publication proposed rule which would rescind the EPA’s 2009 final rule under the Clean Air Act finding that greenhouse gases endanger the public health and welfare of current and future generations and that emissions of greenhouse gases from new motor vehicles contribute to greenhouse gas pollution that threatens the public health and welfare. On September 16, 2025, the EPA announced a proposal to end the Greenhouse Gas Reporting Program for all sectors except petroleum and natural gas systems (excluding reporting for natural gas distribution). Reporting for petroleum and natural gas systems under the Greenhouse Gas Reporting Program would be deferred until 2034 under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46</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selected financial information:</w:t>
      </w:r>
    </w:p>
    <w:tbl>
      <w:tblPr>
        <w:tblW w:w="10205" w:type="dxa"/>
        <w:jc w:val="left"/>
        <w:tblInd w:w="0" w:type="dxa"/>
        <w:tblLayout w:type="fixed"/>
        <w:tblCellMar>
          <w:top w:w="28" w:type="dxa"/>
          <w:left w:w="28" w:type="dxa"/>
          <w:bottom w:w="28" w:type="dxa"/>
          <w:right w:w="28" w:type="dxa"/>
        </w:tblCellMar>
      </w:tblPr>
      <w:tblGrid>
        <w:gridCol w:w="1443"/>
        <w:gridCol w:w="1029"/>
        <w:gridCol w:w="1035"/>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56"/>
      </w:tblGrid>
      <w:tr>
        <w:trPr/>
        <w:tc>
          <w:tcPr>
            <w:tcW w:w="144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and capacity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fuels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costs of operations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interest expense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Clearway Energy,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98"/>
        <w:gridCol w:w="1224"/>
        <w:gridCol w:w="1230"/>
        <w:gridCol w:w="308"/>
        <w:gridCol w:w="308"/>
        <w:gridCol w:w="506"/>
        <w:gridCol w:w="203"/>
        <w:gridCol w:w="203"/>
        <w:gridCol w:w="203"/>
        <w:gridCol w:w="308"/>
        <w:gridCol w:w="308"/>
        <w:gridCol w:w="506"/>
        <w:gridCol w:w="109"/>
        <w:gridCol w:w="109"/>
        <w:gridCol w:w="109"/>
        <w:gridCol w:w="360"/>
        <w:gridCol w:w="361"/>
        <w:gridCol w:w="483"/>
        <w:gridCol w:w="193"/>
        <w:gridCol w:w="193"/>
        <w:gridCol w:w="193"/>
        <w:gridCol w:w="360"/>
        <w:gridCol w:w="361"/>
        <w:gridCol w:w="569"/>
      </w:tblGrid>
      <w:tr>
        <w:trPr/>
        <w:tc>
          <w:tcPr>
            <w:tcW w:w="14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metrics:</w:t>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MWh generated/sold (in thousands) </w:t>
            </w:r>
            <w:r>
              <w:rPr>
                <w:rFonts w:ascii="Times New Roman;serif" w:hAnsi="Times New Roman;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MWh generated/sold (in thousands) </w:t>
            </w:r>
            <w:r>
              <w:rPr>
                <w:rFonts w:ascii="Times New Roman;serif" w:hAnsi="Times New Roman;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&amp; Wind MWh generated/sold (in thousands) </w:t>
            </w:r>
            <w:r>
              <w:rPr>
                <w:rFonts w:ascii="Times New Roman;serif" w:hAnsi="Times New Roman;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weighted-average capacity factor </w:t>
            </w:r>
            <w:r>
              <w:rPr>
                <w:rFonts w:ascii="Times New Roman;serif" w:hAnsi="Times New Roman;serif"/>
                <w:b w:val="false"/>
                <w:color w:val="000000"/>
                <w:sz w:val="13"/>
              </w:rPr>
              <w:t>(b)</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weighted-average capacity factor </w:t>
            </w:r>
            <w:r>
              <w:rPr>
                <w:rFonts w:ascii="Times New Roman;serif" w:hAnsi="Times New Roman;serif"/>
                <w:b w:val="false"/>
                <w:color w:val="000000"/>
                <w:sz w:val="13"/>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Flexible Generation MWh generated (in thousands) </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 equivalent availability factor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Volumes do not include the MWh generated/sold by the Company’s equity method investments.</w:t>
      </w:r>
    </w:p>
    <w:p>
      <w:pPr>
        <w:pStyle w:val="TextBody"/>
        <w:bidi w:val="0"/>
        <w:spacing w:lineRule="auto" w:line="288" w:before="0" w:after="2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Typical average capacity factors for solar facilities is 25%. The weighted-average capacity factors can vary based on seasonality and weather.</w:t>
      </w:r>
    </w:p>
    <w:p>
      <w:pPr>
        <w:pStyle w:val="TextBody"/>
        <w:bidi w:val="0"/>
        <w:spacing w:lineRule="auto" w:line="288" w:before="0" w:after="2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Typical average capacity factors for wind facilities is 25-45%. The weighted-average capacity factors can vary based on seasonality and weather.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47</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Discussion of the Results of Operations for the Three Months Ended September 30, 2025 and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decreased by $57 million during the three months ended September 30, 2025, compared to the same period in 2024,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65"/>
        <w:gridCol w:w="604"/>
        <w:gridCol w:w="605"/>
        <w:gridCol w:w="2391"/>
        <w:gridCol w:w="2391"/>
        <w:gridCol w:w="2398"/>
        <w:gridCol w:w="232"/>
        <w:gridCol w:w="445"/>
        <w:gridCol w:w="174"/>
      </w:tblGrid>
      <w:tr>
        <w:trPr/>
        <w:tc>
          <w:tcPr>
            <w:tcW w:w="9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Rosamond South I solar and BESS and Daggett 1 BESS acquisitions, which reached commercial operations in August 2025 and September 2025, respectively, as well as the Catalina solar acquisition in July 2025.</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7180"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higher wind resource at certain facilities.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incurred on the remaining buy-out of the Mt. Storm commodity contract in July 2025.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7180"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7180"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in energy revenue primarily driven by lower generation at the Walnut Creek, Marsh Landing and El Segundo facilities due to milder weather, which also decreased cost of fuels as noted below.</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the Tuolumne wind and Catalina solar acquisitions in April 2025 and July 2025, respectively, partially offset by Cedro Hill, which reached repowering commercial operations in December 2024, resulting in the extension of the amortization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an increase in forward power prices in the ERCOT market.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in heat rate call option contracts primarily driven by changes in power market prices.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Fuels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fuels decreased by $13 million during the three months ended September 30, 2025, compared to the same period in 2024, primarily due to lower generation at the Walnut Creek, Marsh Landing and El Segundo facilities due to milder weather, which resulted in less fuel purchases.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$41 million during the three months ended September 30, 2025, compared to the same period in 2024, primarily due to the change in fair value of interest rate swaps due to changes in interest rates.</w:t>
      </w:r>
    </w:p>
    <w:p>
      <w:pPr>
        <w:pStyle w:val="TextBody"/>
        <w:bidi w:val="0"/>
        <w:spacing w:lineRule="auto" w:line="288" w:before="0" w:after="180"/>
        <w:jc w:val="both"/>
        <w:rPr/>
      </w:pPr>
      <w:r>
        <w:rPr>
          <w:rFonts w:ascii="Times New Roman;serif" w:hAnsi="Times New Roman;serif"/>
          <w:b/>
          <w:i/>
          <w:color w:val="000000"/>
          <w:sz w:val="20"/>
        </w:rPr>
        <w:t>Income</w:t>
      </w:r>
      <w:r>
        <w:rPr>
          <w:color w:val="000000"/>
        </w:rPr>
        <w:t xml:space="preserve"> </w:t>
      </w:r>
      <w:r>
        <w:rPr>
          <w:rFonts w:ascii="Times New Roman;serif" w:hAnsi="Times New Roman;serif"/>
          <w:b/>
          <w:i/>
          <w:color w:val="000000"/>
          <w:sz w:val="20"/>
        </w:rPr>
        <w:t>Tax (Benefit) Expense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Company recorded an income tax benefit of $31 million on pretax income of $29 million. For the same period in 2024, the Company recorded an income tax expense of $33 million on pretax income of $60 million. The $64 million decrease in income tax expense during the three months ended September 30, 2025, compared to the same period in 2024, was primarily due to the allocation of taxable earnings and losses, which includes the effect of applying the HLBV method of accounting for book purposes for certain partnerships.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the Company had a net loss of $176 million attributable to noncontrolling interests and redeemable noncontrolling interests comprised of the following: </w:t>
      </w:r>
    </w:p>
    <w:tbl>
      <w:tblPr>
        <w:tblW w:w="10205" w:type="dxa"/>
        <w:jc w:val="left"/>
        <w:tblInd w:w="0" w:type="dxa"/>
        <w:tblLayout w:type="fixed"/>
        <w:tblCellMar>
          <w:top w:w="28" w:type="dxa"/>
          <w:left w:w="28" w:type="dxa"/>
          <w:bottom w:w="28" w:type="dxa"/>
          <w:right w:w="28" w:type="dxa"/>
        </w:tblCellMar>
      </w:tblPr>
      <w:tblGrid>
        <w:gridCol w:w="3356"/>
        <w:gridCol w:w="2947"/>
        <w:gridCol w:w="2963"/>
        <w:gridCol w:w="227"/>
        <w:gridCol w:w="544"/>
        <w:gridCol w:w="168"/>
      </w:tblGrid>
      <w:tr>
        <w:trPr/>
        <w:tc>
          <w:tcPr>
            <w:tcW w:w="3356"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Daggett 1 TE Holdco LLC, Dan’s Mountain Tax Credit Holdco LLC, Luna Valley TE Holdco LLC, Rosie South TE Holdco LLC and Rosie TE HoldCo LLC HLBV losses)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Dan’s Mountain Tax Credit Holdco LLC, Rosie South TE Holdco LLC and Rosie TE HoldCo LLC HLBV losses)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6"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9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48</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2024, the Company had a net loss of $9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37"/>
        <w:gridCol w:w="2930"/>
        <w:gridCol w:w="2946"/>
        <w:gridCol w:w="236"/>
        <w:gridCol w:w="581"/>
        <w:gridCol w:w="175"/>
      </w:tblGrid>
      <w:tr>
        <w:trPr/>
        <w:tc>
          <w:tcPr>
            <w:tcW w:w="3337"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VP-Arica TE Holdco LLC and Rosie TE HoldCo LLC HLBV losses)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VP-Arica TE Holdco LLC and Rosie TE HoldCo LLC HLBV losses)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49</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Discussion of the Results of Operations for the Nine Months Ended September 30, 2025 and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increased by $4 million during the nine months ended September 30, 2025, compared to the same period in 2024,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36"/>
        <w:gridCol w:w="561"/>
        <w:gridCol w:w="563"/>
        <w:gridCol w:w="2435"/>
        <w:gridCol w:w="2435"/>
        <w:gridCol w:w="2441"/>
        <w:gridCol w:w="241"/>
        <w:gridCol w:w="413"/>
        <w:gridCol w:w="180"/>
      </w:tblGrid>
      <w:tr>
        <w:trPr/>
        <w:tc>
          <w:tcPr>
            <w:tcW w:w="9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Victory Pass and Arica solar and BESS, Rosamond Central BESS, Rosamond South I solar and BESS and Daggett 1 BESS acquisitions, which reached commercial operations in March 2024, April 2024, June 2024, August 2025 and September 2025, respectively, as well as the Catalina solar acquisition in July 2025.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Cedar Creek and Tuolumne wind acquisitions in April 2024 and April 2025, respectively.</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higher solar generation.</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Loss incurred on the partial buy-out of the Mt. Storm commodity contract in May 2025 and the subsequent buy-out of the remaining contract in July 2025.</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in energy revenue primarily driven by lower generation at the Walnut Creek, Marsh Landing and El Segundo facilities due to milder weather, which also decreased cost of fuels as noted below.</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the Tuolumne wind and Catalina solar acquisitions in April 2025 and July 2025, respectively, partially offset by Cedro Hill, which reached repowering commercial operations in December 2024, resulting in the extension of the amortization period.</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an increase in forward power prices in the ERCOT market.</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in heat rate call option contracts primarily driven by changes in power market prices.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Cost of Fuels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fuels decreased by $29 million during the nine months ended September 30, 2025, compared to the same period in 2024, primarily due to lower generation at the Walnut Creek, Marsh Landing and El Segundo facilities due to milder weather, which resulted in less fuel purchases.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Maintenance Expense</w:t>
      </w:r>
    </w:p>
    <w:p>
      <w:pPr>
        <w:pStyle w:val="TextBody"/>
        <w:bidi w:val="0"/>
        <w:spacing w:lineRule="auto" w:line="288" w:before="0" w:after="60"/>
        <w:ind w:left="0" w:right="0" w:firstLine="450"/>
        <w:jc w:val="both"/>
        <w:rPr/>
      </w:pPr>
      <w:r>
        <w:rPr>
          <w:rFonts w:ascii="Times New Roman;serif" w:hAnsi="Times New Roman;serif"/>
          <w:b w:val="false"/>
          <w:color w:val="000000"/>
          <w:sz w:val="20"/>
        </w:rPr>
        <w:t>Operation and maintenance expense increased by</w:t>
      </w:r>
      <w:r>
        <w:rPr>
          <w:color w:val="000000"/>
        </w:rPr>
        <w:t xml:space="preserve"> </w:t>
      </w:r>
      <w:r>
        <w:rPr>
          <w:rFonts w:ascii="Times New Roman;serif" w:hAnsi="Times New Roman;serif"/>
          <w:b w:val="false"/>
          <w:color w:val="000000"/>
          <w:sz w:val="20"/>
        </w:rPr>
        <w:t>$31 million during the nine months ended September 30, 2025, compared to the same period in 2024,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63"/>
        <w:gridCol w:w="849"/>
        <w:gridCol w:w="851"/>
        <w:gridCol w:w="2157"/>
        <w:gridCol w:w="2154"/>
        <w:gridCol w:w="2159"/>
        <w:gridCol w:w="310"/>
        <w:gridCol w:w="531"/>
        <w:gridCol w:w="231"/>
      </w:tblGrid>
      <w:tr>
        <w:trPr/>
        <w:tc>
          <w:tcPr>
            <w:tcW w:w="9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6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solar and BESS acquisitions referenced above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wind acquisitions referenced above.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lower maintenance activities at various wind facilities.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vAlign w:val="center"/>
          </w:tcPr>
          <w:p>
            <w:pPr>
              <w:pStyle w:val="TableContents"/>
              <w:bidi w:val="0"/>
              <w:spacing w:before="0" w:after="283"/>
              <w:jc w:val="left"/>
              <w:rPr>
                <w:sz w:val="4"/>
                <w:szCs w:val="4"/>
              </w:rPr>
            </w:pPr>
            <w:r>
              <w:rPr>
                <w:sz w:val="4"/>
                <w:szCs w:val="4"/>
              </w:rPr>
            </w:r>
          </w:p>
        </w:tc>
        <w:tc>
          <w:tcPr>
            <w:tcW w:w="647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6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maintenance activities at various facilities.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Company recorded an income tax benefit of $26 million on a pretax loss of $58 million. For the same period in 2024, the Company recorded an income tax expense of $30 million on pretax income of $15 million. The $56 million decrease in income tax expense during the nine months ended September 30, 2025, compared to the same period in 2024, was primarily due to the allocation of taxable earnings and losses, which includes the effect of applying the HLBV method of accounting for book purposes for certain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50</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Company had a net loss of $305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62"/>
        <w:gridCol w:w="2952"/>
        <w:gridCol w:w="2968"/>
        <w:gridCol w:w="224"/>
        <w:gridCol w:w="533"/>
        <w:gridCol w:w="166"/>
      </w:tblGrid>
      <w:tr>
        <w:trPr/>
        <w:tc>
          <w:tcPr>
            <w:tcW w:w="3362"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Cedro Hill TE Holdco LLC, Daggett 1 TE Holdco LLC, Dan’s Mountain Tax Credit Holdco LLC, Luna Valley TE Holdco LLC, Rosie South TE Holdco LLC, Rosie TE HoldCo LLC and VP-Arica TE Holdco LLC HLBV losses)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9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Dan’s Mountain Tax Credit Holdco LLC, Rosie South TE Holdco LLC, Rosie TE HoldCo LLC and VP-Arica TE Holdco LLC HLBV losses)</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the Company had a net loss of $100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9"/>
        <w:gridCol w:w="2941"/>
        <w:gridCol w:w="2956"/>
        <w:gridCol w:w="230"/>
        <w:gridCol w:w="557"/>
        <w:gridCol w:w="172"/>
      </w:tblGrid>
      <w:tr>
        <w:trPr/>
        <w:tc>
          <w:tcPr>
            <w:tcW w:w="334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4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9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VP-Arica TE Holdco LLC, Rosie TE HoldCo LLC, Daggett TE Holdco LLC and Daggett 2 TE Holdco LLC HLBV losses)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VP-Arica TE Holdco LLC, Rosie TE HoldCo LLC, Daggett TE Holdco LLC and Daggett 2 TE Holdco LLC HLBV losses)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CEG’s economic interest in Clearway Energy LLC</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51</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principal liquidity requirements are to meet its financial commitments, finance current operations, fund capital expenditures, including investments and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Current Liquidity Position</w:t>
      </w:r>
    </w:p>
    <w:p>
      <w:pPr>
        <w:pStyle w:val="TextBody"/>
        <w:bidi w:val="0"/>
        <w:spacing w:lineRule="auto" w:line="288" w:before="0" w:after="6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December 31, 2024</w:t>
      </w:r>
      <w:r>
        <w:rPr>
          <w:rFonts w:ascii="Times New Roman;serif" w:hAnsi="Times New Roman;serif"/>
          <w:b w:val="false"/>
          <w:color w:val="231F20"/>
          <w:sz w:val="20"/>
        </w:rPr>
        <w:t>, the Company’s liquidity was approximately $834 million and $1,330 million, respectively, comprised of cash, restricted cash and availability under the Company’s revolving credit facility.</w:t>
      </w:r>
    </w:p>
    <w:tbl>
      <w:tblPr>
        <w:tblW w:w="10205" w:type="dxa"/>
        <w:jc w:val="left"/>
        <w:tblInd w:w="0" w:type="dxa"/>
        <w:tblLayout w:type="fixed"/>
        <w:tblCellMar>
          <w:top w:w="28" w:type="dxa"/>
          <w:left w:w="28" w:type="dxa"/>
          <w:bottom w:w="28" w:type="dxa"/>
          <w:right w:w="28" w:type="dxa"/>
        </w:tblCellMar>
      </w:tblPr>
      <w:tblGrid>
        <w:gridCol w:w="2371"/>
        <w:gridCol w:w="2076"/>
        <w:gridCol w:w="2097"/>
        <w:gridCol w:w="109"/>
        <w:gridCol w:w="109"/>
        <w:gridCol w:w="109"/>
        <w:gridCol w:w="402"/>
        <w:gridCol w:w="891"/>
        <w:gridCol w:w="211"/>
        <w:gridCol w:w="109"/>
        <w:gridCol w:w="109"/>
        <w:gridCol w:w="109"/>
        <w:gridCol w:w="322"/>
        <w:gridCol w:w="942"/>
        <w:gridCol w:w="239"/>
      </w:tblGrid>
      <w:tr>
        <w:trPr/>
        <w:tc>
          <w:tcPr>
            <w:tcW w:w="237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pPr>
      <w:r>
        <w:rPr>
          <w:rFonts w:ascii="Times New Roman;serif" w:hAnsi="Times New Roman;serif"/>
          <w:b w:val="false"/>
          <w:color w:val="231F20"/>
          <w:sz w:val="20"/>
        </w:rPr>
        <w:t xml:space="preserve">The Company’s liquidity includes $390 million and $401 million of restricted cash balances as of September 30, 2025 and December 31, 2024, respectively. Restricted cash consists primarily of funds to satisfy the requirements of certain debt arrangements and funds held within the Company’s facilities that are restricted in their use. As of </w:t>
      </w:r>
      <w:r>
        <w:rPr>
          <w:rFonts w:ascii="Times New Roman;serif" w:hAnsi="Times New Roman;serif"/>
          <w:b w:val="false"/>
          <w:color w:val="000000"/>
          <w:sz w:val="20"/>
        </w:rPr>
        <w:t>September 30, 2025, these restricted funds were comprised of $185 million designated to fund operating expenses, approximately $79 million designated for current debt service payments and $84 million restricted for reserves including debt service, performance obligations and other reserves, as well as capital expenditures. The remaining $42 million is held in distribution reserve accounts.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Clearway Energy LLC and Clearway Energy Operating LLC Revolving Credit Facility</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of September 30, 2025, the Company had $405 million in outstanding borrowings under the revolving credit facility and $102 million in letters of credit outstanding. During October 2025, the Company repaid $190 million of the outstanding borrowings under the revolving credit facility primarily utilizing the proceeds received from the sale of Mt. Storm to Clearway Renew, as further discussed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As of October 31, 2025, the Company had $215 million in outstanding borrowings under the revolving credit facility. </w:t>
      </w:r>
      <w:r>
        <w:rPr>
          <w:rFonts w:ascii="Times New Roman;serif" w:hAnsi="Times New Roman;serif"/>
          <w:b w:val="false"/>
          <w:color w:val="231F20"/>
          <w:sz w:val="20"/>
        </w:rPr>
        <w:t>The facility will continue to be used for general corporate purposes including financing of future investments or acquisitions and posting letters of credit.</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Credit Ratings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52</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credit ratings for the Company and its Senior Notes as of September 30, 2025:</w:t>
      </w:r>
    </w:p>
    <w:tbl>
      <w:tblPr>
        <w:tblW w:w="4445" w:type="dxa"/>
        <w:jc w:val="left"/>
        <w:tblInd w:w="0" w:type="dxa"/>
        <w:tblLayout w:type="fixed"/>
        <w:tblCellMar>
          <w:top w:w="28" w:type="dxa"/>
          <w:left w:w="28" w:type="dxa"/>
          <w:bottom w:w="28" w:type="dxa"/>
          <w:right w:w="28" w:type="dxa"/>
        </w:tblCellMar>
      </w:tblPr>
      <w:tblGrid>
        <w:gridCol w:w="972"/>
        <w:gridCol w:w="854"/>
        <w:gridCol w:w="859"/>
        <w:gridCol w:w="144"/>
        <w:gridCol w:w="144"/>
        <w:gridCol w:w="146"/>
        <w:gridCol w:w="109"/>
        <w:gridCol w:w="109"/>
        <w:gridCol w:w="109"/>
        <w:gridCol w:w="245"/>
        <w:gridCol w:w="245"/>
        <w:gridCol w:w="246"/>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Moody’s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 </w:t>
            </w:r>
          </w:p>
        </w:tc>
        <w:tc>
          <w:tcPr>
            <w:tcW w:w="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Senior Notes, due 2028</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Senior Notes, due 2031</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Senior Notes, due 2032</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231F20"/>
          <w:sz w:val="20"/>
        </w:rPr>
      </w:pPr>
      <w:r>
        <w:rPr>
          <w:rFonts w:ascii="Times New Roman;serif" w:hAnsi="Times New Roman;serif"/>
          <w:b/>
          <w:i/>
          <w:color w:val="231F20"/>
          <w:sz w:val="20"/>
        </w:rPr>
        <w:t>Sources of Liquidity</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serif" w:hAnsi="Times New Roman;serif"/>
          <w:b w:val="false"/>
          <w:i/>
          <w:color w:val="231F20"/>
          <w:sz w:val="20"/>
        </w:rPr>
        <w:t>Long-term Debt</w:t>
      </w:r>
      <w:r>
        <w:rPr>
          <w:rFonts w:ascii="Times New Roman;serif" w:hAnsi="Times New Roman;serif"/>
          <w:b w:val="false"/>
          <w:color w:val="231F20"/>
          <w:sz w:val="20"/>
        </w:rPr>
        <w:t xml:space="preserve">, to this Form 10-Q, Item 15 — Note 10, </w:t>
      </w:r>
      <w:r>
        <w:rPr>
          <w:rFonts w:ascii="Times New Roman;serif" w:hAnsi="Times New Roman;serif"/>
          <w:b w:val="false"/>
          <w:i/>
          <w:color w:val="231F20"/>
          <w:sz w:val="20"/>
        </w:rPr>
        <w:t>Long-term Debt</w:t>
      </w:r>
      <w:r>
        <w:rPr>
          <w:rFonts w:ascii="Times New Roman;serif" w:hAnsi="Times New Roman;serif"/>
          <w:b w:val="false"/>
          <w:color w:val="231F20"/>
          <w:sz w:val="20"/>
        </w:rPr>
        <w:t>, to the consolidated financial statements included in the Company’s 2024 Form 10-K, and further below, the Company’s financing arrangements consist of corporate level debt, which includes Senior Notes and the revolving credit facility, facility-level financings for its various assets, the ATM Program and the DSPP.</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Mt. Storm Sale to Clearway Renew</w:t>
      </w:r>
      <w:r>
        <w:rPr>
          <w:color w:val="000000"/>
        </w:rPr>
        <w:t xml:space="preserve"> — </w:t>
      </w:r>
      <w:r>
        <w:rPr>
          <w:rFonts w:ascii="Times New Roman;serif" w:hAnsi="Times New Roman;serif"/>
          <w:b w:val="false"/>
          <w:color w:val="000000"/>
          <w:sz w:val="20"/>
        </w:rPr>
        <w:t xml:space="preserve">On October 2, 2025, the Company, through its indirect subsidiary, WV Wind 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Additionally, the Company has an exclusive option to purchase the Class B membership interests in the tax equity fund that, upon mechanical completion of the first phase of the repowering of the facility, will own Mt. Storm. Upon achieving repowering commercial operations, which is expected to occur in the second half of 2027, the facility will sell power to Microsoft under a 20-year PPA. 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At-The-Market Equity Offering Program</w:t>
      </w:r>
      <w:r>
        <w:rPr>
          <w:color w:val="000000"/>
        </w:rPr>
        <w:t xml:space="preserve"> — </w:t>
      </w:r>
      <w:r>
        <w:rPr>
          <w:rFonts w:ascii="Times New Roman;serif" w:hAnsi="Times New Roman;serif"/>
          <w:b w:val="false"/>
          <w:color w:val="000000"/>
          <w:sz w:val="20"/>
        </w:rPr>
        <w:t>On August 6, 2025, the Company entered into an equity distribution agreement with Morgan Stanley &amp; Co. LLC, BofA Securities, Inc., Citigroup Global Markets Inc., J.P. Morgan Securities LLC and Wells Fargo Securities LLC, as sales agents. Pursuant to the terms of the agreement, the Company may offer and sell shares of its Class C common stock, par value $0.01 per share, from time to time through the sales agents, as the Company’s sales agents for the offer and sale of the shares, up to an aggregate sales price of $100 million through an at-the-market equity offering program, or ATM Program. During the third quarter of 2025, the Company issued 2,933 shares of Class C common stock under the ATM Program for gross proceeds of less than $1 million. During October 2025, the Company issued 785,047 shares of Class C common stock under the ATM Program for gross proceeds of $25 million and incurred fees of less than $1 million. The Company intends to use the net proceeds from the sale of shares under the ATM Program for general corporate purposes, which may include the repayment or refinancing of indebtedness and the funding of working capital, capital expenditures, acquisitions and investments, and the Company may invest funds not required immediately for such purposes in marketable securities and short-term investments.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Dividend Reinvestment and Direct Stock Purchase Plan</w:t>
      </w:r>
      <w:r>
        <w:rPr>
          <w:color w:val="000000"/>
        </w:rPr>
        <w:t xml:space="preserve"> — </w:t>
      </w:r>
      <w:r>
        <w:rPr>
          <w:rFonts w:ascii="Times New Roman;serif" w:hAnsi="Times New Roman;serif"/>
          <w:b w:val="false"/>
          <w:color w:val="000000"/>
          <w:sz w:val="20"/>
        </w:rPr>
        <w:t>On August 6, 2025, the Company adopted a dividend reinvestment and direct stock purchase plan, or DRIP/DSPP, respectively, under which the Company registered and reserved for issuance up to an aggregate of 3,300,000 shares of Class C common stock. Under the DRIP, holders of the Company’s Class C common stockholders can designate all or a portion of their cash dividends, when paid, to be reinvested in additional shares of the Company’s Class C common stock. The DSPP allows (i) plan participants and registered stockholders of the Company who are not plan participants to purchase shares of Class C common stock in the minimum amount of $50 per investment up to a maximum aggregate amount of $150,000 per calendar year; (ii) new investors who do not own shares of Class C common stock to purchase shares by making an initial minimum investment of $250, up to a maximum aggregate amount of $150,000 per calendar year; and (iii) plan participants, other registered stockholders and new investors to request a waiver from the Company to make optional cash investments in excess of the maximum aggregate amount of $150,000 per calendar year. During the third quarter of 2025, no shares were issued under the DSPP. During October 2025, the Company issued 793,202 shares of Class C common stock under the DSPP for gross proceeds of $25 million and incurred fees of less than $1 million. The Company intends to use the net proceeds from the sale of shares under the DRIP/DSPP for general corporate purposes, which may include the repayment or refinancing of indebtedness and the funding of working capital, capital expenditures, acquisitions and investments, and the Company may invest funds not required immediately for such purposes in marketable securities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53</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180" w:after="180"/>
        <w:jc w:val="both"/>
        <w:rPr>
          <w:rFonts w:ascii="Times New Roman;serif" w:hAnsi="Times New Roman;serif"/>
          <w:b/>
          <w:i/>
          <w:color w:val="231F20"/>
          <w:sz w:val="20"/>
        </w:rPr>
      </w:pPr>
      <w:r>
        <w:rPr>
          <w:rFonts w:ascii="Times New Roman;serif" w:hAnsi="Times New Roman;serif"/>
          <w:b/>
          <w:i/>
          <w:color w:val="231F20"/>
          <w:sz w:val="20"/>
        </w:rPr>
        <w:t>Uses of Liquidity</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erif" w:hAnsi="Times New Roman;serif"/>
          <w:b w:val="false"/>
          <w:color w:val="000000"/>
          <w:sz w:val="20"/>
        </w:rPr>
        <w:t>Note 7</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color w:val="231F20"/>
          <w:sz w:val="20"/>
        </w:rPr>
        <w:t xml:space="preserve">; (ii) capital expenditures; (iii) off-balance sheet arrangements; (iv) acquisitions and investments, as described more fully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231F20"/>
          <w:sz w:val="20"/>
        </w:rPr>
        <w:t>; and (v) cash dividends to investors.</w:t>
      </w:r>
    </w:p>
    <w:p>
      <w:pPr>
        <w:pStyle w:val="TextBody"/>
        <w:bidi w:val="0"/>
        <w:spacing w:lineRule="auto" w:line="288" w:before="0" w:after="180"/>
        <w:ind w:left="0" w:right="0" w:firstLine="450"/>
        <w:jc w:val="left"/>
        <w:rPr>
          <w:rFonts w:ascii="Times New Roman;serif" w:hAnsi="Times New Roman;serif"/>
          <w:b/>
          <w:i/>
          <w:color w:val="231F20"/>
          <w:sz w:val="20"/>
        </w:rPr>
      </w:pPr>
      <w:r>
        <w:rPr>
          <w:rFonts w:ascii="Times New Roman;serif" w:hAnsi="Times New Roman;serif"/>
          <w:b/>
          <w:i/>
          <w:color w:val="231F20"/>
          <w:sz w:val="20"/>
        </w:rPr>
        <w:t>Capital Expenditures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For the nine months ended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the Company used approximately $213 million to fund capital expenditures, including growth </w:t>
      </w:r>
      <w:r>
        <w:rPr>
          <w:rFonts w:ascii="Times New Roman;serif" w:hAnsi="Times New Roman;serif"/>
          <w:b w:val="false"/>
          <w:color w:val="000000"/>
          <w:sz w:val="20"/>
        </w:rPr>
        <w:t>expenditures of $202 million, primarily in the Renewables &amp; Storage segment, funded through construction-related financing. Growth capital expenditures included $65 million incurred in connection with the Rosamond South I solar and BESS facility, $37 million incurred in connection with the Pine Forest solar and BESS facility, $29 million incurred in connection with the Dan’s Mountain wind facility, $22 million incurred in connection with the Luna Valley solar facility, $19 million incurred in connection with the repowering of the Cedro Hill wind facility, $12 million incurred in connection with the Victory Pass and Arica solar and BESS facilities, $12 million incurred in connection with the Daggett 1 BESS facility and $6 million incurred by other facilities.</w:t>
      </w:r>
      <w:r>
        <w:rPr>
          <w:color w:val="231F20"/>
        </w:rPr>
        <w:t xml:space="preserve"> </w:t>
      </w:r>
      <w:r>
        <w:rPr>
          <w:rFonts w:ascii="Times New Roman;serif" w:hAnsi="Times New Roman;serif"/>
          <w:b w:val="false"/>
          <w:color w:val="231F20"/>
          <w:sz w:val="20"/>
        </w:rPr>
        <w:t xml:space="preserve">In addition, the Company incurred </w:t>
      </w:r>
      <w:r>
        <w:rPr>
          <w:rFonts w:ascii="Times New Roman;serif" w:hAnsi="Times New Roman;serif"/>
          <w:b w:val="false"/>
          <w:color w:val="000000"/>
          <w:sz w:val="20"/>
        </w:rPr>
        <w:t>$11 million of maintenance capital expenditures, which is net of credits received from equipment manufacturers.</w:t>
      </w:r>
    </w:p>
    <w:p>
      <w:pPr>
        <w:pStyle w:val="TextBody"/>
        <w:bidi w:val="0"/>
        <w:spacing w:lineRule="auto" w:line="276"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under Certain Guarantee Contracts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Retained or Contingent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material retained or contingent interests in assets transferred to an unconsolidated entity.</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Variable interest in equity investments</w:t>
      </w:r>
      <w:r>
        <w:rPr>
          <w:color w:val="000000"/>
        </w:rPr>
        <w:t> — </w:t>
      </w:r>
      <w:r>
        <w:rPr>
          <w:rFonts w:ascii="Times New Roman;serif" w:hAnsi="Times New Roman;serif"/>
          <w:b w:val="false"/>
          <w:color w:val="000000"/>
          <w:sz w:val="20"/>
        </w:rPr>
        <w:t>As of September 30, 2025, the Company has several investments with an ownership interest percentage of 50% or less. GenConn is a VIE for which the Company is not the primary beneficiary. The Company’s pro-rata share of non-recourse debt held by unconsolidated affiliates was approximately $268 million as of September 30, 2025. This indebtedness may restrict the ability of these subsidiaries to issue dividends or distributions to the Company.</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Contractual Obligations and Commercial Commitments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serif" w:hAnsi="Times New Roman;serif"/>
          <w:b w:val="false"/>
          <w:color w:val="231F20"/>
          <w:sz w:val="20"/>
        </w:rPr>
        <w:t>2024</w:t>
      </w:r>
      <w:r>
        <w:rPr>
          <w:color w:val="000000"/>
        </w:rPr>
        <w:t xml:space="preserve"> </w:t>
      </w:r>
      <w:r>
        <w:rPr>
          <w:rFonts w:ascii="Times New Roman;serif" w:hAnsi="Times New Roman;serif"/>
          <w:b w:val="false"/>
          <w:color w:val="000000"/>
          <w:sz w:val="20"/>
        </w:rPr>
        <w:t>Form 10-K.</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Acquisitions and Investments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Honeycomb Portfolio Drop Down</w:t>
      </w:r>
      <w:r>
        <w:rPr>
          <w:color w:val="000000"/>
        </w:rPr>
        <w:t xml:space="preserve"> — </w:t>
      </w:r>
      <w:r>
        <w:rPr>
          <w:rFonts w:ascii="Times New Roman;serif" w:hAnsi="Times New Roman;serif"/>
          <w:b w:val="false"/>
          <w:color w:val="000000"/>
          <w:sz w:val="20"/>
        </w:rPr>
        <w:t>On October 15, 2025, the Company, through its indirect subsidiary, Honeycomb 1 Holdco LLC, acquired Honeycomb TargetCo LLC, the indirect owner of the Honeycomb Portfolio, from Clearway Renew for initial cash consideration of $16 million. At substantial completion, which is expected to occur in the first half of 2026, the Company estimates it will pay an additional $62 million to Clearway Renew. The Company estimates that its total capital investment in Honeycomb TargetCo LLC will be $78 million, excluding the impact of any closing adjustments noted in the purchase agreement. The Honeycomb Portfolio has 20-year PPAs with an investment-grade utility that will commence when the underlying operating assets reach commercial operations, which is expected to occur in the first half of 2026. The acquisition was funded with existing sources of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54</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pPr>
      <w:r>
        <w:rPr>
          <w:rFonts w:ascii="Times New Roman;serif" w:hAnsi="Times New Roman;serif"/>
          <w:b w:val="false"/>
          <w:i/>
          <w:color w:val="000000"/>
          <w:sz w:val="20"/>
        </w:rPr>
        <w:t>Daggett 1 Drop Down</w:t>
      </w:r>
      <w:r>
        <w:rPr>
          <w:color w:val="000000"/>
        </w:rPr>
        <w:t xml:space="preserve"> — </w:t>
      </w:r>
      <w:r>
        <w:rPr>
          <w:rFonts w:ascii="Times New Roman;serif" w:hAnsi="Times New Roman;serif"/>
          <w:b w:val="false"/>
          <w:color w:val="000000"/>
          <w:sz w:val="20"/>
        </w:rPr>
        <w:t xml:space="preserve">On April 29, 2025, the Company, through its indirect subsidiary, LV-Daggett Parent Holdco LLC, acquired Daggett 1 Class B, the indirect owner of the Daggett 1 BESS facility, from Clearway Renew for initial cash consideration of $11 million. On September 19, 2025, when the facility reached substantial completion, the Company paid $42 million to Clearway Renew as additional purchase price. Daggett 1 has a PPA for capacity with an investment-grade counterparty for a contract duration of 15 years that commenced in September 2025. The acquisition was funded with existing sources of liquidity. As part of the acquisition of Daggett 1, the Company assumed the facility’s financing agreement, which included a construction loan and a tax equity bridge loan. Upon the project reaching substantial completion, the tax equity investor contributed an additional $108 million, which was utilized along with the $38 million previously held in escrow and $31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the Company borrowed an additional $40 million in construction loans. </w:t>
      </w:r>
      <w:r>
        <w:rPr>
          <w:rFonts w:ascii="Times New Roman;serif" w:hAnsi="Times New Roman;serif"/>
          <w:b w:val="false"/>
          <w:color w:val="000000"/>
          <w:sz w:val="20"/>
          <w:shd w:fill="FFFFFF" w:val="clear"/>
        </w:rPr>
        <w:t xml:space="preserve">On October 15, 2025, the Company paid $4 million to Clearway Renew as a purchase price true up. </w:t>
      </w:r>
      <w:r>
        <w:rPr>
          <w:rFonts w:ascii="Times New Roman;serif" w:hAnsi="Times New Roman;serif"/>
          <w:b w:val="false"/>
          <w:color w:val="000000"/>
          <w:sz w:val="20"/>
        </w:rPr>
        <w:t xml:space="preserve">The Company’s total capital investment in Daggett 1 Class B was </w:t>
      </w:r>
      <w:r>
        <w:rPr>
          <w:rFonts w:ascii="Times New Roman;serif" w:hAnsi="Times New Roman;serif"/>
          <w:b w:val="false"/>
          <w:color w:val="000000"/>
          <w:sz w:val="20"/>
          <w:shd w:fill="FFFFFF" w:val="clear"/>
        </w:rPr>
        <w:t>$57 million</w:t>
      </w:r>
      <w:r>
        <w:rPr>
          <w:rFonts w:ascii="Times New Roman;serif" w:hAnsi="Times New Roman;serif"/>
          <w:b w:val="false"/>
          <w:color w:val="000000"/>
          <w:sz w:val="20"/>
        </w:rPr>
        <w:t>.</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Luna Valley Drop Down</w:t>
      </w:r>
      <w:r>
        <w:rPr>
          <w:color w:val="000000"/>
        </w:rPr>
        <w:t xml:space="preserve"> — </w:t>
      </w:r>
      <w:r>
        <w:rPr>
          <w:rFonts w:ascii="Times New Roman;serif" w:hAnsi="Times New Roman;serif"/>
          <w:b w:val="false"/>
          <w:color w:val="000000"/>
          <w:sz w:val="20"/>
        </w:rPr>
        <w:t>On April 29, 2025, the Company, through its indirect subsidiary, LV-Daggett Parent Holdco LLC, acquired Luna Valley Class B, the indirect owner of the Luna Valley solar facility, from Clearway Renew for initial cash consideration of $18 million. On September 4, 2025, when the facility reached substantial completion, the Company paid $72 million to Clearway Renew as additional purchase price.</w:t>
      </w:r>
      <w:r>
        <w:rPr>
          <w:color w:val="000000"/>
          <w:shd w:fill="FFFFFF" w:val="clear"/>
        </w:rPr>
        <w:t xml:space="preserve"> </w:t>
      </w:r>
      <w:r>
        <w:rPr>
          <w:rFonts w:ascii="Times New Roman;serif" w:hAnsi="Times New Roman;serif"/>
          <w:b w:val="false"/>
          <w:color w:val="000000"/>
          <w:sz w:val="20"/>
        </w:rPr>
        <w:t xml:space="preserve">Luna Valley has PPAs with investment-grade counterparties that have a 17-year weighted average contract duration that commenced in August 2025. The acquisition was funded with existing sources of liquidity. As part of the acquisition of Luna Valley, the Company assumed the facility’s financing agreement, which included a construction loan, a cash equity bridge loan that was partially paid off at acquisition date and a tax equity bridge loan. Upon the project reaching substantial completion, the tax equity investor contributed an additional $114 million and CEG contributed $50 million, which were utilized, along with the $29 million previously held in escrow and $28 million in construction loan proceeds, to repay the cash equity bridge loan, to repay the tax equity bridge loan, to fund construction completion reserves and to pay associated fees. Also at substantial completion, the outstanding construction loans were converted to a term loan. Subsequent to the acquisition, the Company borrowed an additional $51 million in construction loans. </w:t>
      </w:r>
      <w:r>
        <w:rPr>
          <w:rFonts w:ascii="Times New Roman;serif" w:hAnsi="Times New Roman;serif"/>
          <w:b w:val="false"/>
          <w:color w:val="000000"/>
          <w:sz w:val="20"/>
          <w:shd w:fill="FFFFFF" w:val="clear"/>
        </w:rPr>
        <w:t xml:space="preserve">On October 15, 2025, the Company paid $29 million to Clearway Renew as a purchase price true up. </w:t>
      </w:r>
      <w:r>
        <w:rPr>
          <w:rFonts w:ascii="Times New Roman;serif" w:hAnsi="Times New Roman;serif"/>
          <w:b w:val="false"/>
          <w:color w:val="000000"/>
          <w:sz w:val="20"/>
        </w:rPr>
        <w:t xml:space="preserve">The Company’s total capital investment in Luna Valley Class B was </w:t>
      </w:r>
      <w:r>
        <w:rPr>
          <w:rFonts w:ascii="Times New Roman;serif" w:hAnsi="Times New Roman;serif"/>
          <w:b w:val="false"/>
          <w:color w:val="000000"/>
          <w:sz w:val="20"/>
          <w:shd w:fill="FFFFFF" w:val="clear"/>
        </w:rPr>
        <w:t>$119 million.</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Rosamond South I Drop Down</w:t>
      </w:r>
      <w:r>
        <w:rPr>
          <w:color w:val="000000"/>
        </w:rPr>
        <w:t xml:space="preserve"> — </w:t>
      </w:r>
      <w:r>
        <w:rPr>
          <w:rFonts w:ascii="Times New Roman;serif" w:hAnsi="Times New Roman;serif"/>
          <w:b w:val="false"/>
          <w:color w:val="000000"/>
          <w:sz w:val="20"/>
        </w:rPr>
        <w:t xml:space="preserve">On March 20,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Rosamond South Investment LLC,</w:t>
      </w:r>
      <w:r>
        <w:rPr>
          <w:color w:val="000000"/>
          <w:shd w:fill="FFFFFF" w:val="clear"/>
        </w:rPr>
        <w:t xml:space="preserve"> </w:t>
      </w:r>
      <w:r>
        <w:rPr>
          <w:rFonts w:ascii="Times New Roman;serif" w:hAnsi="Times New Roman;serif"/>
          <w:b w:val="false"/>
          <w:color w:val="000000"/>
          <w:sz w:val="20"/>
          <w:shd w:fill="FFFFFF" w:val="clear"/>
        </w:rPr>
        <w:t xml:space="preserve">acquired the Class A membership interests in Rosie South TargetCo, a partnership and the indirect owner of the Rosamond South I solar and BESS facility, from Clearway Renew for initial cash consideration of $4 million. </w:t>
      </w:r>
      <w:r>
        <w:rPr>
          <w:rFonts w:ascii="Times New Roman;serif" w:hAnsi="Times New Roman;serif"/>
          <w:b w:val="false"/>
          <w:color w:val="000000"/>
          <w:sz w:val="20"/>
        </w:rPr>
        <w:t>On August 13, 2025, when the facility reached substantial completion, the Company paid $29 million to Clearway Renew as additional purchase price</w:t>
      </w:r>
      <w:r>
        <w:rPr>
          <w:rFonts w:ascii="Times New Roman;serif" w:hAnsi="Times New Roman;serif"/>
          <w:b w:val="false"/>
          <w:color w:val="000000"/>
          <w:sz w:val="20"/>
          <w:shd w:fill="FFFFFF" w:val="clear"/>
        </w:rPr>
        <w:t>. Rosamond South I has PPAs with investment-grade counterparties that have a 15-year weighted average contract duration that commence when the underlying operating assets reach commercial operations. The acquisition was funded with existing sources of liquidity. As part of the acquisition of Rosamond South I, the Company assumed the facility’s financing agreement, which included a construction loan, a cash equity bridge loan that was paid off at acquisition date and a tax equity bridge loan.</w:t>
      </w:r>
      <w:r>
        <w:rPr>
          <w:color w:val="000000"/>
        </w:rPr>
        <w:t xml:space="preserve"> </w:t>
      </w:r>
      <w:r>
        <w:rPr>
          <w:rFonts w:ascii="Times New Roman;serif" w:hAnsi="Times New Roman;serif"/>
          <w:b w:val="false"/>
          <w:color w:val="000000"/>
          <w:sz w:val="20"/>
        </w:rPr>
        <w:t xml:space="preserve">Upon the project reaching substantial completion, the cash equity investor contributed an additional $41 million and the tax equity investor contributed an additional $226 million, which were utilized, along with the $58 million previously held in escrow and $13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the Company borrowed an additional $49 million in construction loans and also received $40 million in contributions from CEG to pay for construction completion expenses. The Company’s total capital investment in Rosie South TargetCo was </w:t>
      </w:r>
      <w:r>
        <w:rPr>
          <w:rFonts w:ascii="Times New Roman;serif" w:hAnsi="Times New Roman;serif"/>
          <w:b w:val="false"/>
          <w:color w:val="000000"/>
          <w:sz w:val="20"/>
          <w:shd w:fill="FFFFFF" w:val="clear"/>
        </w:rPr>
        <w:t>$33 million.</w:t>
      </w:r>
    </w:p>
    <w:p>
      <w:pPr>
        <w:pStyle w:val="TextBody"/>
        <w:bidi w:val="0"/>
        <w:spacing w:lineRule="auto" w:line="288" w:before="0" w:after="180"/>
        <w:ind w:left="0" w:right="0" w:firstLine="450"/>
        <w:jc w:val="both"/>
        <w:rPr/>
      </w:pPr>
      <w:r>
        <w:rPr>
          <w:rFonts w:ascii="Times New Roman;serif" w:hAnsi="Times New Roman;serif"/>
          <w:b w:val="false"/>
          <w:i/>
          <w:color w:val="212529"/>
          <w:sz w:val="20"/>
          <w:shd w:fill="FFFFFF" w:val="clear"/>
        </w:rPr>
        <w:t>Catalina Solar Acquisition</w:t>
      </w:r>
      <w:r>
        <w:rPr>
          <w:color w:val="000000"/>
        </w:rPr>
        <w:t xml:space="preserve"> — </w:t>
      </w:r>
      <w:r>
        <w:rPr>
          <w:rFonts w:ascii="Times New Roman;serif" w:hAnsi="Times New Roman;serif"/>
          <w:b w:val="false"/>
          <w:color w:val="000000"/>
          <w:sz w:val="20"/>
          <w:shd w:fill="FFFFFF" w:val="clear"/>
        </w:rPr>
        <w:t xml:space="preserve">On July 16, 2025, the Company, through its indirect subsidiary, Catalina Solar Investment LLC, acquired Catalina Solar Lessee Holdco LLC, which leases and operates the Catalina solar facility, from a third-party for approximately $127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Catalina reached commercial operations in 2013 and has a PPA with an investment-grade utility through 2038. The acquisition was funded with existing sources of liquidity. After factoring in cash reserves acquired and transaction expenses, the Company’s net capital investment in Catalina is expected to be $128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55</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ind w:left="0" w:right="0" w:firstLine="450"/>
        <w:jc w:val="both"/>
        <w:rPr/>
      </w:pPr>
      <w:r>
        <w:rPr>
          <w:rFonts w:ascii="Times New Roman;serif" w:hAnsi="Times New Roman;serif"/>
          <w:b w:val="false"/>
          <w:i/>
          <w:color w:val="000000"/>
          <w:sz w:val="20"/>
        </w:rPr>
        <w:t>Pine Forest Drop Down</w:t>
      </w:r>
      <w:r>
        <w:rPr>
          <w:color w:val="000000"/>
        </w:rPr>
        <w:t xml:space="preserve"> — </w:t>
      </w:r>
      <w:r>
        <w:rPr>
          <w:rFonts w:ascii="Times New Roman;serif" w:hAnsi="Times New Roman;serif"/>
          <w:b w:val="false"/>
          <w:color w:val="000000"/>
          <w:sz w:val="20"/>
        </w:rPr>
        <w:t xml:space="preserve">On June 10, 2025, </w:t>
      </w:r>
      <w:r>
        <w:rPr>
          <w:rFonts w:ascii="Times New Roman;serif" w:hAnsi="Times New Roman;serif"/>
          <w:b w:val="false"/>
          <w:color w:val="000000"/>
          <w:sz w:val="20"/>
          <w:shd w:fill="FFFFFF" w:val="clear"/>
        </w:rPr>
        <w:t xml:space="preserve">the Company, through its indirect subsidiary, Pine Forest CE Class A Owner LLC, acquired the Class A membership interests in Pine Forest TargetCo, a partnership and the indirect owner of the Pine Forest solar and BESS facility, from Clearway Renew for initial cash consideration of $18 million. Also on </w:t>
      </w:r>
      <w:r>
        <w:rPr>
          <w:rFonts w:ascii="Times New Roman;serif" w:hAnsi="Times New Roman;serif"/>
          <w:b w:val="false"/>
          <w:color w:val="000000"/>
          <w:sz w:val="20"/>
        </w:rPr>
        <w:t xml:space="preserve">June 10, 2025, </w:t>
      </w:r>
      <w:r>
        <w:rPr>
          <w:rFonts w:ascii="Times New Roman;serif" w:hAnsi="Times New Roman;serif"/>
          <w:b w:val="false"/>
          <w:color w:val="000000"/>
          <w:sz w:val="20"/>
          <w:shd w:fill="FFFFFF" w:val="clear"/>
        </w:rPr>
        <w:t>the Company, through its indirect subsidiary, Pine Forest TE Class A, contributed $9 million to acquire the Class A membership interests in Pine Forest TE HoldCo LLC. At substantial completion, which is expected to occur in the fourth quarter of 2025, the Company estimates it will pay an additional $72 million to Clearway Renew for its Class A membership interests in Pine Forest TargetCo and will contribute an additional $37 million for its Class A membership interests in Pine Forest TE HoldCo LLC. The Company estimates that its total capital investment in Pine Forest TargetCo will be $136 million, excluding the impact of any closing adjustments noted in the purchase agreement. Pine Forest has PPAs for the solar facility with investment-grade counterparties and a 20-year weighted average contract duration that will commence when the underlying operating assets reach commercial operations, which is expected to occur in the fourth quarter of 2025. The acquisition was funded with existing sources of liquidity. As part of the acquisition of Pine Forest, the Company assumed the facility’s financing agreement, which included a construction loan that converts to a term loan when the facility reaches substantial completion, a cash equity bridge loan, a tax equity bridge loan and a tax credit transfer bridge loan, all of which will be completely paid off when the facility reaches substantial completion.</w:t>
      </w:r>
      <w:r>
        <w:rPr>
          <w:color w:val="000000"/>
        </w:rPr>
        <w:t xml:space="preserve"> </w:t>
      </w:r>
      <w:r>
        <w:rPr>
          <w:rFonts w:ascii="Times New Roman;serif" w:hAnsi="Times New Roman;serif"/>
          <w:b w:val="false"/>
          <w:color w:val="000000"/>
          <w:sz w:val="20"/>
        </w:rPr>
        <w:t>Subsequent to the acquisition, the Company borrowed an additional $44 million in cash equity bridge loans through September 30, 2025.</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 xml:space="preserve">Dan’s Mountain Drop Down </w:t>
      </w:r>
      <w:r>
        <w:rPr>
          <w:color w:val="000000"/>
        </w:rPr>
        <w:t xml:space="preserve">— </w:t>
      </w:r>
      <w:r>
        <w:rPr>
          <w:rFonts w:ascii="Times New Roman;serif" w:hAnsi="Times New Roman;serif"/>
          <w:b w:val="false"/>
          <w:color w:val="000000"/>
          <w:sz w:val="20"/>
        </w:rPr>
        <w:t>On May 21, 2025, when the Dan’s Mountain wind facility reached substantial completion, the Company paid $36 million to Clearway Renew as additional purchase price in connection with the Company’s acquisition of the Class A membership interests in Dan’s Mountain TargetCo on November 18, 2024, which was funded with existing sources of liquidity.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tax equity bridge loan, to repay the cash equity bridge loan and to pay associated fees with the remaining proceeds distributed to CEG. Prior to substantial completion being reached, the Company borrowed an additional $18 million in construction loans during 2025. The Company’s total capital investment in Dan’s Mountain TargetCo was $43 million.</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Tuolumne Wind Acquisition</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acquisition was funded with the borrowings under the new financing agreement, as well as existing sources of liquidity. The Company’s net capital investment in Tuolumne was $59 million.</w:t>
      </w:r>
    </w:p>
    <w:p>
      <w:pPr>
        <w:pStyle w:val="TextBody"/>
        <w:bidi w:val="0"/>
        <w:spacing w:lineRule="auto" w:line="288" w:before="0" w:after="180"/>
        <w:ind w:left="0" w:right="0" w:firstLine="45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Dividends to Investors</w:t>
      </w:r>
    </w:p>
    <w:p>
      <w:pPr>
        <w:pStyle w:val="TextBody"/>
        <w:bidi w:val="0"/>
        <w:spacing w:lineRule="auto" w:line="288" w:before="0" w:after="180"/>
        <w:ind w:left="0" w:right="0" w:firstLine="450"/>
        <w:jc w:val="both"/>
        <w:rPr/>
      </w:pPr>
      <w:r>
        <w:rPr>
          <w:rFonts w:ascii="Times New Roman;serif" w:hAnsi="Times New Roman;serif"/>
          <w:b w:val="false"/>
          <w:color w:val="231F20"/>
          <w:sz w:val="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serif" w:hAnsi="Times New Roman;serif"/>
          <w:b w:val="false"/>
          <w:color w:val="000000"/>
          <w:sz w:val="20"/>
        </w:rPr>
        <w: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dividends paid on the Company’s Class A common stock and Class C common stock during the nine months ended September 30, 2025:</w:t>
      </w:r>
    </w:p>
    <w:tbl>
      <w:tblPr>
        <w:tblW w:w="8244"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Class C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declared quarterly dividends on its Class A and Class C common stock of $0.4528 per share payable on December 15, 2025 to stockholders of record as of December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56</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 Discussion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changes in cash flows for the comparative periods:</w:t>
      </w:r>
    </w:p>
    <w:tbl>
      <w:tblPr>
        <w:tblW w:w="7888" w:type="dxa"/>
        <w:jc w:val="left"/>
        <w:tblInd w:w="0" w:type="dxa"/>
        <w:tblLayout w:type="fixed"/>
        <w:tblCellMar>
          <w:top w:w="28" w:type="dxa"/>
          <w:left w:w="28" w:type="dxa"/>
          <w:bottom w:w="28" w:type="dxa"/>
          <w:right w:w="28" w:type="dxa"/>
        </w:tblCellMar>
      </w:tblPr>
      <w:tblGrid>
        <w:gridCol w:w="1525"/>
        <w:gridCol w:w="1343"/>
        <w:gridCol w:w="1346"/>
        <w:gridCol w:w="283"/>
        <w:gridCol w:w="625"/>
        <w:gridCol w:w="146"/>
        <w:gridCol w:w="146"/>
        <w:gridCol w:w="146"/>
        <w:gridCol w:w="146"/>
        <w:gridCol w:w="283"/>
        <w:gridCol w:w="625"/>
        <w:gridCol w:w="146"/>
        <w:gridCol w:w="109"/>
        <w:gridCol w:w="109"/>
        <w:gridCol w:w="109"/>
        <w:gridCol w:w="211"/>
        <w:gridCol w:w="43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erif" w:hAnsi="Times New Roman;serif"/>
          <w:b/>
          <w:i/>
          <w:color w:val="000000"/>
          <w:sz w:val="20"/>
        </w:rPr>
      </w:pPr>
      <w:r>
        <w:rPr>
          <w:rFonts w:ascii="Times New Roman;serif" w:hAnsi="Times New Roman;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495"/>
        <w:gridCol w:w="2881"/>
        <w:gridCol w:w="2892"/>
        <w:gridCol w:w="252"/>
        <w:gridCol w:w="499"/>
        <w:gridCol w:w="186"/>
      </w:tblGrid>
      <w:tr>
        <w:trPr/>
        <w:tc>
          <w:tcPr>
            <w:tcW w:w="349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9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provided by operating activities were driven by:</w:t>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the Mt. Storm commodity contract in 2025</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from changes in working capital primarily driven by the timing of accounts receivable collections and payments of current liabilities, including accounts payable and current income taxes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distributions from unconsolidated affiliates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operating income after adjusting for non-cash items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9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6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926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tbl>
      <w:tblPr>
        <w:tblW w:w="10205" w:type="dxa"/>
        <w:jc w:val="left"/>
        <w:tblInd w:w="0" w:type="dxa"/>
        <w:tblLayout w:type="fixed"/>
        <w:tblCellMar>
          <w:top w:w="28" w:type="dxa"/>
          <w:left w:w="28" w:type="dxa"/>
          <w:bottom w:w="28" w:type="dxa"/>
          <w:right w:w="28" w:type="dxa"/>
        </w:tblCellMar>
      </w:tblPr>
      <w:tblGrid>
        <w:gridCol w:w="3312"/>
        <w:gridCol w:w="2897"/>
        <w:gridCol w:w="2907"/>
        <w:gridCol w:w="276"/>
        <w:gridCol w:w="610"/>
        <w:gridCol w:w="203"/>
      </w:tblGrid>
      <w:tr>
        <w:trPr/>
        <w:tc>
          <w:tcPr>
            <w:tcW w:w="3312"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used in investing activities were driven by:</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paid for Drop Down Assets, net of cash acquired</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capital expenditures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third party acquisitions, net of cash acquired, in 2025</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 receivable – affiliate in 2024 related to the Rosie Class B LLC loan issued to Clearway Renew</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the return of investment from unconsolidated affiliates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erif" w:hAnsi="Times New Roman;serif"/>
          <w:b/>
          <w:i/>
          <w:color w:val="000000"/>
          <w:sz w:val="20"/>
        </w:rPr>
      </w:pPr>
      <w:r>
        <w:rPr>
          <w:rFonts w:ascii="Times New Roman;serif" w:hAnsi="Times New Roman;serif"/>
          <w:b/>
          <w:i/>
          <w:color w:val="000000"/>
          <w:sz w:val="20"/>
        </w:rPr>
        <w:t>Net Cash Provided by (Used in) Financing Activities</w:t>
      </w:r>
    </w:p>
    <w:tbl>
      <w:tblPr>
        <w:tblW w:w="9120" w:type="dxa"/>
        <w:jc w:val="left"/>
        <w:tblInd w:w="0" w:type="dxa"/>
        <w:tblLayout w:type="fixed"/>
        <w:tblCellMar>
          <w:top w:w="28" w:type="dxa"/>
          <w:left w:w="28" w:type="dxa"/>
          <w:bottom w:w="28" w:type="dxa"/>
          <w:right w:w="28" w:type="dxa"/>
        </w:tblCellMar>
      </w:tblPr>
      <w:tblGrid>
        <w:gridCol w:w="2903"/>
        <w:gridCol w:w="2552"/>
        <w:gridCol w:w="2570"/>
        <w:gridCol w:w="278"/>
        <w:gridCol w:w="614"/>
        <w:gridCol w:w="203"/>
      </w:tblGrid>
      <w:tr>
        <w:trPr/>
        <w:tc>
          <w:tcPr>
            <w:tcW w:w="2903"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ind w:left="0" w:right="0" w:hanging="180"/>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cash provided by (used in)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payments for long-term debt and increase in proceeds from issuance of long-term debt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revolving credit facility, net of payments in 2025</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contributions from noncontrolling interests, net of distributions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dividends paid to common stockholders and distributions paid to CEG unit holders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CEG in 2025</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 in 2025</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02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02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02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02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57</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NOLs, Deferred Tax Assets and Uncertain Tax Position Implications, under ASC 740</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had a cumulative federal NOL carryforward balance of $278 million for financial statement purposes, none of which were subject to expiration. Additionally, as of December 31, 2024, the Company had a cumulative state NOL carryforward balance of $99 million for financial statement purposes, which will expire between 2025 and 2041 if unutilized. The Company does not anticipate material income tax payments through 2026. In addition, as of December 31, 2024, the Company had PTC and ITC carryforward balances totaling $23 million, which will expire between 2035 and 2044 if unutilized.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an interest disallowance carryforward of $82 million as a result of Internal Revenue Code §163(j). The disallowed interest deduction has an indefinite carryforward period and any limitations on the utilization of this carryforward have been factored into the Company’s valuation allowance analysis.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after the utilization of various federal and state NOL carryforwards, paid $1 million in federal and state income taxes during the nine months ended September 30, 2025 and does not expect to pay material federal or state income taxes for the remainder of the current year. The Company does not anticipate being subject to the 15% corporate minimum tax on financial statement income.</w:t>
      </w:r>
    </w:p>
    <w:p>
      <w:pPr>
        <w:pStyle w:val="TextBody"/>
        <w:bidi w:val="0"/>
        <w:spacing w:lineRule="auto" w:line="288" w:before="0" w:after="180"/>
        <w:ind w:left="0" w:right="0" w:firstLine="450"/>
        <w:jc w:val="both"/>
        <w:rPr/>
      </w:pPr>
      <w:r>
        <w:rPr>
          <w:rFonts w:ascii="Times New Roman;serif" w:hAnsi="Times New Roman;serif"/>
          <w:b w:val="false"/>
          <w:color w:val="000000"/>
          <w:sz w:val="20"/>
        </w:rPr>
        <w:t>Federal tax legislation enacted on July 4, 2025 contains a number of revisions to the Internal Revenue Code, including adjustments to the business interest expense disallowance calculation, accelerated tax depreciation and business tax credits and incentives for the development of clean energy facilities and production of clean energy, including wind, solar and BESS facilities.</w:t>
      </w:r>
      <w:r>
        <w:rPr>
          <w:color w:val="000000"/>
        </w:rPr>
        <w:t xml:space="preserve"> </w:t>
      </w:r>
      <w:r>
        <w:rPr>
          <w:rFonts w:ascii="Times New Roman;serif" w:hAnsi="Times New Roman;serif"/>
          <w:b w:val="false"/>
          <w:color w:val="000000"/>
          <w:sz w:val="20"/>
        </w:rPr>
        <w:t>The Company is evaluating the potential impact of this legislation and does not anticipate the foregoing tax provisions will have a material impact on its consolidated financial statements. The Company will continue to monitor for guidance issued by the United States Department of the Treasury to assess for potential impact on its consolidated financial statements.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examination by taxing authorities for income tax returns filed in the U.S. federal and various state jurisdictions. All tax returns filed by the Company for the year ended December 31, 2013 and forward remain subject to audit. As of December 31, 2024, the U.S. federal partnership returns of three of the Company’s subsidiaries are under audit by the IRS. The IRS has issued proposed adjustments with respect to all three of the subsidiaries under audit. The Company believes that such proposed adjustments are without merit and in any case would not impact the Company’s tax liability or the tax liability of such subsidiary.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uncertain tax benefits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based on their level within the fair value hierarchy defined in ASC 820; and indicate the maturities of contracts at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For a full discussion of the Company’s valuation methodology of its contracts, see </w:t>
      </w:r>
      <w:r>
        <w:rPr>
          <w:rFonts w:ascii="Times New Roman;serif" w:hAnsi="Times New Roman;serif"/>
          <w:b w:val="false"/>
          <w:i/>
          <w:color w:val="231F20"/>
          <w:sz w:val="20"/>
        </w:rPr>
        <w:t xml:space="preserve">Derivative Fair Value Measurements </w:t>
      </w:r>
      <w:r>
        <w:rPr>
          <w:rFonts w:ascii="Times New Roman;serif" w:hAnsi="Times New Roman;serif"/>
          <w:b w:val="false"/>
          <w:color w:val="231F20"/>
          <w:sz w:val="20"/>
        </w:rPr>
        <w:t xml:space="preserve">in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w:t>
      </w:r>
    </w:p>
    <w:tbl>
      <w:tblPr>
        <w:tblW w:w="5759" w:type="dxa"/>
        <w:jc w:val="left"/>
        <w:tblInd w:w="0" w:type="dxa"/>
        <w:tblLayout w:type="fixed"/>
        <w:tblCellMar>
          <w:top w:w="28" w:type="dxa"/>
          <w:left w:w="28" w:type="dxa"/>
          <w:bottom w:w="28" w:type="dxa"/>
          <w:right w:w="28" w:type="dxa"/>
        </w:tblCellMar>
      </w:tblPr>
      <w:tblGrid>
        <w:gridCol w:w="1690"/>
        <w:gridCol w:w="1485"/>
        <w:gridCol w:w="1489"/>
        <w:gridCol w:w="255"/>
        <w:gridCol w:w="654"/>
        <w:gridCol w:w="186"/>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Activity (Losses) Gains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December 31, 2024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realized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September 30, 2025</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58</w:t>
                      </w:r>
                    </w:p>
                  </w:txbxContent>
                </v:textbox>
                <w10:wrap type="none"/>
              </v:rect>
            </w:pict>
          </mc:Fallback>
        </mc:AlternateContent>
      </w:r>
    </w:p>
    <w:p>
      <w:pPr>
        <w:pStyle w:val="TextBody"/>
        <w:bidi w:val="0"/>
        <w:spacing w:before="0" w:after="180"/>
        <w:ind w:left="0" w:right="0" w:hanging="360"/>
        <w:jc w:val="both"/>
        <w:rPr/>
      </w:pPr>
      <w:r>
        <w:rPr/>
      </w:r>
    </w:p>
    <w:tbl>
      <w:tblPr>
        <w:tblW w:w="10101" w:type="dxa"/>
        <w:jc w:val="left"/>
        <w:tblInd w:w="0" w:type="dxa"/>
        <w:tblLayout w:type="fixed"/>
        <w:tblCellMar>
          <w:top w:w="28" w:type="dxa"/>
          <w:left w:w="28" w:type="dxa"/>
          <w:bottom w:w="28" w:type="dxa"/>
          <w:right w:w="28" w:type="dxa"/>
        </w:tblCellMar>
      </w:tblPr>
      <w:tblGrid>
        <w:gridCol w:w="1003"/>
        <w:gridCol w:w="882"/>
        <w:gridCol w:w="889"/>
        <w:gridCol w:w="322"/>
        <w:gridCol w:w="666"/>
        <w:gridCol w:w="166"/>
        <w:gridCol w:w="109"/>
        <w:gridCol w:w="109"/>
        <w:gridCol w:w="109"/>
        <w:gridCol w:w="342"/>
        <w:gridCol w:w="877"/>
        <w:gridCol w:w="176"/>
        <w:gridCol w:w="109"/>
        <w:gridCol w:w="109"/>
        <w:gridCol w:w="109"/>
        <w:gridCol w:w="406"/>
        <w:gridCol w:w="839"/>
        <w:gridCol w:w="209"/>
        <w:gridCol w:w="109"/>
        <w:gridCol w:w="109"/>
        <w:gridCol w:w="109"/>
        <w:gridCol w:w="310"/>
        <w:gridCol w:w="640"/>
        <w:gridCol w:w="160"/>
        <w:gridCol w:w="109"/>
        <w:gridCol w:w="109"/>
        <w:gridCol w:w="109"/>
        <w:gridCol w:w="211"/>
        <w:gridCol w:w="541"/>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contracts as of September 30, 2025</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u w:val="single"/>
              </w:rPr>
            </w:pPr>
            <w:r>
              <w:rPr>
                <w:rFonts w:ascii="Times New Roman;serif" w:hAnsi="Times New Roman;serif"/>
                <w:b/>
                <w:color w:val="000000"/>
                <w:sz w:val="16"/>
                <w:u w:val="single"/>
              </w:rPr>
              <w:t>Fair Value Hierarchy (Losses) Gains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Fair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and determining the fair value of financial instruments.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Recent Accounting Developments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59</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 Quantitative and Qualitative Disclosures About Market Risk </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erif" w:hAnsi="Times New Roman;serif"/>
          <w:b w:val="false"/>
          <w:color w:val="000000"/>
          <w:sz w:val="20"/>
        </w:rPr>
        <w:t>The following disclosures about market risk provide an update to, and should be read in conjunction with, Item 7A —</w:t>
      </w:r>
      <w:r>
        <w:rPr>
          <w:color w:val="000000"/>
        </w:rPr>
        <w:t xml:space="preserve">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of the Company’s 2024 Form 10-K.</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Commodity Price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Based on a sensitivity analysis using simplified assumptions, the impact of a $0.50 per MWh increase or decrease in power prices across the term of the long-term power commodity contracts would cause a change of approximately $4 million to the net value of the related derivatives as of September 30, 2025.</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Interest Rate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erif" w:hAnsi="Times New Roman;serif"/>
          <w:b w:val="false"/>
          <w:color w:val="000000"/>
          <w:sz w:val="20"/>
        </w:rPr>
        <w:t>Note 6</w:t>
      </w:r>
      <w:r>
        <w:rPr>
          <w:rFonts w:ascii="Times New Roman;serif" w:hAnsi="Times New Roman;serif"/>
          <w:b w:val="false"/>
          <w:color w:val="231F20"/>
          <w:sz w:val="20"/>
        </w:rPr>
        <w:t xml:space="preserve">, </w:t>
      </w:r>
      <w:r>
        <w:rPr>
          <w:rFonts w:ascii="Times New Roman;serif" w:hAnsi="Times New Roman;serif"/>
          <w:b w:val="false"/>
          <w:i/>
          <w:color w:val="000000"/>
          <w:sz w:val="20"/>
        </w:rPr>
        <w:t>Derivative Instruments and Hedging Activities</w:t>
      </w:r>
      <w:r>
        <w:rPr>
          <w:rFonts w:ascii="Times New Roman;serif" w:hAnsi="Times New Roman;serif"/>
          <w:b w:val="false"/>
          <w:color w:val="231F20"/>
          <w:sz w:val="20"/>
        </w:rPr>
        <w:t>, for more information.</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serif" w:hAnsi="Times New Roman;serif"/>
          <w:b w:val="false"/>
          <w:color w:val="000000"/>
          <w:sz w:val="20"/>
        </w:rPr>
        <w:t>Note 10</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i/>
          <w:color w:val="231F20"/>
          <w:sz w:val="20"/>
        </w:rPr>
        <w:t xml:space="preserve">, </w:t>
      </w:r>
      <w:r>
        <w:rPr>
          <w:rFonts w:ascii="Times New Roman;serif" w:hAnsi="Times New Roman;serif"/>
          <w:b w:val="false"/>
          <w:color w:val="231F20"/>
          <w:sz w:val="20"/>
        </w:rPr>
        <w:t xml:space="preserve">to the Company’s </w:t>
      </w:r>
      <w:r>
        <w:rPr>
          <w:rFonts w:ascii="Times New Roman;serif" w:hAnsi="Times New Roman;serif"/>
          <w:b w:val="false"/>
          <w:color w:val="000000"/>
          <w:sz w:val="20"/>
        </w:rPr>
        <w:t>audited consolidated financial statements for the year ended December 31, 2024 included in the 2024 Form 10-K</w:t>
      </w:r>
      <w:r>
        <w:rPr>
          <w:color w:val="231F20"/>
        </w:rPr>
        <w:t xml:space="preserve"> </w:t>
      </w:r>
      <w:r>
        <w:rPr>
          <w:rFonts w:ascii="Times New Roman;serif" w:hAnsi="Times New Roman;serif"/>
          <w:b w:val="false"/>
          <w:color w:val="231F20"/>
          <w:sz w:val="20"/>
        </w:rPr>
        <w:t>for more information about interest rate swaps of the Company’s subsidiaries.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If all of the interest rate swaps had been discontinued on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the counterparties would have owed the Company </w:t>
      </w:r>
      <w:r>
        <w:rPr>
          <w:rFonts w:ascii="Times New Roman;serif" w:hAnsi="Times New Roman;serif"/>
          <w:b w:val="false"/>
          <w:color w:val="000000"/>
          <w:sz w:val="20"/>
        </w:rPr>
        <w:t>$83 million.</w:t>
      </w:r>
      <w:r>
        <w:rPr>
          <w:color w:val="231F20"/>
        </w:rPr>
        <w:t xml:space="preserve"> </w:t>
      </w:r>
      <w:r>
        <w:rPr>
          <w:rFonts w:ascii="Times New Roman;serif" w:hAnsi="Times New Roman;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has long-term debt instruments that subject it to the risk of loss associated with movements in market interest rates. As of </w:t>
      </w:r>
      <w:r>
        <w:rPr>
          <w:rFonts w:ascii="Times New Roman;serif" w:hAnsi="Times New Roman;serif"/>
          <w:b w:val="false"/>
          <w:color w:val="000000"/>
          <w:sz w:val="20"/>
        </w:rPr>
        <w:t>September 30, 2025</w:t>
      </w:r>
      <w:r>
        <w:rPr>
          <w:rFonts w:ascii="Times New Roman;serif" w:hAnsi="Times New Roman;serif"/>
          <w:b w:val="false"/>
          <w:color w:val="231F20"/>
          <w:sz w:val="20"/>
        </w:rPr>
        <w:t>, a change of 1%, or 100 basis points, in interest rates would result in an approximately $8 million change in market interest expense on a rolling twelve-month basis.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September 30, 2025</w:t>
      </w:r>
      <w:r>
        <w:rPr>
          <w:rFonts w:ascii="Times New Roman;serif" w:hAnsi="Times New Roman;serif"/>
          <w:b w:val="false"/>
          <w:color w:val="231F20"/>
          <w:sz w:val="20"/>
        </w:rPr>
        <w:t>, the fair value of the Company’s debt was $8,159 million and the carrying value was $8,492 million. The Company estimates that a decrease of 1%, or 100 basis points, in market interest rates would have increased the fair value of its long-term debt by approximately $301 million.</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Liquidity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Counterparty Credit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 to the consolidated financial statements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60</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0" w:after="180"/>
        <w:jc w:val="both"/>
        <w:rPr/>
      </w:pPr>
      <w:r>
        <w:rPr>
          <w:rFonts w:ascii="Times New Roman;serif" w:hAnsi="Times New Roman;serif"/>
          <w:b w:val="false"/>
          <w:i/>
          <w:color w:val="000000"/>
          <w:sz w:val="20"/>
        </w:rPr>
        <w:t>Conclusion Regarding the Effectiveness of Disclosure Controls</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Procedures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such term is defined in Rule 13a-15(f) under the Exchange Act) during the quarter ended September 30, 2025 that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61</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1 — LEGAL PROCEEDINGS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 RISK FACTORS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Information regarding risk factors appears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the Company’s 2024 Form 10-K. There have been no material changes in the Company’s risk factors since those reported in its 2024 Form 10-K.</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 DEFAULTS UPON SENIOR SECURITIES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Insider Trading Plans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officer (as defined in Rule 16a-1(f) of the Exchange Act) of the Company adopted, modified or terminated a “Rule 10b5-1 trading arrangement” or “non-Rule 10b5-1 trading arrangement,” as each term is defined in Item 408(a)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62</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928"/>
        <w:gridCol w:w="1895"/>
        <w:gridCol w:w="1901"/>
        <w:gridCol w:w="109"/>
        <w:gridCol w:w="109"/>
        <w:gridCol w:w="109"/>
        <w:gridCol w:w="974"/>
        <w:gridCol w:w="904"/>
        <w:gridCol w:w="117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Method of Filing</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Equity Distribution Agreement, dated as of August 6, 2025, by and among Clearway Energy, Inc., Clearway Energy LLC, Morgan Stanley &amp; Co. LLC, BofA Securities, Inc., Citigroup Global Markets Inc., J.P. Morgan Securities LLC and Wells Fargo Securities,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1.1 to the Company’s Current Report on Form 8-K filed on August 6, 2025.</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Purchase and Sale Agreement, dated as of October 3, 2025, by and among Cardinal Purchaser LLC, Deriva Energy, LLC, Symphony Breeze, LLC and Symphony Sun,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10.1 to the Company’s Current Report on Form 8-K filed on October 6, 2025.</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Purchase and Sale Agreement, dated as of October 3, 2025, by and among Cardinal JV Purchaser LLC, Fengate Cardinal Blocker LLC, Fengate Yield (VCOC) UBTI Blocker LLC, Deriva Energy, LLC, Symphony Breeze, LLC and Symphony Sun,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10.2 to the Company’s Current Report on Form 8-K filed on October 6, 2025.</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110-q2025q3.htm">
              <w:r>
                <w:rPr>
                  <w:rStyle w:val="InternetLink"/>
                  <w:rFonts w:ascii="Times New Roman;serif" w:hAnsi="Times New Roman;serif"/>
                  <w:b w:val="false"/>
                  <w:color w:val="0000FF"/>
                  <w:sz w:val="18"/>
                  <w:u w:val="single"/>
                </w:rPr>
                <w:t>Rule 13a-14(a)/15d-14(a) certification of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210-q2025q3.htm">
              <w:r>
                <w:rPr>
                  <w:rStyle w:val="InternetLink"/>
                  <w:rFonts w:ascii="Times New Roman;serif" w:hAnsi="Times New Roman;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210-q2025q3.htm">
              <w:r>
                <w:rPr>
                  <w:rStyle w:val="InternetLink"/>
                  <w:rFonts w:ascii="Times New Roman;serif" w:hAnsi="Times New Roman;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bl>
    <w:p>
      <w:pPr>
        <w:pStyle w:val="TextBody"/>
        <w:bidi w:val="0"/>
        <w:spacing w:lineRule="auto" w:line="288" w:before="0" w:after="60"/>
        <w:jc w:val="both"/>
        <w:rPr>
          <w:color w:val="000000"/>
        </w:rPr>
      </w:pPr>
      <w:r>
        <w:rPr>
          <w:color w:val="000000"/>
        </w:rPr>
        <w:t xml:space="preserve">† </w:t>
      </w:r>
      <w:r>
        <w:rPr>
          <w:rFonts w:ascii="Times New Roman;serif" w:hAnsi="Times New Roman;serif"/>
          <w:b w:val="false"/>
          <w:color w:val="000000"/>
          <w:sz w:val="18"/>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63</w:t>
                      </w:r>
                    </w:p>
                  </w:txbxContent>
                </v:textbox>
                <w10:wrap type="none"/>
              </v:rect>
            </w:pict>
          </mc:Fallback>
        </mc:AlternateContent>
      </w:r>
    </w:p>
    <w:p>
      <w:pPr>
        <w:pStyle w:val="TextBody"/>
        <w:bidi w:val="0"/>
        <w:spacing w:before="0" w:after="180"/>
        <w:ind w:left="0" w:right="0" w:hanging="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792" w:type="dxa"/>
        <w:jc w:val="center"/>
        <w:tblInd w:w="0" w:type="dxa"/>
        <w:tblLayout w:type="fixed"/>
        <w:tblCellMar>
          <w:top w:w="28" w:type="dxa"/>
          <w:left w:w="28" w:type="dxa"/>
          <w:bottom w:w="28" w:type="dxa"/>
          <w:right w:w="28" w:type="dxa"/>
        </w:tblCellMar>
      </w:tblPr>
      <w:tblGrid>
        <w:gridCol w:w="759"/>
        <w:gridCol w:w="668"/>
        <w:gridCol w:w="672"/>
        <w:gridCol w:w="589"/>
        <w:gridCol w:w="589"/>
        <w:gridCol w:w="589"/>
        <w:gridCol w:w="589"/>
        <w:gridCol w:w="589"/>
        <w:gridCol w:w="589"/>
        <w:gridCol w:w="589"/>
        <w:gridCol w:w="589"/>
        <w:gridCol w:w="609"/>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INC.</w:t>
              <w:br/>
              <w:t>(Registrant)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92"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5693" w:type="dxa"/>
            <w:gridSpan w:val="12"/>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92"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64</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Craig Cornelius,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Clearway Energy, Inc.;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2" w:type="dxa"/>
        <w:jc w:val="right"/>
        <w:tblInd w:w="0" w:type="dxa"/>
        <w:tblLayout w:type="fixed"/>
        <w:tblCellMar>
          <w:top w:w="28" w:type="dxa"/>
          <w:left w:w="28" w:type="dxa"/>
          <w:bottom w:w="28" w:type="dxa"/>
          <w:right w:w="28" w:type="dxa"/>
        </w:tblCellMar>
      </w:tblPr>
      <w:tblGrid>
        <w:gridCol w:w="1163"/>
        <w:gridCol w:w="1021"/>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Craig Cornelius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Clearway Energy,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Layout w:type="fixed"/>
        <w:tblCellMar>
          <w:top w:w="28" w:type="dxa"/>
          <w:left w:w="28" w:type="dxa"/>
          <w:bottom w:w="28" w:type="dxa"/>
          <w:right w:w="28" w:type="dxa"/>
        </w:tblCellMar>
      </w:tblPr>
      <w:tblGrid>
        <w:gridCol w:w="1910"/>
        <w:gridCol w:w="1682"/>
        <w:gridCol w:w="1687"/>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Sarah Rubenstein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Clearway Energy, Inc. on Form 10-Q for the quarter ended September 30, 2025,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Form 10-Q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bidi w:val="0"/>
        <w:spacing w:before="60" w:after="283"/>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tbl>
      <w:tblPr>
        <w:tblW w:w="6018" w:type="dxa"/>
        <w:jc w:val="right"/>
        <w:tblInd w:w="0" w:type="dxa"/>
        <w:tblLayout w:type="fixed"/>
        <w:tblCellMar>
          <w:top w:w="28" w:type="dxa"/>
          <w:left w:w="28" w:type="dxa"/>
          <w:bottom w:w="28" w:type="dxa"/>
          <w:right w:w="28" w:type="dxa"/>
        </w:tblCellMar>
      </w:tblPr>
      <w:tblGrid>
        <w:gridCol w:w="124"/>
        <w:gridCol w:w="109"/>
        <w:gridCol w:w="109"/>
        <w:gridCol w:w="586"/>
        <w:gridCol w:w="586"/>
        <w:gridCol w:w="586"/>
        <w:gridCol w:w="586"/>
        <w:gridCol w:w="586"/>
        <w:gridCol w:w="586"/>
        <w:gridCol w:w="586"/>
        <w:gridCol w:w="586"/>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1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7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67683/000110465925074522/tm2522579d1_ex1-1.htm" TargetMode="External"/><Relationship Id="rId4" Type="http://schemas.openxmlformats.org/officeDocument/2006/relationships/hyperlink" Target="https://www.sec.gov/Archives/edgar/data/1567683/000110465925097098/tm2528051d1_ex10-1.htm" TargetMode="External"/><Relationship Id="rId5" Type="http://schemas.openxmlformats.org/officeDocument/2006/relationships/hyperlink" Target="https://www.sec.gov/Archives/edgar/data/1567683/000110465925097098/tm2528051d1_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30492</Words>
  <Characters>165979</Characters>
  <CharactersWithSpaces>194145</CharactersWithSpaces>
  <Paragraphs>4639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