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7047865" cy="6246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6246495"/>
                    </a:xfrm>
                    <a:prstGeom prst="rect">
                      <a:avLst/>
                    </a:prstGeom>
                    <a:noFill/>
                  </pic:spPr>
                </pic:pic>
              </a:graphicData>
            </a:graphic>
          </wp:anchor>
        </w:drawing>
      </w:r>
    </w:p>
    <w:p>
      <w:pPr>
        <w:spacing w:after="0" w:line="91" w:lineRule="exact"/>
        <w:rPr>
          <w:sz w:val="24"/>
          <w:szCs w:val="24"/>
          <w:color w:val="auto"/>
        </w:rPr>
      </w:pPr>
    </w:p>
    <w:p>
      <w:pPr>
        <w:sectPr>
          <w:pgSz w:w="11900" w:h="16928" w:orient="portrait"/>
          <w:cols w:equalWidth="0" w:num="2">
            <w:col w:w="2200" w:space="420"/>
            <w:col w:w="8460"/>
          </w:cols>
          <w:pgMar w:left="460" w:top="215"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Murphy Michael Taft</w:t>
        </w:r>
      </w:hyperlink>
    </w:p>
    <w:p>
      <w:pPr>
        <w:spacing w:after="0" w:line="289"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00" w:type="dxa"/>
            <w:vAlign w:val="bottom"/>
          </w:tcPr>
          <w:p>
            <w:pPr>
              <w:ind w:left="40"/>
              <w:spacing w:after="0"/>
              <w:rPr>
                <w:sz w:val="20"/>
                <w:szCs w:val="20"/>
                <w:color w:val="auto"/>
              </w:rPr>
            </w:pPr>
            <w:r>
              <w:rPr>
                <w:rFonts w:ascii="Arial" w:cs="Arial" w:eastAsia="Arial" w:hAnsi="Arial"/>
                <w:sz w:val="13"/>
                <w:szCs w:val="13"/>
                <w:color w:val="auto"/>
              </w:rPr>
              <w:t>(Last)</w:t>
            </w:r>
          </w:p>
        </w:tc>
        <w:tc>
          <w:tcPr>
            <w:tcW w:w="1040" w:type="dxa"/>
            <w:vAlign w:val="bottom"/>
          </w:tcPr>
          <w:p>
            <w:pPr>
              <w:ind w:left="160"/>
              <w:spacing w:after="0"/>
              <w:rPr>
                <w:sz w:val="20"/>
                <w:szCs w:val="20"/>
                <w:color w:val="auto"/>
              </w:rPr>
            </w:pPr>
            <w:r>
              <w:rPr>
                <w:rFonts w:ascii="Arial" w:cs="Arial" w:eastAsia="Arial" w:hAnsi="Arial"/>
                <w:sz w:val="13"/>
                <w:szCs w:val="13"/>
                <w:color w:val="auto"/>
              </w:rPr>
              <w:t>(First)</w:t>
            </w:r>
          </w:p>
        </w:tc>
        <w:tc>
          <w:tcPr>
            <w:tcW w:w="780" w:type="dxa"/>
            <w:vAlign w:val="bottom"/>
          </w:tcPr>
          <w:p>
            <w:pPr>
              <w:ind w:left="340"/>
              <w:spacing w:after="0"/>
              <w:rPr>
                <w:sz w:val="20"/>
                <w:szCs w:val="20"/>
                <w:color w:val="auto"/>
              </w:rPr>
            </w:pPr>
            <w:r>
              <w:rPr>
                <w:rFonts w:ascii="Arial" w:cs="Arial" w:eastAsia="Arial" w:hAnsi="Arial"/>
                <w:sz w:val="13"/>
                <w:szCs w:val="13"/>
                <w:color w:val="auto"/>
                <w:w w:val="89"/>
              </w:rPr>
              <w:t>(Middle)</w:t>
            </w:r>
          </w:p>
        </w:tc>
      </w:tr>
      <w:tr>
        <w:trPr>
          <w:trHeight w:val="262"/>
        </w:trPr>
        <w:tc>
          <w:tcPr>
            <w:tcW w:w="2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300 CARNEGIE CENTER</w:t>
            </w:r>
          </w:p>
        </w:tc>
        <w:tc>
          <w:tcPr>
            <w:tcW w:w="780" w:type="dxa"/>
            <w:vAlign w:val="bottom"/>
          </w:tcPr>
          <w:p>
            <w:pPr>
              <w:spacing w:after="0"/>
              <w:rPr>
                <w:sz w:val="22"/>
                <w:szCs w:val="22"/>
                <w:color w:val="auto"/>
              </w:rPr>
            </w:pPr>
          </w:p>
        </w:tc>
      </w:tr>
      <w:tr>
        <w:trPr>
          <w:trHeight w:val="252"/>
        </w:trPr>
        <w:tc>
          <w:tcPr>
            <w:tcW w:w="11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SUITE 300</w:t>
            </w:r>
          </w:p>
        </w:tc>
        <w:tc>
          <w:tcPr>
            <w:tcW w:w="10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418"/>
        </w:trPr>
        <w:tc>
          <w:tcPr>
            <w:tcW w:w="1100" w:type="dxa"/>
            <w:vAlign w:val="bottom"/>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4"/>
        </w:trPr>
        <w:tc>
          <w:tcPr>
            <w:tcW w:w="11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PRINCETON</w:t>
            </w:r>
          </w:p>
        </w:tc>
        <w:tc>
          <w:tcPr>
            <w:tcW w:w="104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NJ</w:t>
            </w:r>
          </w:p>
        </w:tc>
        <w:tc>
          <w:tcPr>
            <w:tcW w:w="78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08540</w:t>
            </w:r>
          </w:p>
        </w:tc>
      </w:tr>
      <w:tr>
        <w:trPr>
          <w:trHeight w:val="455"/>
        </w:trPr>
        <w:tc>
          <w:tcPr>
            <w:tcW w:w="1100" w:type="dxa"/>
            <w:vAlign w:val="bottom"/>
          </w:tcPr>
          <w:p>
            <w:pPr>
              <w:ind w:left="40"/>
              <w:spacing w:after="0"/>
              <w:rPr>
                <w:sz w:val="20"/>
                <w:szCs w:val="20"/>
                <w:color w:val="auto"/>
              </w:rPr>
            </w:pPr>
            <w:r>
              <w:rPr>
                <w:rFonts w:ascii="Arial" w:cs="Arial" w:eastAsia="Arial" w:hAnsi="Arial"/>
                <w:sz w:val="13"/>
                <w:szCs w:val="13"/>
                <w:color w:val="auto"/>
              </w:rPr>
              <w:t>(City)</w:t>
            </w:r>
          </w:p>
        </w:tc>
        <w:tc>
          <w:tcPr>
            <w:tcW w:w="1040" w:type="dxa"/>
            <w:vAlign w:val="bottom"/>
          </w:tcPr>
          <w:p>
            <w:pPr>
              <w:ind w:left="160"/>
              <w:spacing w:after="0"/>
              <w:rPr>
                <w:sz w:val="20"/>
                <w:szCs w:val="20"/>
                <w:color w:val="auto"/>
              </w:rPr>
            </w:pPr>
            <w:r>
              <w:rPr>
                <w:rFonts w:ascii="Arial" w:cs="Arial" w:eastAsia="Arial" w:hAnsi="Arial"/>
                <w:sz w:val="13"/>
                <w:szCs w:val="13"/>
                <w:color w:val="auto"/>
              </w:rPr>
              <w:t>(State)</w:t>
            </w:r>
          </w:p>
        </w:tc>
        <w:tc>
          <w:tcPr>
            <w:tcW w:w="780" w:type="dxa"/>
            <w:vAlign w:val="bottom"/>
          </w:tcPr>
          <w:p>
            <w:pPr>
              <w:ind w:left="3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760" w:type="dxa"/>
            <w:vAlign w:val="bottom"/>
            <w:gridSpan w:val="3"/>
          </w:tcPr>
          <w:p>
            <w:pPr>
              <w:spacing w:after="0" w:line="20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Clearway Energy,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CWEN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680" w:type="dxa"/>
            <w:vAlign w:val="bottom"/>
            <w:tcBorders>
              <w:top w:val="single" w:sz="8" w:color="0000EE"/>
            </w:tcBorders>
          </w:tcPr>
          <w:p>
            <w:pPr>
              <w:spacing w:after="0"/>
              <w:rPr>
                <w:sz w:val="12"/>
                <w:szCs w:val="12"/>
                <w:color w:val="auto"/>
              </w:rPr>
            </w:pPr>
          </w:p>
        </w:tc>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ind w:left="160"/>
              <w:spacing w:after="0" w:line="141" w:lineRule="exact"/>
              <w:rPr>
                <w:sz w:val="20"/>
                <w:szCs w:val="20"/>
                <w:color w:val="auto"/>
              </w:rPr>
            </w:pPr>
            <w:r>
              <w:rPr>
                <w:rFonts w:ascii="Arial" w:cs="Arial" w:eastAsia="Arial" w:hAnsi="Arial"/>
                <w:sz w:val="13"/>
                <w:szCs w:val="13"/>
                <w:color w:val="auto"/>
              </w:rPr>
              <w:t>Director</w:t>
            </w:r>
          </w:p>
        </w:tc>
        <w:tc>
          <w:tcPr>
            <w:tcW w:w="1480" w:type="dxa"/>
            <w:vAlign w:val="bottom"/>
          </w:tcPr>
          <w:p>
            <w:pPr>
              <w:ind w:left="340"/>
              <w:spacing w:after="0" w:line="14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3"/>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380" w:type="dxa"/>
            <w:vAlign w:val="bottom"/>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380" w:type="dxa"/>
            <w:vAlign w:val="bottom"/>
          </w:tcPr>
          <w:p>
            <w:pPr>
              <w:ind w:left="160"/>
              <w:spacing w:after="0" w:line="119" w:lineRule="exact"/>
              <w:rPr>
                <w:sz w:val="20"/>
                <w:szCs w:val="20"/>
                <w:color w:val="auto"/>
              </w:rPr>
            </w:pPr>
            <w:r>
              <w:rPr>
                <w:rFonts w:ascii="Arial" w:cs="Arial" w:eastAsia="Arial" w:hAnsi="Arial"/>
                <w:sz w:val="13"/>
                <w:szCs w:val="13"/>
                <w:color w:val="auto"/>
              </w:rPr>
              <w:t>below)</w:t>
            </w:r>
          </w:p>
        </w:tc>
        <w:tc>
          <w:tcPr>
            <w:tcW w:w="1480" w:type="dxa"/>
            <w:vAlign w:val="bottom"/>
          </w:tcPr>
          <w:p>
            <w:pPr>
              <w:ind w:left="34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18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04/15/2024</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CHIEF INVESTMENT OFFICER</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7"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2" w:lineRule="exact"/>
        <w:rPr>
          <w:sz w:val="24"/>
          <w:szCs w:val="24"/>
          <w:color w:val="auto"/>
        </w:rPr>
      </w:pPr>
    </w:p>
    <w:p>
      <w:pPr>
        <w:ind w:left="320" w:right="460"/>
        <w:spacing w:after="0" w:line="280"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928" w:orient="portrait"/>
          <w:cols w:equalWidth="0" w:num="2">
            <w:col w:w="3120" w:space="72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80" w:type="dxa"/>
            <w:vAlign w:val="bottom"/>
            <w:gridSpan w:val="2"/>
          </w:tcPr>
          <w:p>
            <w:pPr>
              <w:ind w:left="26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ind w:left="2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80" w:type="dxa"/>
            <w:vAlign w:val="bottom"/>
            <w:gridSpan w:val="2"/>
          </w:tcPr>
          <w:p>
            <w:pPr>
              <w:jc w:val="center"/>
              <w:ind w:left="88"/>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80" w:type="dxa"/>
            <w:vAlign w:val="bottom"/>
            <w:gridSpan w:val="2"/>
            <w:vMerge w:val="restart"/>
          </w:tcPr>
          <w:p>
            <w:pPr>
              <w:jc w:val="center"/>
              <w:ind w:left="68"/>
              <w:spacing w:after="0"/>
              <w:rPr>
                <w:sz w:val="20"/>
                <w:szCs w:val="20"/>
                <w:color w:val="auto"/>
              </w:rPr>
            </w:pPr>
            <w:r>
              <w:rPr>
                <w:rFonts w:ascii="Times New Roman" w:cs="Times New Roman" w:eastAsia="Times New Roman" w:hAnsi="Times New Roman"/>
                <w:sz w:val="16"/>
                <w:szCs w:val="16"/>
                <w:color w:val="0000FF"/>
              </w:rPr>
              <w:t>04/15/2024</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center"/>
              <w:ind w:left="53"/>
              <w:spacing w:after="0"/>
              <w:rPr>
                <w:sz w:val="20"/>
                <w:szCs w:val="20"/>
                <w:color w:val="auto"/>
              </w:rPr>
            </w:pPr>
            <w:r>
              <w:rPr>
                <w:rFonts w:ascii="Times New Roman" w:cs="Times New Roman" w:eastAsia="Times New Roman" w:hAnsi="Times New Roman"/>
                <w:sz w:val="16"/>
                <w:szCs w:val="16"/>
                <w:color w:val="0000FF"/>
              </w:rPr>
              <w:t>1,244</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(1)</w:t>
            </w:r>
          </w:p>
        </w:tc>
        <w:tc>
          <w:tcPr>
            <w:tcW w:w="1300" w:type="dxa"/>
            <w:vAlign w:val="bottom"/>
            <w:gridSpan w:val="3"/>
            <w:vMerge w:val="restart"/>
          </w:tcPr>
          <w:p>
            <w:pPr>
              <w:jc w:val="right"/>
              <w:ind w:right="303"/>
              <w:spacing w:after="0"/>
              <w:rPr>
                <w:sz w:val="20"/>
                <w:szCs w:val="20"/>
                <w:color w:val="auto"/>
              </w:rPr>
            </w:pPr>
            <w:r>
              <w:rPr>
                <w:rFonts w:ascii="Times New Roman" w:cs="Times New Roman" w:eastAsia="Times New Roman" w:hAnsi="Times New Roman"/>
                <w:sz w:val="16"/>
                <w:szCs w:val="16"/>
                <w:color w:val="0000FF"/>
              </w:rPr>
              <w:t>29,809</w:t>
            </w:r>
            <w:r>
              <w:rPr>
                <w:rFonts w:ascii="Times New Roman" w:cs="Times New Roman" w:eastAsia="Times New Roman" w:hAnsi="Times New Roman"/>
                <w:sz w:val="20"/>
                <w:szCs w:val="20"/>
                <w:color w:val="008000"/>
                <w:vertAlign w:val="superscript"/>
              </w:rPr>
              <w:t>(2)</w:t>
            </w:r>
          </w:p>
        </w:tc>
        <w:tc>
          <w:tcPr>
            <w:tcW w:w="28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80" w:type="dxa"/>
            <w:vAlign w:val="bottom"/>
            <w:gridSpan w:val="2"/>
            <w:vMerge w:val="restart"/>
          </w:tcPr>
          <w:p>
            <w:pPr>
              <w:jc w:val="center"/>
              <w:ind w:left="68"/>
              <w:spacing w:after="0"/>
              <w:rPr>
                <w:sz w:val="20"/>
                <w:szCs w:val="20"/>
                <w:color w:val="auto"/>
              </w:rPr>
            </w:pPr>
            <w:r>
              <w:rPr>
                <w:rFonts w:ascii="Times New Roman" w:cs="Times New Roman" w:eastAsia="Times New Roman" w:hAnsi="Times New Roman"/>
                <w:sz w:val="16"/>
                <w:szCs w:val="16"/>
                <w:color w:val="0000FF"/>
              </w:rPr>
              <w:t>04/15/2024</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center"/>
              <w:ind w:left="53"/>
              <w:spacing w:after="0"/>
              <w:rPr>
                <w:sz w:val="20"/>
                <w:szCs w:val="20"/>
                <w:color w:val="auto"/>
              </w:rPr>
            </w:pPr>
            <w:r>
              <w:rPr>
                <w:rFonts w:ascii="Times New Roman" w:cs="Times New Roman" w:eastAsia="Times New Roman" w:hAnsi="Times New Roman"/>
                <w:sz w:val="16"/>
                <w:szCs w:val="16"/>
                <w:color w:val="0000FF"/>
              </w:rPr>
              <w:t>629</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(3)</w:t>
            </w:r>
          </w:p>
        </w:tc>
        <w:tc>
          <w:tcPr>
            <w:tcW w:w="1300" w:type="dxa"/>
            <w:vAlign w:val="bottom"/>
            <w:gridSpan w:val="3"/>
            <w:vMerge w:val="restart"/>
          </w:tcPr>
          <w:p>
            <w:pPr>
              <w:jc w:val="right"/>
              <w:ind w:right="303"/>
              <w:spacing w:after="0"/>
              <w:rPr>
                <w:sz w:val="20"/>
                <w:szCs w:val="20"/>
                <w:color w:val="auto"/>
              </w:rPr>
            </w:pPr>
            <w:r>
              <w:rPr>
                <w:rFonts w:ascii="Times New Roman" w:cs="Times New Roman" w:eastAsia="Times New Roman" w:hAnsi="Times New Roman"/>
                <w:sz w:val="16"/>
                <w:szCs w:val="16"/>
                <w:color w:val="0000FF"/>
              </w:rPr>
              <w:t>29,180</w:t>
            </w:r>
            <w:r>
              <w:rPr>
                <w:rFonts w:ascii="Times New Roman" w:cs="Times New Roman" w:eastAsia="Times New Roman" w:hAnsi="Times New Roman"/>
                <w:sz w:val="20"/>
                <w:szCs w:val="20"/>
                <w:color w:val="008000"/>
                <w:vertAlign w:val="superscript"/>
              </w:rPr>
              <w:t>(4)</w:t>
            </w:r>
          </w:p>
        </w:tc>
        <w:tc>
          <w:tcPr>
            <w:tcW w:w="28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80" w:type="dxa"/>
            <w:vAlign w:val="bottom"/>
            <w:gridSpan w:val="2"/>
            <w:vMerge w:val="restart"/>
          </w:tcPr>
          <w:p>
            <w:pPr>
              <w:jc w:val="center"/>
              <w:ind w:left="68"/>
              <w:spacing w:after="0"/>
              <w:rPr>
                <w:sz w:val="20"/>
                <w:szCs w:val="20"/>
                <w:color w:val="auto"/>
              </w:rPr>
            </w:pPr>
            <w:r>
              <w:rPr>
                <w:rFonts w:ascii="Times New Roman" w:cs="Times New Roman" w:eastAsia="Times New Roman" w:hAnsi="Times New Roman"/>
                <w:sz w:val="16"/>
                <w:szCs w:val="16"/>
                <w:color w:val="0000FF"/>
              </w:rPr>
              <w:t>04/15/2024</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center"/>
              <w:ind w:left="53"/>
              <w:spacing w:after="0"/>
              <w:rPr>
                <w:sz w:val="20"/>
                <w:szCs w:val="20"/>
                <w:color w:val="auto"/>
              </w:rPr>
            </w:pPr>
            <w:r>
              <w:rPr>
                <w:rFonts w:ascii="Times New Roman" w:cs="Times New Roman" w:eastAsia="Times New Roman" w:hAnsi="Times New Roman"/>
                <w:sz w:val="16"/>
                <w:szCs w:val="16"/>
                <w:color w:val="0000FF"/>
              </w:rPr>
              <w:t>805</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(5)</w:t>
            </w:r>
          </w:p>
        </w:tc>
        <w:tc>
          <w:tcPr>
            <w:tcW w:w="1300" w:type="dxa"/>
            <w:vAlign w:val="bottom"/>
            <w:gridSpan w:val="3"/>
            <w:vMerge w:val="restart"/>
          </w:tcPr>
          <w:p>
            <w:pPr>
              <w:jc w:val="right"/>
              <w:ind w:right="303"/>
              <w:spacing w:after="0"/>
              <w:rPr>
                <w:sz w:val="20"/>
                <w:szCs w:val="20"/>
                <w:color w:val="auto"/>
              </w:rPr>
            </w:pPr>
            <w:r>
              <w:rPr>
                <w:rFonts w:ascii="Times New Roman" w:cs="Times New Roman" w:eastAsia="Times New Roman" w:hAnsi="Times New Roman"/>
                <w:sz w:val="16"/>
                <w:szCs w:val="16"/>
                <w:color w:val="0000FF"/>
              </w:rPr>
              <w:t>28,375</w:t>
            </w:r>
            <w:r>
              <w:rPr>
                <w:rFonts w:ascii="Times New Roman" w:cs="Times New Roman" w:eastAsia="Times New Roman" w:hAnsi="Times New Roman"/>
                <w:sz w:val="20"/>
                <w:szCs w:val="20"/>
                <w:color w:val="008000"/>
                <w:vertAlign w:val="superscript"/>
              </w:rPr>
              <w:t>(6)</w:t>
            </w:r>
          </w:p>
        </w:tc>
        <w:tc>
          <w:tcPr>
            <w:tcW w:w="28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80" w:type="dxa"/>
            <w:vAlign w:val="bottom"/>
            <w:gridSpan w:val="2"/>
            <w:vMerge w:val="restart"/>
          </w:tcPr>
          <w:p>
            <w:pPr>
              <w:jc w:val="center"/>
              <w:ind w:left="68"/>
              <w:spacing w:after="0"/>
              <w:rPr>
                <w:sz w:val="20"/>
                <w:szCs w:val="20"/>
                <w:color w:val="auto"/>
              </w:rPr>
            </w:pPr>
            <w:r>
              <w:rPr>
                <w:rFonts w:ascii="Times New Roman" w:cs="Times New Roman" w:eastAsia="Times New Roman" w:hAnsi="Times New Roman"/>
                <w:sz w:val="16"/>
                <w:szCs w:val="16"/>
                <w:color w:val="0000FF"/>
              </w:rPr>
              <w:t>04/15/2024</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jc w:val="center"/>
              <w:ind w:left="53"/>
              <w:spacing w:after="0"/>
              <w:rPr>
                <w:sz w:val="20"/>
                <w:szCs w:val="20"/>
                <w:color w:val="auto"/>
              </w:rPr>
            </w:pPr>
            <w:r>
              <w:rPr>
                <w:rFonts w:ascii="Times New Roman" w:cs="Times New Roman" w:eastAsia="Times New Roman" w:hAnsi="Times New Roman"/>
                <w:sz w:val="16"/>
                <w:szCs w:val="16"/>
                <w:color w:val="0000FF"/>
                <w:w w:val="96"/>
              </w:rPr>
              <w:t>7,631</w:t>
            </w:r>
            <w:r>
              <w:rPr>
                <w:rFonts w:ascii="Times New Roman" w:cs="Times New Roman" w:eastAsia="Times New Roman" w:hAnsi="Times New Roman"/>
                <w:sz w:val="20"/>
                <w:szCs w:val="20"/>
                <w:color w:val="008000"/>
                <w:w w:val="96"/>
                <w:vertAlign w:val="superscript"/>
              </w:rPr>
              <w:t>(7)</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(8)</w:t>
            </w:r>
          </w:p>
        </w:tc>
        <w:tc>
          <w:tcPr>
            <w:tcW w:w="1300" w:type="dxa"/>
            <w:vAlign w:val="bottom"/>
            <w:gridSpan w:val="3"/>
            <w:vMerge w:val="restart"/>
          </w:tcPr>
          <w:p>
            <w:pPr>
              <w:jc w:val="right"/>
              <w:ind w:right="303"/>
              <w:spacing w:after="0"/>
              <w:rPr>
                <w:sz w:val="20"/>
                <w:szCs w:val="20"/>
                <w:color w:val="auto"/>
              </w:rPr>
            </w:pPr>
            <w:r>
              <w:rPr>
                <w:rFonts w:ascii="Times New Roman" w:cs="Times New Roman" w:eastAsia="Times New Roman" w:hAnsi="Times New Roman"/>
                <w:sz w:val="16"/>
                <w:szCs w:val="16"/>
                <w:color w:val="0000FF"/>
              </w:rPr>
              <w:t>36,006</w:t>
            </w:r>
            <w:r>
              <w:rPr>
                <w:rFonts w:ascii="Times New Roman" w:cs="Times New Roman" w:eastAsia="Times New Roman" w:hAnsi="Times New Roman"/>
                <w:sz w:val="20"/>
                <w:szCs w:val="20"/>
                <w:color w:val="008000"/>
                <w:vertAlign w:val="superscript"/>
              </w:rPr>
              <w:t>(9)</w:t>
            </w:r>
          </w:p>
        </w:tc>
        <w:tc>
          <w:tcPr>
            <w:tcW w:w="28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5560" w:type="dxa"/>
            <w:vAlign w:val="bottom"/>
            <w:tcBorders>
              <w:bottom w:val="single" w:sz="8" w:color="2C2C2C"/>
            </w:tcBorders>
            <w:gridSpan w:val="10"/>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jc w:val="center"/>
              <w:ind w:right="18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20" w:type="dxa"/>
            <w:vAlign w:val="bottom"/>
            <w:gridSpan w:val="8"/>
          </w:tcPr>
          <w:p>
            <w:pPr>
              <w:jc w:val="center"/>
              <w:ind w:right="23"/>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7"/>
              </w:rPr>
              <w:t>Underlying</w:t>
            </w:r>
          </w:p>
        </w:tc>
        <w:tc>
          <w:tcPr>
            <w:tcW w:w="52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Class C</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Relative</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(10)</w:t>
            </w: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vMerge w:val="restart"/>
          </w:tcPr>
          <w:p>
            <w:pPr>
              <w:ind w:left="120"/>
              <w:spacing w:after="0" w:line="215" w:lineRule="exact"/>
              <w:rPr>
                <w:sz w:val="20"/>
                <w:szCs w:val="20"/>
                <w:color w:val="auto"/>
              </w:rPr>
            </w:pPr>
            <w:r>
              <w:rPr>
                <w:rFonts w:ascii="Times New Roman" w:cs="Times New Roman" w:eastAsia="Times New Roman" w:hAnsi="Times New Roman"/>
                <w:sz w:val="13"/>
                <w:szCs w:val="13"/>
                <w:color w:val="0000FF"/>
                <w:w w:val="99"/>
              </w:rPr>
              <w:t>14,870</w:t>
            </w:r>
            <w:r>
              <w:rPr>
                <w:rFonts w:ascii="Times New Roman" w:cs="Times New Roman" w:eastAsia="Times New Roman" w:hAnsi="Times New Roman"/>
                <w:sz w:val="20"/>
                <w:szCs w:val="20"/>
                <w:color w:val="008000"/>
                <w:w w:val="99"/>
                <w:vertAlign w:val="superscript"/>
              </w:rPr>
              <w:t>(10)</w:t>
            </w: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1"/>
              </w:rPr>
              <w:t>Stock,</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22,305</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160"/>
              <w:spacing w:after="0" w:line="215" w:lineRule="exact"/>
              <w:rPr>
                <w:sz w:val="20"/>
                <w:szCs w:val="20"/>
                <w:color w:val="auto"/>
              </w:rPr>
            </w:pPr>
            <w:r>
              <w:rPr>
                <w:rFonts w:ascii="Times New Roman" w:cs="Times New Roman" w:eastAsia="Times New Roman" w:hAnsi="Times New Roman"/>
                <w:sz w:val="13"/>
                <w:szCs w:val="13"/>
                <w:color w:val="0000FF"/>
              </w:rPr>
              <w:t>14,870</w:t>
            </w:r>
            <w:r>
              <w:rPr>
                <w:rFonts w:ascii="Times New Roman" w:cs="Times New Roman" w:eastAsia="Times New Roman" w:hAnsi="Times New Roman"/>
                <w:sz w:val="20"/>
                <w:szCs w:val="20"/>
                <w:color w:val="008000"/>
                <w:vertAlign w:val="superscript"/>
              </w:rPr>
              <w:t>(11)</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continue"/>
          </w:tcPr>
          <w:p>
            <w:pPr>
              <w:spacing w:after="0"/>
              <w:rPr>
                <w:sz w:val="6"/>
                <w:szCs w:val="6"/>
                <w:color w:val="auto"/>
              </w:rPr>
            </w:pPr>
          </w:p>
        </w:tc>
        <w:tc>
          <w:tcPr>
            <w:tcW w:w="1020" w:type="dxa"/>
            <w:vAlign w:val="bottom"/>
            <w:vMerge w:val="restart"/>
          </w:tcPr>
          <w:p>
            <w:pPr>
              <w:jc w:val="right"/>
              <w:ind w:right="142"/>
              <w:spacing w:after="0"/>
              <w:rPr>
                <w:sz w:val="20"/>
                <w:szCs w:val="20"/>
                <w:color w:val="auto"/>
              </w:rPr>
            </w:pPr>
            <w:r>
              <w:rPr>
                <w:rFonts w:ascii="Times New Roman" w:cs="Times New Roman" w:eastAsia="Times New Roman" w:hAnsi="Times New Roman"/>
                <w:sz w:val="13"/>
                <w:szCs w:val="13"/>
                <w:color w:val="0000FF"/>
              </w:rPr>
              <w:t>04/15/2024</w:t>
            </w: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04/15/2027</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04/15/2027</w:t>
            </w: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6"/>
                <w:szCs w:val="6"/>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tcPr>
          <w:p>
            <w:pPr>
              <w:ind w:left="60"/>
              <w:spacing w:after="0" w:line="77" w:lineRule="exact"/>
              <w:rPr>
                <w:sz w:val="20"/>
                <w:szCs w:val="20"/>
                <w:color w:val="auto"/>
              </w:rPr>
            </w:pPr>
            <w:r>
              <w:rPr>
                <w:rFonts w:ascii="Times New Roman" w:cs="Times New Roman" w:eastAsia="Times New Roman" w:hAnsi="Times New Roman"/>
                <w:sz w:val="8"/>
                <w:szCs w:val="8"/>
                <w:color w:val="0000FF"/>
              </w:rPr>
              <w:t>par value</w:t>
            </w:r>
          </w:p>
        </w:tc>
        <w:tc>
          <w:tcPr>
            <w:tcW w:w="5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8"/>
              </w:rPr>
              <w:t>$.01 per</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7040"/>
        <w:spacing w:after="0"/>
        <w:rPr>
          <w:sz w:val="20"/>
          <w:szCs w:val="20"/>
          <w:color w:val="auto"/>
        </w:rPr>
      </w:pPr>
      <w:r>
        <w:rPr>
          <w:rFonts w:ascii="Times New Roman" w:cs="Times New Roman" w:eastAsia="Times New Roman" w:hAnsi="Times New Roman"/>
          <w:sz w:val="13"/>
          <w:szCs w:val="13"/>
          <w:color w:val="0000FF"/>
        </w:rPr>
        <w:t>share</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jc w:val="both"/>
        <w:ind w:left="40" w:right="140" w:hanging="2"/>
        <w:spacing w:after="0" w:line="232"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2021, Mr. Murphy was issued 7,397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2024, 2,863 shares vested. Mr. Murphy elected to satisfy his tax obligation upon the exchange of common stock for RSUs having a value on the date of the exchange equal to the withholding obligation. This form reflects the surrender of 1,244 shares of Class C Common Stock to satisfy the grantee's tax withholding obligation.</w:t>
      </w:r>
    </w:p>
    <w:p>
      <w:pPr>
        <w:spacing w:after="0" w:line="25" w:lineRule="exact"/>
        <w:rPr>
          <w:rFonts w:ascii="Times New Roman" w:cs="Times New Roman" w:eastAsia="Times New Roman" w:hAnsi="Times New Roman"/>
          <w:sz w:val="13"/>
          <w:szCs w:val="13"/>
          <w:color w:val="008000"/>
        </w:rPr>
      </w:pPr>
    </w:p>
    <w:p>
      <w:pPr>
        <w:ind w:left="40" w:right="320" w:hanging="2"/>
        <w:spacing w:after="0" w:line="23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392 DERs converted to Class C Common Stock, resulting in the reporting person holding 2,162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6" w:lineRule="exact"/>
        <w:rPr>
          <w:rFonts w:ascii="Times New Roman" w:cs="Times New Roman" w:eastAsia="Times New Roman" w:hAnsi="Times New Roman"/>
          <w:sz w:val="13"/>
          <w:szCs w:val="13"/>
          <w:color w:val="008000"/>
        </w:rPr>
      </w:pPr>
    </w:p>
    <w:p>
      <w:pPr>
        <w:jc w:val="both"/>
        <w:ind w:left="40" w:right="180" w:hanging="2"/>
        <w:spacing w:after="0" w:line="232"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2022, Mr. Murphy was issued 3,916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2024 1,448 shares vested. Mr. Murphy elected to satisfy his tax obligation upon the exchange of common stock for RSUs having a value on the date of the exchange equal to the withholding obligation. This form reflects the surrender of 629 shares of Class C Common Stock to satisfy the grantee's tax withholding obligation.</w:t>
      </w:r>
    </w:p>
    <w:p>
      <w:pPr>
        <w:spacing w:after="0" w:line="25" w:lineRule="exact"/>
        <w:rPr>
          <w:rFonts w:ascii="Times New Roman" w:cs="Times New Roman" w:eastAsia="Times New Roman" w:hAnsi="Times New Roman"/>
          <w:sz w:val="13"/>
          <w:szCs w:val="13"/>
          <w:color w:val="008000"/>
        </w:rPr>
      </w:pPr>
    </w:p>
    <w:p>
      <w:pPr>
        <w:ind w:left="40" w:right="320" w:hanging="2"/>
        <w:spacing w:after="0" w:line="23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144 DERs converted to Class C Common Stock, resulting in the reporting person holding 2,018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6" w:lineRule="exact"/>
        <w:rPr>
          <w:rFonts w:ascii="Times New Roman" w:cs="Times New Roman" w:eastAsia="Times New Roman" w:hAnsi="Times New Roman"/>
          <w:sz w:val="13"/>
          <w:szCs w:val="13"/>
          <w:color w:val="008000"/>
        </w:rPr>
      </w:pPr>
    </w:p>
    <w:p>
      <w:pPr>
        <w:jc w:val="both"/>
        <w:ind w:left="40" w:right="140" w:hanging="2"/>
        <w:spacing w:after="0" w:line="232"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2023, Mr. Murphy was issued 5,234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2024, 1,854 shares vested. Mr. Murphy elected to satisfy his tax obligation upon the exchange of common stock for RSUs having a value on the date of the exchange equal to the withholding obligation. This form reflects the surrender of 805 shares of Class C Common Stock to satisfy the grantee's tax withholding obligation.</w:t>
      </w:r>
    </w:p>
    <w:p>
      <w:pPr>
        <w:spacing w:after="0" w:line="25" w:lineRule="exact"/>
        <w:rPr>
          <w:rFonts w:ascii="Times New Roman" w:cs="Times New Roman" w:eastAsia="Times New Roman" w:hAnsi="Times New Roman"/>
          <w:sz w:val="13"/>
          <w:szCs w:val="13"/>
          <w:color w:val="008000"/>
        </w:rPr>
      </w:pPr>
    </w:p>
    <w:p>
      <w:pPr>
        <w:ind w:left="40" w:right="320" w:hanging="2"/>
        <w:spacing w:after="0" w:line="23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112 DERs converted to Class C Common Stock, resulting in the reporting person holding 1,906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6"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issued to Mr. Murphy under the LTIP.</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is equivalent in value to one share of Clearway Energy, Inc.'s Class C Common Stock, par value $.01 per share.</w:t>
      </w:r>
    </w:p>
    <w:p>
      <w:pPr>
        <w:spacing w:after="0" w:line="39" w:lineRule="exact"/>
        <w:rPr>
          <w:rFonts w:ascii="Times New Roman" w:cs="Times New Roman" w:eastAsia="Times New Roman" w:hAnsi="Times New Roman"/>
          <w:sz w:val="13"/>
          <w:szCs w:val="13"/>
          <w:color w:val="008000"/>
        </w:rPr>
      </w:pPr>
    </w:p>
    <w:p>
      <w:pPr>
        <w:ind w:left="40" w:right="18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will receive from Clearway Energy, Inc. one such share of Class C Common Stock for each RSU that will vest ratably over a three-year period beginning on the first anniversary of the date of the grant.</w:t>
      </w:r>
    </w:p>
    <w:p>
      <w:pPr>
        <w:spacing w:after="0" w:line="21" w:lineRule="exact"/>
        <w:rPr>
          <w:rFonts w:ascii="Times New Roman" w:cs="Times New Roman" w:eastAsia="Times New Roman" w:hAnsi="Times New Roman"/>
          <w:sz w:val="13"/>
          <w:szCs w:val="13"/>
          <w:color w:val="008000"/>
        </w:rPr>
      </w:pPr>
    </w:p>
    <w:p>
      <w:pPr>
        <w:jc w:val="both"/>
        <w:ind w:left="40" w:right="400" w:hanging="2"/>
        <w:spacing w:after="0" w:line="263" w:lineRule="auto"/>
        <w:tabs>
          <w:tab w:leader="none" w:pos="22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was issued 14,870 Relative Performance Stock Units ("RPSUs") by Clearway Energy, Inc. under the LTIP on April 15, 2024. The RPSUs will convert to shares of Clearway Energy, Inc. Class C Common Stock on April 15, 2027 only in the event the Company has achieved a certain level of total shareholder return ("TSR") relative to the Peer Group (defined below) over a three-year performance period. The number of shares of Common Stock that the Reporting Person may receive is interpolated for TSR falling between Threshold, Target, and Maximum levels as described below.</w:t>
      </w:r>
    </w:p>
    <w:p>
      <w:pPr>
        <w:spacing w:after="0" w:line="11" w:lineRule="exact"/>
        <w:rPr>
          <w:rFonts w:ascii="Times New Roman" w:cs="Times New Roman" w:eastAsia="Times New Roman" w:hAnsi="Times New Roman"/>
          <w:sz w:val="12"/>
          <w:szCs w:val="12"/>
          <w:color w:val="008000"/>
        </w:rPr>
      </w:pPr>
    </w:p>
    <w:p>
      <w:pPr>
        <w:ind w:left="40" w:right="200" w:hanging="2"/>
        <w:spacing w:after="0" w:line="263" w:lineRule="auto"/>
        <w:tabs>
          <w:tab w:leader="none" w:pos="22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Reporting Person will receive (i) a maximum of 22,305 shares of Class C Common Stock if Company's TSR is ranked at or above the 75th percentile relative to a peer group of companies approved by the Company's Compensation Committee (the "Peer Group") for the performance period ("Maximum"); (ii) 14,870 shares of Class C Common Stock if Company's TSR is ranked at the 50th percentile relative to the Peer Group for the performance period (the "Target"); provided, however, if TSR is less than negative twenty percent (-20%), the Company's TSR must be ranked at the 60th percentile relative to the Peer Group for the</w:t>
      </w:r>
    </w:p>
    <w:p>
      <w:pPr>
        <w:sectPr>
          <w:pgSz w:w="11900" w:h="16928" w:orient="portrait"/>
          <w:cols w:equalWidth="0" w:num="1">
            <w:col w:w="11080"/>
          </w:cols>
          <w:pgMar w:left="460" w:top="215" w:right="359" w:bottom="0" w:gutter="0" w:footer="0" w:header="0"/>
          <w:type w:val="continuous"/>
        </w:sectPr>
      </w:pPr>
    </w:p>
    <w:bookmarkStart w:id="1" w:name="page2"/>
    <w:bookmarkEnd w:id="1"/>
    <w:p>
      <w:pPr>
        <w:ind w:left="2"/>
        <w:spacing w:after="0" w:line="245" w:lineRule="auto"/>
        <w:rPr>
          <w:sz w:val="20"/>
          <w:szCs w:val="20"/>
          <w:color w:val="auto"/>
        </w:rPr>
      </w:pPr>
      <w:r>
        <w:rPr>
          <w:rFonts w:ascii="Times New Roman" w:cs="Times New Roman" w:eastAsia="Times New Roman" w:hAnsi="Times New Roman"/>
          <w:sz w:val="13"/>
          <w:szCs w:val="13"/>
          <w:color w:val="008000"/>
        </w:rPr>
        <w:t>performance period to receive the Target award; or (iii) 3,710 shares of Common Stock if Company's TSR is ranked at the 25th percentile relative to the Peer Group for the performance period (the "Threshold"). The Reporting Person will not receive any shares of Common Stock if Company's TSR is below the 25th percentile.</w:t>
      </w:r>
    </w:p>
    <w:p>
      <w:pPr>
        <w:spacing w:after="0" w:line="39" w:lineRule="exact"/>
        <w:rPr>
          <w:sz w:val="20"/>
          <w:szCs w:val="20"/>
          <w:color w:val="auto"/>
        </w:rPr>
      </w:pPr>
    </w:p>
    <w:tbl>
      <w:tblPr>
        <w:tblLayout w:type="fixed"/>
        <w:tblInd w:w="6562"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Kevin P. Malcarney,</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04/17/2024</w:t>
            </w:r>
          </w:p>
        </w:tc>
        <w:tc>
          <w:tcPr>
            <w:tcW w:w="0" w:type="dxa"/>
            <w:vAlign w:val="bottom"/>
          </w:tcPr>
          <w:p>
            <w:pPr>
              <w:spacing w:after="0"/>
              <w:rPr>
                <w:sz w:val="1"/>
                <w:szCs w:val="1"/>
                <w:color w:val="auto"/>
              </w:rPr>
            </w:pPr>
          </w:p>
        </w:tc>
      </w:tr>
      <w:tr>
        <w:trPr>
          <w:trHeight w:val="86"/>
        </w:trPr>
        <w:tc>
          <w:tcPr>
            <w:tcW w:w="1500" w:type="dxa"/>
            <w:vAlign w:val="bottom"/>
            <w:tcBorders>
              <w:top w:val="single" w:sz="8" w:color="auto"/>
              <w:bottom w:val="single" w:sz="8" w:color="auto"/>
            </w:tcBorders>
            <w:gridSpan w:val="2"/>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Attorney-in-Fact</w:t>
            </w:r>
          </w:p>
        </w:tc>
        <w:tc>
          <w:tcPr>
            <w:tcW w:w="7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5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560" w:hanging="2"/>
        <w:spacing w:after="0" w:line="328"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2"/>
      </w:cols>
      <w:pgMar w:left="498" w:top="12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32383"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2024-04-17T15:31:50Z</dcterms:created>
  <dcterms:modified xsi:type="dcterms:W3CDTF">2024-04-17T15:31:50Z</dcterms:modified>
</cp:coreProperties>
</file>