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15, 2022</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LLC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333-203369</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32-0407370</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754" w:right="3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9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8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44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6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228"/>
        </w:trPr>
        <w:tc>
          <w:tcPr>
            <w:tcW w:w="3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None</w:t>
            </w:r>
          </w:p>
        </w:tc>
        <w:tc>
          <w:tcPr>
            <w:tcW w:w="34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7"/>
              </w:rPr>
              <w:t>None</w:t>
            </w:r>
          </w:p>
        </w:tc>
        <w:tc>
          <w:tcPr>
            <w:tcW w:w="39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None</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240"/>
        <w:spacing w:after="0" w:line="207" w:lineRule="exact"/>
        <w:tabs>
          <w:tab w:leader="none" w:pos="104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Seventh Amendment to Clearway Energy LLC and Clearway Energy Operating LLC Revolving Credit Facility</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August 15, 2022, each of Clearway Energy Operating LLC (“Clearway Operating LLC”), as borrower, and Clearway Energy LLC (“Clearway LLC”), as guarantor, entered into the Seventh Amendment to Amended and Restated Credit Agreement (the “Seventh Amendment”), with certain subsidiaries of Clearway Operating LLC party thereto, as guarantors, JPMorgan Chase Bank, N.A., as administrative agent (the “Administrative Agent”), and the lenders party thereto, which amended that certain Amended and Restated Credit Agreement, dated as of April 25, 2014 (as amended, the “Existing Credit Agreement”), among Clearway Operating LLC, Clearway LLC, certain subsidiaries of Clearway Operating LLC party thereto, the lenders party thereto and the Administrative Agent, providing for revolving commitments in an aggregate principal amount of $495 million. Each of Clearway Operating LLC and Clearway LLC is a subsidiary of Clearway Energy, Inc (“CWEN”).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Seventh Amendment amends the Existing Credit Agreement to, among other things, amend the definition of Change of Control in the Existing Credit Agreement to include TotalEnergies SE and its affiliates (“TotalEnergies”) within the ownership structure of Clearway LLC, as contemplated by the previously announced agreement between TotalEnergies and Global Infrastructure Partners (“GIP”), pursuant to which, among other things, TotalEnergies has agreed to acquire 50% of GIP’s interest in Clearway Energy Group LLC, a privately held renewable development company that serves as the sponsor of CWEN with its 42% economic interest in CWEN. The Seventh Amendment’s effectiveness is conditioned on, among other things, Clearway LLC providing written notice to the Administrative Agent that the transaction between GIP and TotalEnergies has been consummated. The closing of such transaction is subject to customary conditions, including regulatory approvals, and is expected to close in the second half of 2022.</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Seventh Amendment does not purport to be complete and is qualified in its entirety by reference to the full text of the Seventh Amendment, a copy of which is filed as Exhibit 10.1 to this Current Report on Form 8-K (this “Current Report”) and is incorporated herein by reference.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disclosures under Item 1.01 of this Current Report are also responsive to Item 2.03 of this Current Report and are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ind w:left="1300" w:hanging="1292"/>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520" w:type="dxa"/>
            <w:vAlign w:val="bottom"/>
          </w:tcPr>
          <w:p>
            <w:pPr>
              <w:spacing w:after="0"/>
              <w:rPr>
                <w:sz w:val="18"/>
                <w:szCs w:val="18"/>
                <w:color w:val="auto"/>
              </w:rPr>
            </w:pPr>
          </w:p>
        </w:tc>
        <w:tc>
          <w:tcPr>
            <w:tcW w:w="8360" w:type="dxa"/>
            <w:vAlign w:val="bottom"/>
          </w:tcPr>
          <w:p>
            <w:pPr>
              <w:spacing w:after="0"/>
              <w:rPr>
                <w:sz w:val="18"/>
                <w:szCs w:val="18"/>
                <w:color w:val="auto"/>
              </w:rPr>
            </w:pPr>
          </w:p>
        </w:tc>
      </w:tr>
      <w:tr>
        <w:trPr>
          <w:trHeight w:val="238"/>
        </w:trPr>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520" w:type="dxa"/>
            <w:vAlign w:val="bottom"/>
          </w:tcPr>
          <w:p>
            <w:pPr>
              <w:spacing w:after="0"/>
              <w:rPr>
                <w:sz w:val="20"/>
                <w:szCs w:val="20"/>
                <w:color w:val="auto"/>
              </w:rPr>
            </w:pPr>
          </w:p>
        </w:tc>
        <w:tc>
          <w:tcPr>
            <w:tcW w:w="8360" w:type="dxa"/>
            <w:vAlign w:val="bottom"/>
          </w:tcPr>
          <w:p>
            <w:pPr>
              <w:ind w:left="302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385"/>
        </w:trPr>
        <w:tc>
          <w:tcPr>
            <w:tcW w:w="1140" w:type="dxa"/>
            <w:vAlign w:val="bottom"/>
            <w:tcBorders>
              <w:top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9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Seventh Amendment to Amended and Restated Credit Agreement, entered into as of August 15, 2022, by and among Clearway Energy</w:t>
            </w: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Operating LLC, Clearway Energy LLC, the guarantors party thereto, JPMorgan Chase Bank, N.A., as administrative agent, and the</w:t>
            </w:r>
          </w:p>
        </w:tc>
      </w:tr>
      <w:tr>
        <w:trPr>
          <w:trHeight w:val="196"/>
        </w:trPr>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lenders party thereto.</w:t>
            </w:r>
          </w:p>
        </w:tc>
      </w:tr>
      <w:tr>
        <w:trPr>
          <w:trHeight w:val="20"/>
        </w:trPr>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r>
      <w:tr>
        <w:trPr>
          <w:trHeight w:val="237"/>
        </w:trPr>
        <w:tc>
          <w:tcPr>
            <w:tcW w:w="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604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SEVENTH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AMENDED AND RESTATED CREDIT AGREEMENT</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SEVENTH AMENDMENT TO AMENDED AND RESTATED CREDIT AGREEMENT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dated as of August 15, 2022 and is entered into by and among CLEARWAY ENERGY OPERATING LLC, a Delaware limited liability company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CLEARWAY ENERGY LLC, a Delaware limited liability company (“</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each other Guarantor party hereto, JPMORGAN CHASE BANK, N.A. (“</w:t>
      </w:r>
      <w:r>
        <w:rPr>
          <w:rFonts w:ascii="Times New Roman" w:cs="Times New Roman" w:eastAsia="Times New Roman" w:hAnsi="Times New Roman"/>
          <w:sz w:val="18"/>
          <w:szCs w:val="18"/>
          <w:b w:val="1"/>
          <w:bCs w:val="1"/>
          <w:color w:val="auto"/>
        </w:rPr>
        <w:t>JPM</w:t>
      </w:r>
      <w:r>
        <w:rPr>
          <w:rFonts w:ascii="Times New Roman" w:cs="Times New Roman" w:eastAsia="Times New Roman" w:hAnsi="Times New Roman"/>
          <w:sz w:val="18"/>
          <w:szCs w:val="18"/>
          <w:color w:val="auto"/>
        </w:rPr>
        <w:t>”), in its capacity as the administrative agent under the Credit Agreement (the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and THE LENDERS party hereto and is made with reference to that certain Amended and Restated Credit Agreement dated as of April 25, 2014, as amended by that certain First Amendment to Amended &amp; Restated Credit Agreement, dated as of June 26, 2015, that certain Second Amendment to Amended &amp; Restated Credit Agreement, dated as of February 6, 2018, that certain Third Amendment to Amended and Restated Credit Agreement and Administrative Agent Resignation and Appointment Agreement, dated as of April 30, 2018, that certain Fourth Amendment to Amended and Restated Credit Agreement, dated as of November 30, 2018, that certain Fifth Amendment to Amended and Restated Credit Agreement, dated as of December 20, 2019, and that certain Sixth Amendment to Amended and Restated Credit Agreement and First Amendment to Amended and Restated Pledge and Security Agreement, dated as of November 30, 2021 (the “</w:t>
      </w:r>
      <w:r>
        <w:rPr>
          <w:rFonts w:ascii="Times New Roman" w:cs="Times New Roman" w:eastAsia="Times New Roman" w:hAnsi="Times New Roman"/>
          <w:sz w:val="18"/>
          <w:szCs w:val="18"/>
          <w:b w:val="1"/>
          <w:bCs w:val="1"/>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 as amended by this Amendment and as may be further amended, amended and restated, supplemented or otherwise modified from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time, the “</w:t>
      </w:r>
      <w:r>
        <w:rPr>
          <w:rFonts w:ascii="Times New Roman" w:cs="Times New Roman" w:eastAsia="Times New Roman" w:hAnsi="Times New Roman"/>
          <w:sz w:val="18"/>
          <w:szCs w:val="18"/>
          <w:b w:val="1"/>
          <w:bCs w:val="1"/>
          <w:color w:val="auto"/>
        </w:rPr>
        <w:t>Amended Credit Agreement</w:t>
      </w:r>
      <w:r>
        <w:rPr>
          <w:rFonts w:ascii="Times New Roman" w:cs="Times New Roman" w:eastAsia="Times New Roman" w:hAnsi="Times New Roman"/>
          <w:sz w:val="18"/>
          <w:szCs w:val="18"/>
          <w:color w:val="auto"/>
        </w:rPr>
        <w:t xml:space="preserve">”), by and among the Borrower, Holdings, the other Guarantors party thereto, the Lenders and L/C Issuers party thereto and the Administrative Agent. Capitalized terms used herein without definition shall have the same meanings herein as set forth in the Amended Credit Agreement, and the rules of interpretation set forth in Section 1.02 of the Amended Credit Agreement shall apply hereto,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Loan Parties have requested that the Lenders agree to amend certain provisions of the Credit Agreement as provided for herein;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subject to the satisfaction of the conditions specified herein, the undersigned Lenders are willing to agree to such amendments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Agreement in accordance with Section 11.01 of the Credit Agreement.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premises and the agreements, provisions and covenants herein contained, the parties hereto agree as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SECTION I. AMENDMENTS TO CREDIT AGREEMENT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Effective on and as of the date on which each of the conditions set forth in </w:t>
      </w:r>
      <w:r>
        <w:rPr>
          <w:rFonts w:ascii="Times New Roman" w:cs="Times New Roman" w:eastAsia="Times New Roman" w:hAnsi="Times New Roman"/>
          <w:sz w:val="18"/>
          <w:szCs w:val="18"/>
          <w:u w:val="single" w:color="auto"/>
          <w:color w:val="auto"/>
        </w:rPr>
        <w:t>Section II</w:t>
      </w:r>
      <w:r>
        <w:rPr>
          <w:rFonts w:ascii="Times New Roman" w:cs="Times New Roman" w:eastAsia="Times New Roman" w:hAnsi="Times New Roman"/>
          <w:sz w:val="18"/>
          <w:szCs w:val="18"/>
          <w:color w:val="auto"/>
        </w:rPr>
        <w:t xml:space="preserve"> has been satisfied (or waived by the party or parties entitled to the benefit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following definition in Section 1.01 of the Credit Agreement is hereby amended and restated in its entirety as follows: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an event or series of events by which:</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Equity Investor and TotalEnergies shall cease to collectively own, directly or indirectly, at least 35% (as measured by voting power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rather than number of shares or other equity securities) of the equity securities of Parent entitled to vote for members of the board of</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directors or equivalent governing body of Parent on a fully-diluted basis (and taking into account all such securities that such “person” 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“group” has the right to acquire pursuant to any option right); 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[reserved]; 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Parent, Equity Investor and TotalEnergies collectively shall cease to, directly or indirectly, own and control legally and beneficially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all of the Equity Interests in Holdings; 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Holdings shall cease to directly own and control legally and beneficially all of the Equity Interests in the Borrower.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Notwithstanding anything herein to the contrary or any provision of Section 13d-3 of the Exchange Act, a Person or group shall not be deemed to beneficially own Equity Interests subject to a stock or asset purchase agreement, merger agreement, option agreement, warrant agreement or similar agreement (or voting or option or similar agreement related thereto) until the consummation of the acquisition of the Equity Interests in connection with the transactions contemplated by such agreement.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Section 1.01 of the Credit Agreement is hereby amended by adding the following definitions in alphabetical order: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Seventh Amendment</w:t>
      </w:r>
      <w:r>
        <w:rPr>
          <w:rFonts w:ascii="Times New Roman" w:cs="Times New Roman" w:eastAsia="Times New Roman" w:hAnsi="Times New Roman"/>
          <w:sz w:val="18"/>
          <w:szCs w:val="18"/>
          <w:color w:val="auto"/>
        </w:rPr>
        <w:t>” means that certain Seventh Amendment to this Agreement, dated as of August 15, 2022.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Seventh Amendment Effective Date</w:t>
      </w:r>
      <w:r>
        <w:rPr>
          <w:rFonts w:ascii="Times New Roman" w:cs="Times New Roman" w:eastAsia="Times New Roman" w:hAnsi="Times New Roman"/>
          <w:sz w:val="18"/>
          <w:szCs w:val="18"/>
          <w:color w:val="auto"/>
        </w:rPr>
        <w:t>” has the meaning given to such term in the Seventh Amendment.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TotalEnergies</w:t>
      </w:r>
      <w:r>
        <w:rPr>
          <w:rFonts w:ascii="Times New Roman" w:cs="Times New Roman" w:eastAsia="Times New Roman" w:hAnsi="Times New Roman"/>
          <w:sz w:val="18"/>
          <w:szCs w:val="18"/>
          <w:color w:val="auto"/>
        </w:rPr>
        <w:t>” means any of TotalEnergies SE, a French société européenne, and its Affiliates.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II.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This Amendment shall become effective as of the first date on which each of the following conditions in this </w:t>
      </w:r>
      <w:r>
        <w:rPr>
          <w:rFonts w:ascii="Times New Roman" w:cs="Times New Roman" w:eastAsia="Times New Roman" w:hAnsi="Times New Roman"/>
          <w:sz w:val="18"/>
          <w:szCs w:val="18"/>
          <w:u w:val="single" w:color="auto"/>
          <w:color w:val="auto"/>
        </w:rPr>
        <w:t>Section II</w:t>
      </w:r>
      <w:r>
        <w:rPr>
          <w:rFonts w:ascii="Times New Roman" w:cs="Times New Roman" w:eastAsia="Times New Roman" w:hAnsi="Times New Roman"/>
          <w:sz w:val="18"/>
          <w:szCs w:val="18"/>
          <w:color w:val="auto"/>
        </w:rPr>
        <w:t xml:space="preserve"> have been satisfied (the date of satisfaction of such conditions being referred to herein as the </w:t>
      </w:r>
      <w:r>
        <w:rPr>
          <w:rFonts w:ascii="Times New Roman" w:cs="Times New Roman" w:eastAsia="Times New Roman" w:hAnsi="Times New Roman"/>
          <w:sz w:val="18"/>
          <w:szCs w:val="18"/>
          <w:b w:val="1"/>
          <w:bCs w:val="1"/>
          <w:color w:val="auto"/>
        </w:rPr>
        <w:t>“Seventh Amendment Effective Date”</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Deliverables to Administrative Agent</w:t>
      </w:r>
      <w:r>
        <w:rPr>
          <w:rFonts w:ascii="Times New Roman" w:cs="Times New Roman" w:eastAsia="Times New Roman" w:hAnsi="Times New Roman"/>
          <w:sz w:val="18"/>
          <w:szCs w:val="18"/>
          <w:color w:val="auto"/>
        </w:rPr>
        <w:t>. The Administrative Agent’s receipt of the following, each of which shall be originals or electronically transmitted copies of originals (followed as soon as reasonably practicable by originals) unless otherwise specified, each properly executed by a Responsible Officer of the signing Loan Party, each dated the Seventh Amendment Effective Date and each in form and substance reasonably satisfactory to the Administrative Agent and each of the Lenders: (i) a counterpart signature page of this Amendment duly executed by each of the Loan Parties, (ii) counterpart signature pages of this Amendment duly executed by the Administrative Agent and (iii) a counterpart signature page of this Amendment duly executed by the Required Lenders.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Payment of Fees and Expenses</w:t>
      </w:r>
      <w:r>
        <w:rPr>
          <w:rFonts w:ascii="Times New Roman" w:cs="Times New Roman" w:eastAsia="Times New Roman" w:hAnsi="Times New Roman"/>
          <w:sz w:val="18"/>
          <w:szCs w:val="18"/>
          <w:color w:val="auto"/>
        </w:rPr>
        <w:t>. The Administrative Agent shall have received all reasonable and documented out-of-pocket fees and expenses incurred in connection with this Amendment on or prior to the Seventh Amendment Effective Date, including, to the extent invoiced at least three</w:t>
      </w:r>
    </w:p>
    <w:p>
      <w:pPr>
        <w:spacing w:after="0" w:line="1" w:lineRule="exact"/>
        <w:rPr>
          <w:sz w:val="20"/>
          <w:szCs w:val="20"/>
          <w:color w:val="auto"/>
        </w:rPr>
      </w:pPr>
    </w:p>
    <w:p>
      <w:pPr>
        <w:ind w:firstLine="8"/>
        <w:spacing w:after="0" w:line="250" w:lineRule="auto"/>
        <w:tabs>
          <w:tab w:leader="none" w:pos="26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Seventh Amendment Effective Date, reimbursement or other payment of all out-of-pocket fees and expenses in each case required to be reimbursed or paid by the Borrower under the Credit Agreement.</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Consummation of Acquisition</w:t>
      </w:r>
      <w:r>
        <w:rPr>
          <w:rFonts w:ascii="Times New Roman" w:cs="Times New Roman" w:eastAsia="Times New Roman" w:hAnsi="Times New Roman"/>
          <w:sz w:val="18"/>
          <w:szCs w:val="18"/>
          <w:color w:val="auto"/>
        </w:rPr>
        <w:t>. The acquisition of 50.0% of GIP III Zephyr Acquisition Holdings L.P., a Delaware limited partnership, by TotalEnergies shall have been consummated, as confirmed to the Administrative Agent in writing (via e-mail or otherwise) by the Borrower or its representatives.</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Each of the representations and warranties in clauses (A), (B), (C)(i), (D) and (E) (solely with respect to Section 5.14 of the Credit Agreement) of Section III shall be true and correct in all material respects on the Seventh Amendment Effective Date (unless made solely as of a prior date, in which case such representation and warranty was true and correct in all material respects as of such date).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III. REPRESENTATIONS AND WARRANTIES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Each Loan Party which is a party hereto represents and warrants to each Lender that the following statements are true and correct in all material respects as of the date hereof:</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Corporate Power and Authority.</w:t>
      </w:r>
      <w:r>
        <w:rPr>
          <w:rFonts w:ascii="Times New Roman" w:cs="Times New Roman" w:eastAsia="Times New Roman" w:hAnsi="Times New Roman"/>
          <w:sz w:val="18"/>
          <w:szCs w:val="18"/>
          <w:color w:val="auto"/>
        </w:rPr>
        <w:t xml:space="preserve"> Each Loan Party has all requisite power and authority and all requisite governmental licenses, authorizations, consents and approvals to execute, deliver and perform its obligations under this Amendment and to perform its obligations under the Amended Credit Agreement and consummate the transactions contemplated by this Amendment and the Amended Credit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Authorization of Amendment.</w:t>
      </w:r>
      <w:r>
        <w:rPr>
          <w:rFonts w:ascii="Times New Roman" w:cs="Times New Roman" w:eastAsia="Times New Roman" w:hAnsi="Times New Roman"/>
          <w:sz w:val="18"/>
          <w:szCs w:val="18"/>
          <w:color w:val="auto"/>
        </w:rPr>
        <w:t xml:space="preserve"> The execution, delivery and performance by each Loan Party of this Amendment have been duly authorized by all necessary corporate or other organizational action.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b w:val="1"/>
          <w:bCs w:val="1"/>
          <w:color w:val="auto"/>
        </w:rPr>
        <w:t>No Conflict.</w:t>
      </w:r>
      <w:r>
        <w:rPr>
          <w:rFonts w:ascii="Times New Roman" w:cs="Times New Roman" w:eastAsia="Times New Roman" w:hAnsi="Times New Roman"/>
          <w:sz w:val="17"/>
          <w:szCs w:val="17"/>
          <w:color w:val="auto"/>
        </w:rPr>
        <w:t xml:space="preserve"> The execution, delivery and performance by each Loan Party of this Amendment do not and will not (i) contravene the terms of any of such Person’s Organization Documents; (ii) conflict with or result in any breach or contravention of, or require any payment to be made under, (a) any material Contractual Obligation to which such Person is a party or affecting such Person or the properties of such Person or any of its Subsidiaries, or</w:t>
      </w:r>
    </w:p>
    <w:p>
      <w:pPr>
        <w:jc w:val="both"/>
        <w:ind w:firstLine="8"/>
        <w:spacing w:after="0" w:line="250" w:lineRule="auto"/>
        <w:tabs>
          <w:tab w:leader="none" w:pos="2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injunction, writ or decree of any Governmental Authority or any arbitral award to which such Person or its property is subject; (iii) result in the creation or imposition of any Lien upon or with respect to any property or assets now owned or hereafter acquired by such Person or any of its Subsidiaries (other than Liens created under the Collateral Documents); or (iv) violate any material Law.</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Binding Effect.</w:t>
      </w:r>
      <w:r>
        <w:rPr>
          <w:rFonts w:ascii="Times New Roman" w:cs="Times New Roman" w:eastAsia="Times New Roman" w:hAnsi="Times New Roman"/>
          <w:sz w:val="18"/>
          <w:szCs w:val="18"/>
          <w:color w:val="auto"/>
        </w:rPr>
        <w:t xml:space="preserve"> This Amendment has been duly executed and delivered by each Loan Party that is party hereto. Each of this Amendment and the Amended Credit Agreement constitute a legal, valid and binding obligation of such Loan Party, enforceable against each Loan Party that is party hereto or thereto in accordance with its terms, except as enforceability hereof or thereof may be limited by (i) bankruptcy, insolvency, reorganization, moratorium, fraudulent transfer or other laws now or hereafter in effect relating to creditors’ rights generally (including specific performance) and (ii) general equitable principles (whether considered in a proceeding in equity or at law), and to the discretion of the court before which any proceeding may be brought.</w:t>
      </w:r>
    </w:p>
    <w:p>
      <w:pPr>
        <w:spacing w:after="0" w:line="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Representations and Warranties, Etc</w:t>
      </w:r>
      <w:r>
        <w:rPr>
          <w:rFonts w:ascii="Times New Roman" w:cs="Times New Roman" w:eastAsia="Times New Roman" w:hAnsi="Times New Roman"/>
          <w:sz w:val="18"/>
          <w:szCs w:val="18"/>
          <w:color w:val="auto"/>
        </w:rPr>
        <w:t xml:space="preserve">. (x) All representations and warranties contained in Article V of the Credit Agreement are true and correct in all material respects (but in all respects if such representation or warranty is qualified by “materiality” or “Material Adverse Effect”), except to the extent that such representations and warranties specifically refer to an earlier date, in which case they were true and correct in all material respects (but in all respects if such representation or warranty is qualified by “materiality” or “Material Adverse Effect”) as of such earlier date, and except that the representations and warranties contained in </w:t>
      </w:r>
      <w:r>
        <w:rPr>
          <w:rFonts w:ascii="Times New Roman" w:cs="Times New Roman" w:eastAsia="Times New Roman" w:hAnsi="Times New Roman"/>
          <w:sz w:val="18"/>
          <w:szCs w:val="18"/>
          <w:u w:val="single" w:color="auto"/>
          <w:color w:val="auto"/>
        </w:rPr>
        <w:t>Sections 5.05(a)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the Credit Agreement shall be deemed to refer to the most recent statements furnished pursuant to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the Credit Agreement, respectively, and the representations and warranties contained in </w:t>
      </w:r>
      <w:r>
        <w:rPr>
          <w:rFonts w:ascii="Times New Roman" w:cs="Times New Roman" w:eastAsia="Times New Roman" w:hAnsi="Times New Roman"/>
          <w:sz w:val="18"/>
          <w:szCs w:val="18"/>
          <w:u w:val="single" w:color="auto"/>
          <w:color w:val="auto"/>
        </w:rPr>
        <w:t>Section 5.05(c)</w:t>
      </w:r>
      <w:r>
        <w:rPr>
          <w:rFonts w:ascii="Times New Roman" w:cs="Times New Roman" w:eastAsia="Times New Roman" w:hAnsi="Times New Roman"/>
          <w:sz w:val="18"/>
          <w:szCs w:val="18"/>
          <w:color w:val="auto"/>
        </w:rPr>
        <w:t xml:space="preserve"> of the Credit Agreement shall be deemed to refer to the statements furnished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of the Credit Agreement with respect to the fiscal year ended December 31, 2021, and (y) no Default or Event of Default has occurred and is continuing.</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V. ACKNOWLEDGMENT AND CONSENT OF LOAN PARTIES; REAFFIRMATION OF GUARANTIES AND 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Acknowledgment and Consent.</w:t>
      </w:r>
      <w:r>
        <w:rPr>
          <w:rFonts w:ascii="Times New Roman" w:cs="Times New Roman" w:eastAsia="Times New Roman" w:hAnsi="Times New Roman"/>
          <w:sz w:val="18"/>
          <w:szCs w:val="18"/>
          <w:color w:val="auto"/>
        </w:rPr>
        <w:t xml:space="preserve"> Each Loan Party hereby acknowledges that it has reviewed the terms and provisions of the Credit Agreement and this Amendment and consents to the amendments of the Credit Agreement effected pursuant to this Amendment.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Guaranty and Lien Reaffirmation.</w:t>
      </w:r>
      <w:r>
        <w:rPr>
          <w:rFonts w:ascii="Times New Roman" w:cs="Times New Roman" w:eastAsia="Times New Roman" w:hAnsi="Times New Roman"/>
          <w:sz w:val="18"/>
          <w:szCs w:val="18"/>
          <w:color w:val="auto"/>
        </w:rPr>
        <w:t xml:space="preserve"> Each Loan Party hereby (i) confirms that each Loan Document (including the Guaranty), both before and immediately after giving effect to and, if applicable, as amended by this Amendment, to which it is a party or otherwise bound, and all Collateral encumbered thereby will continue to guarantee or secure, as the case may be, to the fullest extent possible in accordance with the Loan Documents, as amended by this Amendment, if applicable, the payment and performance of the Secured Obligations and (ii) ratifies all guaranties and Liens granted by it pursuant to the Loan Documents.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Continuing Effect.</w:t>
      </w:r>
      <w:r>
        <w:rPr>
          <w:rFonts w:ascii="Times New Roman" w:cs="Times New Roman" w:eastAsia="Times New Roman" w:hAnsi="Times New Roman"/>
          <w:sz w:val="18"/>
          <w:szCs w:val="18"/>
          <w:color w:val="auto"/>
        </w:rPr>
        <w:t xml:space="preserve"> Each Loan Party hereby acknowledges and agrees that (i) each Loan Document, both before and immediately after giving effect to and, if applicable, as amended by this Amendment, to which it is a party or otherwise bound shall continue in full force and effect and (ii) all of its obligations thereunder shall be valid and enforceable and shall not be impaired or limited by the execution or effectiveness of this Amendment.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No Filings Necessary.</w:t>
      </w:r>
      <w:r>
        <w:rPr>
          <w:rFonts w:ascii="Times New Roman" w:cs="Times New Roman" w:eastAsia="Times New Roman" w:hAnsi="Times New Roman"/>
          <w:sz w:val="18"/>
          <w:szCs w:val="18"/>
          <w:color w:val="auto"/>
        </w:rPr>
        <w:t xml:space="preserve"> Except as otherwise required herein, each Loan Party hereby confirms that no additional filings or recordings need to be made, and no other actions need to be taken, by such Loan Party in order to maintain the perfection, enforceability or validity of the security interests created pursuant to the Collateral Documents.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VI. MISCELLANEOUS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b w:val="1"/>
          <w:bCs w:val="1"/>
          <w:u w:val="single" w:color="auto"/>
          <w:color w:val="auto"/>
        </w:rPr>
        <w:t>Reference to and Effect on Credit Agreement and Other Loan Documents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56"/>
        <w:spacing w:after="0" w:line="250" w:lineRule="auto"/>
        <w:tabs>
          <w:tab w:leader="none" w:pos="88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Seventh Amendment Effective Date, each reference in the Credit Agreement to “this Agreement,” “hereunder,” “hereof,” “herein” or words of like import referring to the Credit Agreement, and each reference in the other Loan Documents to the “Credit Agreement,” “thereunder,” “thereof” or words of like import referring to the Credit Agreement shall mean and be a reference to the Credit Agreement as amended by this Amendment.</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656"/>
        <w:spacing w:after="0" w:line="250" w:lineRule="auto"/>
        <w:tabs>
          <w:tab w:leader="none" w:pos="91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amended by this Amendment, the Credit Agreement and the other Loan Documents shall remain in full force and effect and are hereby ratified and confirmed.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56"/>
        <w:spacing w:after="0" w:line="250" w:lineRule="auto"/>
        <w:tabs>
          <w:tab w:leader="none" w:pos="97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Amendment shall not constitute either (x) a novation of the Credit Agreement or any of the other Loan Documents or any obligations thereunder or (y) a waiver of any provision of, or operate as a waiver of any right, power or remedy of any Agent, Lender or L/C Issuer under, the Credit Agreement or any of the other Loan Documents. The amendments contained herein are limited to the specified provisions and circumstances described and shall not be deemed to prejudice any rights not specifically addressed herein which any Agent, Lender or L/C Issuer may now have or may have in the future under the Amended Credit Agreement or any other Loan Document.</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b w:val="1"/>
          <w:bCs w:val="1"/>
          <w:u w:val="single" w:color="auto"/>
          <w:color w:val="auto"/>
        </w:rPr>
        <w:t>Loan Document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avoidance of doubt, this Amendment constitutes a Loan Document.</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and Subsection headings in this Amendment are included herein for convenience of reference only and shall not constitute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 of this Amendment for any other purpose or be given any substantive effect.</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THIS AMENDMENT SHALL BE GOVERNED BY, AND CONSTRUED IN ACCORDANCE WITH, THE LAW OF THE STATE OF NEW YORK.</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b w:val="1"/>
          <w:bCs w:val="1"/>
          <w:u w:val="single" w:color="auto"/>
          <w:color w:val="auto"/>
        </w:rPr>
        <w:t>Submission to Jurisdiction; Waiver of Venue; Service of Process; Waiver of Jury 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of Sections 11.14(b), (c) and (d)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Section 11.15 of the Amended Credit Agreement are hereby incorporated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as if set forth in full herein.</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b w:val="1"/>
          <w:bCs w:val="1"/>
          <w:u w:val="single" w:color="auto"/>
          <w:color w:val="auto"/>
        </w:rPr>
        <w:t>Counterparts; Electronic Execution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may be executed in counterparts (and by different parties hereto in different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 The words “execution,” “execute”,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Act.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Amendment to be duly executed and delivered by their respective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thereunto duly authorized as of the date first written above.</w:t>
      </w:r>
    </w:p>
    <w:tbl>
      <w:tblPr>
        <w:tblLayout w:type="fixed"/>
        <w:tblInd w:w="0" w:type="dxa"/>
        <w:tblCellMar>
          <w:top w:w="0" w:type="dxa"/>
          <w:left w:w="0" w:type="dxa"/>
          <w:bottom w:w="0" w:type="dxa"/>
          <w:right w:w="0" w:type="dxa"/>
        </w:tblCellMar>
      </w:tblPr>
      <w:tr>
        <w:trPr>
          <w:trHeight w:val="194"/>
        </w:trPr>
        <w:tc>
          <w:tcPr>
            <w:tcW w:w="22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w:t>
            </w:r>
          </w:p>
        </w:tc>
        <w:tc>
          <w:tcPr>
            <w:tcW w:w="39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BORROWER:</w:t>
            </w:r>
          </w:p>
        </w:tc>
        <w:tc>
          <w:tcPr>
            <w:tcW w:w="8980" w:type="dxa"/>
            <w:vAlign w:val="bottom"/>
            <w:gridSpan w:val="2"/>
          </w:tcPr>
          <w:p>
            <w:pPr>
              <w:ind w:left="3380"/>
              <w:spacing w:after="0"/>
              <w:rPr>
                <w:sz w:val="20"/>
                <w:szCs w:val="20"/>
                <w:color w:val="auto"/>
              </w:rPr>
            </w:pPr>
            <w:r>
              <w:rPr>
                <w:rFonts w:ascii="Times New Roman" w:cs="Times New Roman" w:eastAsia="Times New Roman" w:hAnsi="Times New Roman"/>
                <w:sz w:val="18"/>
                <w:szCs w:val="18"/>
                <w:b w:val="1"/>
                <w:bCs w:val="1"/>
                <w:color w:val="auto"/>
              </w:rPr>
              <w:t>CLEARWAY ENERGY OPERATING LLC</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8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8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8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Christopher S. Sotos</w:t>
            </w:r>
          </w:p>
        </w:tc>
        <w:tc>
          <w:tcPr>
            <w:tcW w:w="0" w:type="dxa"/>
            <w:vAlign w:val="bottom"/>
          </w:tcPr>
          <w:p>
            <w:pPr>
              <w:spacing w:after="0"/>
              <w:rPr>
                <w:sz w:val="1"/>
                <w:szCs w:val="1"/>
                <w:color w:val="auto"/>
              </w:rPr>
            </w:pPr>
          </w:p>
        </w:tc>
      </w:tr>
      <w:tr>
        <w:trPr>
          <w:trHeight w:val="191"/>
        </w:trPr>
        <w:tc>
          <w:tcPr>
            <w:tcW w:w="2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940" w:type="dxa"/>
            <w:vAlign w:val="bottom"/>
          </w:tcPr>
          <w:p>
            <w:pPr>
              <w:ind w:left="33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Christopher S. Sotos</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8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Title:  President &amp; Chief Executive Officer</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8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8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GUARANTORS:</w:t>
            </w:r>
          </w:p>
        </w:tc>
        <w:tc>
          <w:tcPr>
            <w:tcW w:w="8980" w:type="dxa"/>
            <w:vAlign w:val="bottom"/>
            <w:gridSpan w:val="2"/>
          </w:tcPr>
          <w:p>
            <w:pPr>
              <w:ind w:left="3380"/>
              <w:spacing w:after="0"/>
              <w:rPr>
                <w:sz w:val="20"/>
                <w:szCs w:val="20"/>
                <w:color w:val="auto"/>
              </w:rPr>
            </w:pPr>
            <w:r>
              <w:rPr>
                <w:rFonts w:ascii="Times New Roman" w:cs="Times New Roman" w:eastAsia="Times New Roman" w:hAnsi="Times New Roman"/>
                <w:sz w:val="18"/>
                <w:szCs w:val="18"/>
                <w:b w:val="1"/>
                <w:bCs w:val="1"/>
                <w:color w:val="auto"/>
              </w:rPr>
              <w:t>CLEARWAY ENERGY LLC</w:t>
            </w:r>
          </w:p>
        </w:tc>
        <w:tc>
          <w:tcPr>
            <w:tcW w:w="0" w:type="dxa"/>
            <w:vAlign w:val="bottom"/>
          </w:tcPr>
          <w:p>
            <w:pPr>
              <w:spacing w:after="0"/>
              <w:rPr>
                <w:sz w:val="1"/>
                <w:szCs w:val="1"/>
                <w:color w:val="auto"/>
              </w:rPr>
            </w:pPr>
          </w:p>
        </w:tc>
      </w:tr>
      <w:tr>
        <w:trPr>
          <w:trHeight w:val="22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80" w:type="dxa"/>
            <w:vAlign w:val="bottom"/>
            <w:gridSpan w:val="2"/>
          </w:tcPr>
          <w:p>
            <w:pPr>
              <w:ind w:left="3380"/>
              <w:spacing w:after="0"/>
              <w:rPr>
                <w:sz w:val="20"/>
                <w:szCs w:val="20"/>
                <w:color w:val="auto"/>
              </w:rPr>
            </w:pPr>
            <w:r>
              <w:rPr>
                <w:rFonts w:ascii="Times New Roman" w:cs="Times New Roman" w:eastAsia="Times New Roman" w:hAnsi="Times New Roman"/>
                <w:sz w:val="18"/>
                <w:szCs w:val="18"/>
                <w:b w:val="1"/>
                <w:bCs w:val="1"/>
                <w:color w:val="auto"/>
              </w:rPr>
              <w:t>DGPV HOLDING LLC</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8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8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8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Christopher S. Sotos</w:t>
            </w:r>
          </w:p>
        </w:tc>
        <w:tc>
          <w:tcPr>
            <w:tcW w:w="0" w:type="dxa"/>
            <w:vAlign w:val="bottom"/>
          </w:tcPr>
          <w:p>
            <w:pPr>
              <w:spacing w:after="0"/>
              <w:rPr>
                <w:sz w:val="1"/>
                <w:szCs w:val="1"/>
                <w:color w:val="auto"/>
              </w:rPr>
            </w:pPr>
          </w:p>
        </w:tc>
      </w:tr>
      <w:tr>
        <w:trPr>
          <w:trHeight w:val="191"/>
        </w:trPr>
        <w:tc>
          <w:tcPr>
            <w:tcW w:w="2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940" w:type="dxa"/>
            <w:vAlign w:val="bottom"/>
          </w:tcPr>
          <w:p>
            <w:pPr>
              <w:ind w:left="33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Christopher S. Sotos</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8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Title:  President &amp; Chief Executive Officer</w:t>
            </w: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80" w:type="dxa"/>
            <w:vAlign w:val="bottom"/>
            <w:gridSpan w:val="2"/>
            <w:vMerge w:val="restart"/>
          </w:tcPr>
          <w:p>
            <w:pPr>
              <w:ind w:left="920"/>
              <w:spacing w:after="0"/>
              <w:rPr>
                <w:sz w:val="20"/>
                <w:szCs w:val="20"/>
                <w:color w:val="auto"/>
              </w:rPr>
            </w:pPr>
            <w:r>
              <w:rPr>
                <w:rFonts w:ascii="Times New Roman" w:cs="Times New Roman" w:eastAsia="Times New Roman" w:hAnsi="Times New Roman"/>
                <w:sz w:val="18"/>
                <w:szCs w:val="18"/>
                <w:color w:val="auto"/>
              </w:rPr>
              <w:t>[Signature Page to Seventh Amendment to A&amp;R Credit Agreement]</w:t>
            </w: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8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89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620" w:type="dxa"/>
            <w:vAlign w:val="bottom"/>
          </w:tcPr>
          <w:p>
            <w:pPr>
              <w:spacing w:after="0"/>
              <w:rPr>
                <w:sz w:val="18"/>
                <w:szCs w:val="18"/>
                <w:color w:val="auto"/>
              </w:rPr>
            </w:pPr>
          </w:p>
        </w:tc>
        <w:tc>
          <w:tcPr>
            <w:tcW w:w="962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ALTA WIND 1-5 HOLDING COMPANY, LLC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ALTA WIND COMPANY, LLC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CAPISTRANO PORTFOLIO HOLDINGS LLC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CBAD HOLDINGS II, LLC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CLEARWAY SOLAR STAR LLC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CWEN PINNACLE REPOWERING HOLDINGS LLC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CWSP RATTLESNAKE HOLDING LLC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DAGGETT SOLAR HOLDCO LLC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DG-CS HOLDINGS LLC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DG SREC HOLDCO LLC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ENERGY CENTER HONOLULU HOLDINGS LLC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LANGFORD HOLDING LLC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LIGHTHOUSE RENEWABLE HOLDINGS LLC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MARSH LANDING HOLDCO LLC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NIMH SOLAR HOLDINGS LLC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OCOTILLO WINDPOWER HOLDINGS LLC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PAWVA WIND HOLDINGS LLC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PORTFOLIO SOLAR I, LLC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ROSAMOND SOLAR HOLDCO LLC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RPV HOLDING LLC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SOLAR FLAGSTAFF ONE LLC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SOLAR IGUANA LLC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SOLAR LAS VEGAS MB 1 LLC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SOLAR TABERNACLE LLC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SOUTH TRENT HOLDINGS LLC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SPP ASSET HOLDINGS, LLC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SPP FUND II HOLDINGS, LLC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SPP FUND II, LLC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SPP FUND II-B, LLC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SPP FUND III, LLC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THERMAL CANADA INFRASTRUCTURE HOLDINGS LLC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THERMAL HAWAII DEVELOPMENT HOLDINGS LLC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UTAH SOLAR MASTER HOLDCO LLC</w:t>
            </w:r>
          </w:p>
        </w:tc>
        <w:tc>
          <w:tcPr>
            <w:tcW w:w="0" w:type="dxa"/>
            <w:vAlign w:val="bottom"/>
          </w:tcPr>
          <w:p>
            <w:pPr>
              <w:spacing w:after="0"/>
              <w:rPr>
                <w:sz w:val="1"/>
                <w:szCs w:val="1"/>
                <w:color w:val="auto"/>
              </w:rPr>
            </w:pPr>
          </w:p>
        </w:tc>
      </w:tr>
      <w:tr>
        <w:trPr>
          <w:trHeight w:val="220"/>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WV WIND HOLDINGS LLC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vMerge w:val="restart"/>
          </w:tcPr>
          <w:p>
            <w:pPr>
              <w:ind w:left="40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Christopher S. Sotos</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580" w:type="dxa"/>
            <w:vAlign w:val="bottom"/>
          </w:tcPr>
          <w:p>
            <w:pPr>
              <w:ind w:left="4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Christopher S. Sotos</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tcPr>
          <w:p>
            <w:pPr>
              <w:ind w:left="4020"/>
              <w:spacing w:after="0"/>
              <w:rPr>
                <w:sz w:val="20"/>
                <w:szCs w:val="20"/>
                <w:color w:val="auto"/>
              </w:rPr>
            </w:pPr>
            <w:r>
              <w:rPr>
                <w:rFonts w:ascii="Times New Roman" w:cs="Times New Roman" w:eastAsia="Times New Roman" w:hAnsi="Times New Roman"/>
                <w:sz w:val="18"/>
                <w:szCs w:val="18"/>
                <w:color w:val="auto"/>
              </w:rPr>
              <w:t>Title:  President</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20" w:type="dxa"/>
            <w:vAlign w:val="bottom"/>
            <w:gridSpan w:val="2"/>
            <w:vMerge w:val="restart"/>
          </w:tcPr>
          <w:p>
            <w:pPr>
              <w:ind w:left="1560"/>
              <w:spacing w:after="0"/>
              <w:rPr>
                <w:sz w:val="20"/>
                <w:szCs w:val="20"/>
                <w:color w:val="auto"/>
              </w:rPr>
            </w:pPr>
            <w:r>
              <w:rPr>
                <w:rFonts w:ascii="Times New Roman" w:cs="Times New Roman" w:eastAsia="Times New Roman" w:hAnsi="Times New Roman"/>
                <w:sz w:val="18"/>
                <w:szCs w:val="18"/>
                <w:color w:val="auto"/>
              </w:rPr>
              <w:t>[Signature Page to Seventh Amendment to A&amp;R Credit Agreement]</w:t>
            </w:r>
          </w:p>
        </w:tc>
        <w:tc>
          <w:tcPr>
            <w:tcW w:w="0" w:type="dxa"/>
            <w:vAlign w:val="bottom"/>
          </w:tcPr>
          <w:p>
            <w:pPr>
              <w:spacing w:after="0"/>
              <w:rPr>
                <w:sz w:val="1"/>
                <w:szCs w:val="1"/>
                <w:color w:val="auto"/>
              </w:rPr>
            </w:pPr>
          </w:p>
        </w:tc>
      </w:tr>
      <w:tr>
        <w:trPr>
          <w:trHeight w:val="198"/>
        </w:trPr>
        <w:tc>
          <w:tcPr>
            <w:tcW w:w="1620" w:type="dxa"/>
            <w:vAlign w:val="bottom"/>
          </w:tcPr>
          <w:p>
            <w:pPr>
              <w:spacing w:after="0"/>
              <w:rPr>
                <w:sz w:val="17"/>
                <w:szCs w:val="17"/>
                <w:color w:val="auto"/>
              </w:rPr>
            </w:pPr>
          </w:p>
        </w:tc>
        <w:tc>
          <w:tcPr>
            <w:tcW w:w="96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962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459"/>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4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JPMORGAN CHASE BANK, N.A.,</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as Administrative Agent</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/s/Arina Mavilian</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Arina Mavilian</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Title:   Authorized Signatory</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bl>
    <w:p>
      <w:pPr>
        <w:ind w:left="3180"/>
        <w:spacing w:after="0"/>
        <w:rPr>
          <w:sz w:val="20"/>
          <w:szCs w:val="20"/>
          <w:color w:val="auto"/>
        </w:rPr>
      </w:pPr>
      <w:r>
        <w:rPr>
          <w:rFonts w:ascii="Times New Roman" w:cs="Times New Roman" w:eastAsia="Times New Roman" w:hAnsi="Times New Roman"/>
          <w:sz w:val="18"/>
          <w:szCs w:val="18"/>
          <w:color w:val="auto"/>
        </w:rPr>
        <w:t>[Signature Page to Seventh Amendment to A&amp;R Credit Agreement]</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JPMORGAN CHASE BANK, N.A.,</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/s/Arina Mavilian</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Arina Mavilian</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Title:   Authorized Signatory</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bl>
    <w:p>
      <w:pPr>
        <w:ind w:left="3180"/>
        <w:spacing w:after="0"/>
        <w:rPr>
          <w:sz w:val="20"/>
          <w:szCs w:val="20"/>
          <w:color w:val="auto"/>
        </w:rPr>
      </w:pPr>
      <w:r>
        <w:rPr>
          <w:rFonts w:ascii="Times New Roman" w:cs="Times New Roman" w:eastAsia="Times New Roman" w:hAnsi="Times New Roman"/>
          <w:sz w:val="18"/>
          <w:szCs w:val="18"/>
          <w:color w:val="auto"/>
        </w:rPr>
        <w:t>[Signature Page to Seventh Amendment to A&amp;R Credit Agreement]</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8400" w:type="dxa"/>
            <w:vAlign w:val="bottom"/>
            <w:gridSpan w:val="2"/>
            <w:vMerge w:val="restart"/>
          </w:tcPr>
          <w:p>
            <w:pPr>
              <w:ind w:left="2800"/>
              <w:spacing w:after="0"/>
              <w:rPr>
                <w:sz w:val="20"/>
                <w:szCs w:val="20"/>
                <w:color w:val="auto"/>
              </w:rPr>
            </w:pPr>
            <w:r>
              <w:rPr>
                <w:rFonts w:ascii="Times New Roman" w:cs="Times New Roman" w:eastAsia="Times New Roman" w:hAnsi="Times New Roman"/>
                <w:sz w:val="18"/>
                <w:szCs w:val="18"/>
                <w:b w:val="1"/>
                <w:bCs w:val="1"/>
                <w:color w:val="auto"/>
              </w:rPr>
              <w:t>BANK OF AMERICA, N.A.,</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as a Lender</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/Christopher J. Heitker</w:t>
            </w:r>
          </w:p>
        </w:tc>
        <w:tc>
          <w:tcPr>
            <w:tcW w:w="0" w:type="dxa"/>
            <w:vAlign w:val="bottom"/>
          </w:tcPr>
          <w:p>
            <w:pPr>
              <w:spacing w:after="0"/>
              <w:rPr>
                <w:sz w:val="1"/>
                <w:szCs w:val="1"/>
                <w:color w:val="auto"/>
              </w:rPr>
            </w:pP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J. Heitker</w:t>
            </w:r>
          </w:p>
        </w:tc>
        <w:tc>
          <w:tcPr>
            <w:tcW w:w="0" w:type="dxa"/>
            <w:vAlign w:val="bottom"/>
          </w:tcPr>
          <w:p>
            <w:pPr>
              <w:spacing w:after="0"/>
              <w:rPr>
                <w:sz w:val="1"/>
                <w:szCs w:val="1"/>
                <w:color w:val="auto"/>
              </w:rPr>
            </w:pPr>
          </w:p>
        </w:tc>
      </w:tr>
      <w:tr>
        <w:trPr>
          <w:trHeight w:val="21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Title:   Director</w:t>
            </w:r>
          </w:p>
        </w:tc>
        <w:tc>
          <w:tcPr>
            <w:tcW w:w="0" w:type="dxa"/>
            <w:vAlign w:val="bottom"/>
          </w:tcPr>
          <w:p>
            <w:pPr>
              <w:spacing w:after="0"/>
              <w:rPr>
                <w:sz w:val="1"/>
                <w:szCs w:val="1"/>
                <w:color w:val="auto"/>
              </w:rPr>
            </w:pPr>
          </w:p>
        </w:tc>
      </w:tr>
      <w:tr>
        <w:trPr>
          <w:trHeight w:val="238"/>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3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180"/>
        <w:spacing w:after="0"/>
        <w:rPr>
          <w:sz w:val="20"/>
          <w:szCs w:val="20"/>
          <w:color w:val="auto"/>
        </w:rPr>
      </w:pPr>
      <w:r>
        <w:rPr>
          <w:rFonts w:ascii="Times New Roman" w:cs="Times New Roman" w:eastAsia="Times New Roman" w:hAnsi="Times New Roman"/>
          <w:sz w:val="18"/>
          <w:szCs w:val="18"/>
          <w:color w:val="auto"/>
        </w:rPr>
        <w:t>[Signature Page to Seventh Amendment to A&amp;R Credit Agreement]</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 </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BARCLAYS BANK PLC,</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Sydney G. Dennis</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Sydney G. Dennis</w:t>
            </w:r>
          </w:p>
        </w:tc>
      </w:tr>
      <w:tr>
        <w:trPr>
          <w:trHeight w:val="212"/>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Title:   Director</w:t>
            </w:r>
          </w:p>
        </w:tc>
      </w:tr>
      <w:tr>
        <w:trPr>
          <w:trHeight w:val="238"/>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w:t>
            </w:r>
          </w:p>
        </w:tc>
        <w:tc>
          <w:tcPr>
            <w:tcW w:w="5040" w:type="dxa"/>
            <w:vAlign w:val="bottom"/>
          </w:tcPr>
          <w:p>
            <w:pPr>
              <w:spacing w:after="0"/>
              <w:rPr>
                <w:sz w:val="20"/>
                <w:szCs w:val="20"/>
                <w:color w:val="auto"/>
              </w:rPr>
            </w:pPr>
          </w:p>
        </w:tc>
      </w:tr>
    </w:tbl>
    <w:p>
      <w:pPr>
        <w:ind w:left="3180"/>
        <w:spacing w:after="0"/>
        <w:rPr>
          <w:sz w:val="20"/>
          <w:szCs w:val="20"/>
          <w:color w:val="auto"/>
        </w:rPr>
      </w:pPr>
      <w:r>
        <w:rPr>
          <w:rFonts w:ascii="Times New Roman" w:cs="Times New Roman" w:eastAsia="Times New Roman" w:hAnsi="Times New Roman"/>
          <w:sz w:val="18"/>
          <w:szCs w:val="18"/>
          <w:color w:val="auto"/>
        </w:rPr>
        <w:t>[Signature Page to Seventh Amendment to A&amp;R Credit Agreement]</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 </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CITIBANK, N.A.,</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/Ashwani Khubani</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Ashwani Khubani</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Title:   Managing Director</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bl>
    <w:p>
      <w:pPr>
        <w:ind w:left="3180"/>
        <w:spacing w:after="0"/>
        <w:rPr>
          <w:sz w:val="20"/>
          <w:szCs w:val="20"/>
          <w:color w:val="auto"/>
        </w:rPr>
      </w:pPr>
      <w:r>
        <w:rPr>
          <w:rFonts w:ascii="Times New Roman" w:cs="Times New Roman" w:eastAsia="Times New Roman" w:hAnsi="Times New Roman"/>
          <w:sz w:val="18"/>
          <w:szCs w:val="18"/>
          <w:color w:val="auto"/>
        </w:rPr>
        <w:t>[Signature Page to Seventh Amendment to A&amp;R Credit Agreement]</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 </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GOLDMAN SACHS BANK USA,</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Keshia Leday</w:t>
            </w:r>
            <w:r>
              <w:rPr>
                <w:rFonts w:ascii="Times New Roman" w:cs="Times New Roman" w:eastAsia="Times New Roman" w:hAnsi="Times New Roman"/>
                <w:sz w:val="18"/>
                <w:szCs w:val="18"/>
                <w:color w:val="auto"/>
              </w:rPr>
              <w:t> </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Keshia Leday</w:t>
            </w:r>
          </w:p>
        </w:tc>
      </w:tr>
      <w:tr>
        <w:trPr>
          <w:trHeight w:val="212"/>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Title:   Authorized Signatory</w:t>
            </w:r>
          </w:p>
        </w:tc>
      </w:tr>
      <w:tr>
        <w:trPr>
          <w:trHeight w:val="238"/>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w:t>
            </w:r>
          </w:p>
        </w:tc>
        <w:tc>
          <w:tcPr>
            <w:tcW w:w="5040" w:type="dxa"/>
            <w:vAlign w:val="bottom"/>
          </w:tcPr>
          <w:p>
            <w:pPr>
              <w:spacing w:after="0"/>
              <w:rPr>
                <w:sz w:val="20"/>
                <w:szCs w:val="20"/>
                <w:color w:val="auto"/>
              </w:rPr>
            </w:pPr>
          </w:p>
        </w:tc>
      </w:tr>
    </w:tbl>
    <w:p>
      <w:pPr>
        <w:ind w:left="3180"/>
        <w:spacing w:after="0"/>
        <w:rPr>
          <w:sz w:val="20"/>
          <w:szCs w:val="20"/>
          <w:color w:val="auto"/>
        </w:rPr>
      </w:pPr>
      <w:r>
        <w:rPr>
          <w:rFonts w:ascii="Times New Roman" w:cs="Times New Roman" w:eastAsia="Times New Roman" w:hAnsi="Times New Roman"/>
          <w:sz w:val="18"/>
          <w:szCs w:val="18"/>
          <w:color w:val="auto"/>
        </w:rPr>
        <w:t>[Signature Page to Seventh Amendment to A&amp;R Credit Agreement]</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 </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CREDIT SUISSE AG, CAYMAN ISLANDS BRANCH,</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Mikhail Faybusovich</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Mikhail Faybusovich</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Title:   Authorized Signatory</w:t>
            </w:r>
          </w:p>
        </w:tc>
      </w:tr>
      <w:tr>
        <w:trPr>
          <w:trHeight w:val="21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Wagner</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Wagner</w:t>
            </w:r>
          </w:p>
        </w:tc>
      </w:tr>
      <w:tr>
        <w:trPr>
          <w:trHeight w:val="212"/>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38"/>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w:t>
            </w:r>
          </w:p>
        </w:tc>
        <w:tc>
          <w:tcPr>
            <w:tcW w:w="5040" w:type="dxa"/>
            <w:vAlign w:val="bottom"/>
          </w:tcPr>
          <w:p>
            <w:pPr>
              <w:spacing w:after="0"/>
              <w:rPr>
                <w:sz w:val="20"/>
                <w:szCs w:val="20"/>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[Signature Page to Seventh Amendment to A&amp;R Credit Agreement]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364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KEYBANK NATIONAL ASSOCIATION,</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Renee M. Bonnell</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Renee M. Bonnell</w:t>
            </w:r>
          </w:p>
        </w:tc>
      </w:tr>
      <w:tr>
        <w:trPr>
          <w:trHeight w:val="212"/>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Title:   Senior Vice President</w:t>
            </w:r>
          </w:p>
        </w:tc>
      </w:tr>
      <w:tr>
        <w:trPr>
          <w:trHeight w:val="238"/>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w:t>
            </w:r>
          </w:p>
        </w:tc>
        <w:tc>
          <w:tcPr>
            <w:tcW w:w="5040" w:type="dxa"/>
            <w:vAlign w:val="bottom"/>
          </w:tcPr>
          <w:p>
            <w:pPr>
              <w:spacing w:after="0"/>
              <w:rPr>
                <w:sz w:val="20"/>
                <w:szCs w:val="20"/>
                <w:color w:val="auto"/>
              </w:rPr>
            </w:pPr>
          </w:p>
        </w:tc>
      </w:tr>
    </w:tbl>
    <w:p>
      <w:pPr>
        <w:ind w:left="3180"/>
        <w:spacing w:after="0"/>
        <w:rPr>
          <w:sz w:val="20"/>
          <w:szCs w:val="20"/>
          <w:color w:val="auto"/>
        </w:rPr>
      </w:pPr>
      <w:r>
        <w:rPr>
          <w:rFonts w:ascii="Times New Roman" w:cs="Times New Roman" w:eastAsia="Times New Roman" w:hAnsi="Times New Roman"/>
          <w:sz w:val="18"/>
          <w:szCs w:val="18"/>
          <w:color w:val="auto"/>
        </w:rPr>
        <w:t>[Signature Page to Seventh Amendment to A&amp;R Credit Agreement]</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MORGAN STANLEY SENIOR FUNDING, INC.</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Rikin Pandya</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Rikin Pandya</w:t>
            </w:r>
          </w:p>
        </w:tc>
      </w:tr>
      <w:tr>
        <w:trPr>
          <w:trHeight w:val="212"/>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Title:   Vice President</w:t>
            </w:r>
          </w:p>
        </w:tc>
      </w:tr>
      <w:tr>
        <w:trPr>
          <w:trHeight w:val="238"/>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w:t>
            </w:r>
          </w:p>
        </w:tc>
        <w:tc>
          <w:tcPr>
            <w:tcW w:w="5040" w:type="dxa"/>
            <w:vAlign w:val="bottom"/>
          </w:tcPr>
          <w:p>
            <w:pPr>
              <w:spacing w:after="0"/>
              <w:rPr>
                <w:sz w:val="20"/>
                <w:szCs w:val="20"/>
                <w:color w:val="auto"/>
              </w:rPr>
            </w:pPr>
          </w:p>
        </w:tc>
      </w:tr>
    </w:tbl>
    <w:p>
      <w:pPr>
        <w:ind w:left="3180"/>
        <w:spacing w:after="0"/>
        <w:rPr>
          <w:sz w:val="20"/>
          <w:szCs w:val="20"/>
          <w:color w:val="auto"/>
        </w:rPr>
      </w:pPr>
      <w:r>
        <w:rPr>
          <w:rFonts w:ascii="Times New Roman" w:cs="Times New Roman" w:eastAsia="Times New Roman" w:hAnsi="Times New Roman"/>
          <w:sz w:val="18"/>
          <w:szCs w:val="18"/>
          <w:color w:val="auto"/>
        </w:rPr>
        <w:t>[Signature Page to Seventh Amendment to A&amp;R Credit Agreement]</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MUFG UNION BANK, N.A. f/k/a UNION BANK, N.A.,</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Jeffrey Fesenmaier</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Jeffrey Fesenmaier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Title:   Managing Director</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bl>
    <w:p>
      <w:pPr>
        <w:ind w:left="3180"/>
        <w:spacing w:after="0"/>
        <w:rPr>
          <w:sz w:val="20"/>
          <w:szCs w:val="20"/>
          <w:color w:val="auto"/>
        </w:rPr>
      </w:pPr>
      <w:r>
        <w:rPr>
          <w:rFonts w:ascii="Times New Roman" w:cs="Times New Roman" w:eastAsia="Times New Roman" w:hAnsi="Times New Roman"/>
          <w:sz w:val="18"/>
          <w:szCs w:val="18"/>
          <w:color w:val="auto"/>
        </w:rPr>
        <w:t>[Signature Page to Seventh Amendment to A&amp;R Credit Agreement]</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 </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ROYAL BANK OF CANADA,</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Frank Lambrinos</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Frank Lambrinos</w:t>
            </w: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Title:   Authorized Signatory</w:t>
            </w:r>
          </w:p>
        </w:tc>
      </w:tr>
    </w:tbl>
    <w:p>
      <w:pPr>
        <w:ind w:left="39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[Signature Page to Seventh Amendment to A&amp;R Credit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sectPr>
      <w:pgSz w:w="11900" w:h="16838" w:orient="portrait"/>
      <w:cols w:equalWidth="0" w:num="1">
        <w:col w:w="11240"/>
      </w:cols>
      <w:pgMar w:left="320" w:top="2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lowerLetter"/>
      <w:start w:val="2"/>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2022-08-19T05:22:54Z</dcterms:created>
  <dcterms:modified xsi:type="dcterms:W3CDTF">2022-08-19T05:22:54Z</dcterms:modified>
</cp:coreProperties>
</file>