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2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11/03/2022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Arial" w:cs="Arial" w:eastAsia="Arial" w:hAnsi="Arial"/>
                <w:sz w:val="17"/>
                <w:szCs w:val="17"/>
                <w:color w:val="0000FF"/>
              </w:rPr>
              <w:t>11/03/2022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vMerge w:val="restart"/>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20" w:type="dxa"/>
            <w:vAlign w:val="bottom"/>
            <w:vMerge w:val="restart"/>
          </w:tcPr>
          <w:p>
            <w:pPr>
              <w:jc w:val="right"/>
              <w:ind w:right="172"/>
              <w:spacing w:after="0"/>
              <w:rPr>
                <w:sz w:val="20"/>
                <w:szCs w:val="20"/>
                <w:color w:val="auto"/>
              </w:rPr>
            </w:pPr>
            <w:r>
              <w:rPr>
                <w:rFonts w:ascii="Arial" w:cs="Arial" w:eastAsia="Arial" w:hAnsi="Arial"/>
                <w:sz w:val="17"/>
                <w:szCs w:val="17"/>
                <w:color w:val="0000FF"/>
              </w:rPr>
              <w:t>4,545</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6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77,986</w:t>
            </w:r>
          </w:p>
        </w:tc>
        <w:tc>
          <w:tcPr>
            <w:tcW w:w="920" w:type="dxa"/>
            <w:vAlign w:val="bottom"/>
            <w:vMerge w:val="restart"/>
          </w:tcPr>
          <w:p>
            <w:pPr>
              <w:ind w:left="64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600" w:type="dxa"/>
            <w:vAlign w:val="bottom"/>
            <w:tcBorders>
              <w:top w:val="single" w:sz="8" w:color="2C2C2C"/>
            </w:tcBorders>
            <w:gridSpan w:val="4"/>
            <w:vMerge w:val="restart"/>
          </w:tcPr>
          <w:p>
            <w:pPr>
              <w:ind w:left="380"/>
              <w:spacing w:after="0"/>
              <w:rPr>
                <w:sz w:val="20"/>
                <w:szCs w:val="20"/>
                <w:color w:val="auto"/>
              </w:rPr>
            </w:pPr>
            <w:r>
              <w:rPr>
                <w:rFonts w:ascii="Arial" w:cs="Arial" w:eastAsia="Arial" w:hAnsi="Arial"/>
                <w:sz w:val="17"/>
                <w:szCs w:val="17"/>
                <w:color w:val="0000FF"/>
              </w:rPr>
              <w:t>11/04/2022</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20" w:type="dxa"/>
            <w:vAlign w:val="bottom"/>
            <w:tcBorders>
              <w:top w:val="single" w:sz="8" w:color="2C2C2C"/>
            </w:tcBorders>
            <w:vMerge w:val="restart"/>
          </w:tcPr>
          <w:p>
            <w:pPr>
              <w:jc w:val="right"/>
              <w:ind w:right="232"/>
              <w:spacing w:after="0"/>
              <w:rPr>
                <w:sz w:val="20"/>
                <w:szCs w:val="20"/>
                <w:color w:val="auto"/>
              </w:rPr>
            </w:pPr>
            <w:r>
              <w:rPr>
                <w:rFonts w:ascii="Arial" w:cs="Arial" w:eastAsia="Arial" w:hAnsi="Arial"/>
                <w:sz w:val="17"/>
                <w:szCs w:val="17"/>
                <w:color w:val="0000FF"/>
              </w:rPr>
              <w:t>798</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A</w:t>
            </w:r>
          </w:p>
        </w:tc>
        <w:tc>
          <w:tcPr>
            <w:tcW w:w="540" w:type="dxa"/>
            <w:vAlign w:val="bottom"/>
            <w:tcBorders>
              <w:top w:val="single" w:sz="8" w:color="2C2C2C"/>
            </w:tcBorders>
            <w:vMerge w:val="restart"/>
          </w:tcPr>
          <w:p>
            <w:pPr>
              <w:jc w:val="right"/>
              <w:ind w:right="161"/>
              <w:spacing w:after="0"/>
              <w:rPr>
                <w:sz w:val="20"/>
                <w:szCs w:val="20"/>
                <w:color w:val="auto"/>
              </w:rPr>
            </w:pPr>
            <w:r>
              <w:rPr>
                <w:rFonts w:ascii="Arial" w:cs="Arial" w:eastAsia="Arial" w:hAnsi="Arial"/>
                <w:sz w:val="11"/>
                <w:szCs w:val="11"/>
                <w:color w:val="008000"/>
              </w:rPr>
              <w:t>(1)</w:t>
            </w:r>
          </w:p>
        </w:tc>
        <w:tc>
          <w:tcPr>
            <w:tcW w:w="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rPr>
              <w:t>78,784</w:t>
            </w:r>
          </w:p>
        </w:tc>
        <w:tc>
          <w:tcPr>
            <w:tcW w:w="920" w:type="dxa"/>
            <w:vAlign w:val="bottom"/>
            <w:tcBorders>
              <w:top w:val="single" w:sz="8" w:color="2C2C2C"/>
            </w:tcBorders>
            <w:vMerge w:val="restart"/>
          </w:tcPr>
          <w:p>
            <w:pPr>
              <w:ind w:left="64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80" w:type="dxa"/>
            <w:vAlign w:val="bottom"/>
            <w:gridSpan w:val="20"/>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7"/>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Zephyr Holdings GP, LLC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18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5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18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646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6465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GIP III Zephyr Midco Holdings,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18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5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18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GIP III Zephyr Acquisition Partners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1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79" w:right="519" w:bottom="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2">
            <w:col w:w="8720" w:space="40"/>
            <w:col w:w="2140"/>
          </w:cols>
          <w:pgMar w:left="480" w:top="179" w:right="51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33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04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13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660" w:space="8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2022-11-07T16:22:24Z</dcterms:created>
  <dcterms:modified xsi:type="dcterms:W3CDTF">2022-11-07T16:22:24Z</dcterms:modified>
</cp:coreProperties>
</file>