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7065" cy="9422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276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Global Infrastructure Investors III, LLC</w:t>
              </w:r>
            </w:hyperlink>
          </w:p>
        </w:tc>
        <w:tc>
          <w:tcPr>
            <w:tcW w:w="80" w:type="dxa"/>
            <w:vAlign w:val="bottom"/>
          </w:tcPr>
          <w:p>
            <w:pPr>
              <w:spacing w:after="0"/>
              <w:rPr>
                <w:sz w:val="15"/>
                <w:szCs w:val="15"/>
                <w:color w:val="auto"/>
              </w:rPr>
            </w:pPr>
          </w:p>
        </w:tc>
        <w:tc>
          <w:tcPr>
            <w:tcW w:w="3820" w:type="dxa"/>
            <w:vAlign w:val="bottom"/>
            <w:gridSpan w:val="4"/>
          </w:tcPr>
          <w:p>
            <w:pPr>
              <w:ind w:left="60"/>
              <w:spacing w:after="0" w:line="176" w:lineRule="exact"/>
              <w:rPr>
                <w:rFonts w:ascii="Arial" w:cs="Arial" w:eastAsia="Arial" w:hAnsi="Arial"/>
                <w:sz w:val="20"/>
                <w:szCs w:val="20"/>
                <w:color w:val="0000EE"/>
              </w:rPr>
            </w:pPr>
            <w:hyperlink r:id="rId13">
              <w:r>
                <w:rPr>
                  <w:rFonts w:ascii="Arial" w:cs="Arial" w:eastAsia="Arial" w:hAnsi="Arial"/>
                  <w:sz w:val="20"/>
                  <w:szCs w:val="20"/>
                  <w:color w:val="0000EE"/>
                </w:rPr>
                <w:t xml:space="preserve">Clearway Energy,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4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940" w:type="dxa"/>
            <w:vAlign w:val="bottom"/>
            <w:gridSpan w:val="4"/>
            <w:vMerge w:val="restart"/>
          </w:tcPr>
          <w:p>
            <w:pPr>
              <w:ind w:left="140"/>
              <w:spacing w:after="0" w:line="178" w:lineRule="exact"/>
              <w:rPr>
                <w:sz w:val="20"/>
                <w:szCs w:val="20"/>
                <w:color w:val="auto"/>
              </w:rPr>
            </w:pPr>
            <w:r>
              <w:rPr>
                <w:rFonts w:ascii="Arial" w:cs="Arial" w:eastAsia="Arial" w:hAnsi="Arial"/>
                <w:sz w:val="16"/>
                <w:szCs w:val="16"/>
                <w:color w:val="0000FF"/>
              </w:rPr>
              <w:t>03/29/2021</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0000FF"/>
        </w:rPr>
        <w:t>1345 AVENUE OF THE AMERICAS, 30TH FLOOR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9" w:right="700" w:hanging="9"/>
        <w:spacing w:after="0" w:line="23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0"/>
          <w:szCs w:val="20"/>
          <w:color w:val="auto"/>
        </w:rPr>
      </w:pPr>
    </w:p>
    <w:p>
      <w:pPr>
        <w:ind w:left="529"/>
        <w:spacing w:after="0"/>
        <w:tabs>
          <w:tab w:leader="none" w:pos="1769" w:val="left"/>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2" w:lineRule="exact"/>
        <w:rPr>
          <w:sz w:val="20"/>
          <w:szCs w:val="20"/>
          <w:color w:val="auto"/>
        </w:rPr>
      </w:pPr>
    </w:p>
    <w:p>
      <w:pPr>
        <w:sectPr>
          <w:pgSz w:w="11900" w:h="16838" w:orient="portrait"/>
          <w:cols w:equalWidth="0" w:num="2">
            <w:col w:w="7660" w:space="71"/>
            <w:col w:w="3349"/>
          </w:cols>
          <w:pgMar w:left="460" w:top="219" w:right="359" w:bottom="0" w:gutter="0" w:footer="0" w:header="0"/>
          <w:type w:val="continuous"/>
        </w:sectPr>
      </w:pP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10105</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60" w:hanging="3826"/>
        <w:spacing w:after="0" w:line="23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280" w:type="dxa"/>
            <w:vAlign w:val="bottom"/>
          </w:tcPr>
          <w:p>
            <w:pPr>
              <w:ind w:left="10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2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1480" w:type="dxa"/>
            <w:vAlign w:val="bottom"/>
            <w:gridSpan w:val="4"/>
          </w:tcPr>
          <w:p>
            <w:pPr>
              <w:ind w:left="4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44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4"/>
          </w:tcPr>
          <w:p>
            <w:pPr>
              <w:ind w:left="4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C Common Stock</w:t>
            </w:r>
          </w:p>
        </w:tc>
        <w:tc>
          <w:tcPr>
            <w:tcW w:w="1740" w:type="dxa"/>
            <w:vAlign w:val="bottom"/>
            <w:gridSpan w:val="5"/>
            <w:vMerge w:val="restart"/>
          </w:tcPr>
          <w:p>
            <w:pPr>
              <w:jc w:val="center"/>
              <w:ind w:left="509"/>
              <w:spacing w:after="0"/>
              <w:rPr>
                <w:sz w:val="20"/>
                <w:szCs w:val="20"/>
                <w:color w:val="auto"/>
              </w:rPr>
            </w:pPr>
            <w:r>
              <w:rPr>
                <w:rFonts w:ascii="Arial" w:cs="Arial" w:eastAsia="Arial" w:hAnsi="Arial"/>
                <w:sz w:val="16"/>
                <w:szCs w:val="16"/>
                <w:color w:val="0000FF"/>
                <w:w w:val="94"/>
              </w:rPr>
              <w:t>03/29/2021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ind w:left="160"/>
              <w:spacing w:after="0"/>
              <w:rPr>
                <w:sz w:val="20"/>
                <w:szCs w:val="20"/>
                <w:color w:val="auto"/>
              </w:rPr>
            </w:pPr>
            <w:r>
              <w:rPr>
                <w:rFonts w:ascii="Arial" w:cs="Arial" w:eastAsia="Arial" w:hAnsi="Arial"/>
                <w:sz w:val="16"/>
                <w:szCs w:val="16"/>
                <w:color w:val="0000FF"/>
                <w:w w:val="89"/>
              </w:rPr>
              <w:t>105,000</w:t>
            </w:r>
          </w:p>
        </w:tc>
        <w:tc>
          <w:tcPr>
            <w:tcW w:w="600" w:type="dxa"/>
            <w:vAlign w:val="bottom"/>
            <w:vMerge w:val="restart"/>
          </w:tcPr>
          <w:p>
            <w:pPr>
              <w:jc w:val="right"/>
              <w:ind w:right="101"/>
              <w:spacing w:after="0"/>
              <w:rPr>
                <w:sz w:val="20"/>
                <w:szCs w:val="20"/>
                <w:color w:val="auto"/>
              </w:rPr>
            </w:pPr>
            <w:r>
              <w:rPr>
                <w:rFonts w:ascii="Arial" w:cs="Arial" w:eastAsia="Arial" w:hAnsi="Arial"/>
                <w:sz w:val="16"/>
                <w:szCs w:val="16"/>
                <w:color w:val="0000FF"/>
              </w:rPr>
              <w:t>A</w:t>
            </w:r>
          </w:p>
        </w:tc>
        <w:tc>
          <w:tcPr>
            <w:tcW w:w="62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6"/>
                <w:szCs w:val="16"/>
                <w:color w:val="0000FF"/>
              </w:rPr>
              <w:t>146,809</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(2)(3)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20" w:type="dxa"/>
            <w:vAlign w:val="bottom"/>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gridSpan w:val="14"/>
          </w:tcPr>
          <w:p>
            <w:pPr>
              <w:ind w:left="5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Units of</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600" w:type="dxa"/>
            <w:vAlign w:val="bottom"/>
          </w:tcPr>
          <w:p>
            <w:pPr>
              <w:jc w:val="right"/>
              <w:ind w:right="101"/>
              <w:spacing w:after="0" w:line="139" w:lineRule="exact"/>
              <w:rPr>
                <w:sz w:val="20"/>
                <w:szCs w:val="20"/>
                <w:color w:val="auto"/>
              </w:rPr>
            </w:pPr>
            <w:r>
              <w:rPr>
                <w:rFonts w:ascii="Arial" w:cs="Arial" w:eastAsia="Arial" w:hAnsi="Arial"/>
                <w:sz w:val="13"/>
                <w:szCs w:val="13"/>
                <w:color w:val="0000FF"/>
                <w:w w:val="92"/>
              </w:rPr>
              <w:t>Class C</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105,000</w:t>
            </w:r>
          </w:p>
        </w:tc>
        <w:tc>
          <w:tcPr>
            <w:tcW w:w="20" w:type="dxa"/>
            <w:vAlign w:val="bottom"/>
          </w:tcPr>
          <w:p>
            <w:pPr>
              <w:spacing w:after="0"/>
              <w:rPr>
                <w:sz w:val="12"/>
                <w:szCs w:val="12"/>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Clearway</w:t>
            </w:r>
          </w:p>
        </w:tc>
        <w:tc>
          <w:tcPr>
            <w:tcW w:w="760" w:type="dxa"/>
            <w:vAlign w:val="bottom"/>
            <w:vMerge w:val="continue"/>
          </w:tcPr>
          <w:p>
            <w:pPr>
              <w:spacing w:after="0"/>
              <w:rPr>
                <w:sz w:val="3"/>
                <w:szCs w:val="3"/>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03/29/2021</w:t>
            </w: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960" w:type="dxa"/>
            <w:vAlign w:val="bottom"/>
            <w:gridSpan w:val="4"/>
            <w:vMerge w:val="restart"/>
          </w:tcPr>
          <w:p>
            <w:pPr>
              <w:ind w:left="460"/>
              <w:spacing w:after="0"/>
              <w:rPr>
                <w:sz w:val="20"/>
                <w:szCs w:val="20"/>
                <w:color w:val="auto"/>
              </w:rPr>
            </w:pPr>
            <w:r>
              <w:rPr>
                <w:rFonts w:ascii="Arial" w:cs="Arial" w:eastAsia="Arial" w:hAnsi="Arial"/>
                <w:sz w:val="13"/>
                <w:szCs w:val="13"/>
                <w:color w:val="0000FF"/>
              </w:rPr>
              <w:t>105,000</w:t>
            </w: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color w:val="0000FF"/>
              </w:rPr>
              <w:t>42,633,750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3"/>
                <w:szCs w:val="3"/>
                <w:color w:val="auto"/>
              </w:rPr>
            </w:pP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2"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Energy</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ind w:left="100"/>
              <w:spacing w:after="0" w:line="79"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9"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Global Infrastructure Investors III, LLC</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60" w:type="dxa"/>
            <w:vAlign w:val="bottom"/>
            <w:gridSpan w:val="9"/>
          </w:tcPr>
          <w:p>
            <w:pPr>
              <w:ind w:left="20"/>
              <w:spacing w:after="0"/>
              <w:rPr>
                <w:sz w:val="20"/>
                <w:szCs w:val="20"/>
                <w:color w:val="auto"/>
              </w:rPr>
            </w:pPr>
            <w:r>
              <w:rPr>
                <w:rFonts w:ascii="Arial" w:cs="Arial" w:eastAsia="Arial" w:hAnsi="Arial"/>
                <w:sz w:val="16"/>
                <w:szCs w:val="16"/>
                <w:color w:val="0000FF"/>
              </w:rPr>
              <w:t>1345 AVENUE OF THE AMERICAS, 30TH FLOOR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FF"/>
                <w:w w:val="94"/>
              </w:rPr>
              <w:t>10105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Global Infrastructure GP III, L.P.</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60" w:type="dxa"/>
            <w:vAlign w:val="bottom"/>
            <w:gridSpan w:val="9"/>
          </w:tcPr>
          <w:p>
            <w:pPr>
              <w:ind w:left="20"/>
              <w:spacing w:after="0"/>
              <w:rPr>
                <w:sz w:val="20"/>
                <w:szCs w:val="20"/>
                <w:color w:val="auto"/>
              </w:rPr>
            </w:pPr>
            <w:r>
              <w:rPr>
                <w:rFonts w:ascii="Arial" w:cs="Arial" w:eastAsia="Arial" w:hAnsi="Arial"/>
                <w:sz w:val="16"/>
                <w:szCs w:val="16"/>
                <w:color w:val="0000FF"/>
              </w:rPr>
              <w:t>1345 AVENUE OF THE AMERICAS, 30TH FLOOR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FF"/>
                <w:w w:val="94"/>
              </w:rPr>
              <w:t>10105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w w:val="97"/>
              </w:rPr>
            </w:pPr>
            <w:hyperlink r:id="rId15">
              <w:r>
                <w:rPr>
                  <w:rFonts w:ascii="Arial" w:cs="Arial" w:eastAsia="Arial" w:hAnsi="Arial"/>
                  <w:sz w:val="20"/>
                  <w:szCs w:val="20"/>
                  <w:color w:val="0000EE"/>
                  <w:w w:val="97"/>
                </w:rPr>
                <w:t>GIP III Zephyr Acquisition Partners L.P.</w:t>
              </w:r>
            </w:hyperlink>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60" w:type="dxa"/>
            <w:vAlign w:val="bottom"/>
            <w:gridSpan w:val="9"/>
          </w:tcPr>
          <w:p>
            <w:pPr>
              <w:ind w:left="20"/>
              <w:spacing w:after="0"/>
              <w:rPr>
                <w:sz w:val="20"/>
                <w:szCs w:val="20"/>
                <w:color w:val="auto"/>
              </w:rPr>
            </w:pPr>
            <w:r>
              <w:rPr>
                <w:rFonts w:ascii="Arial" w:cs="Arial" w:eastAsia="Arial" w:hAnsi="Arial"/>
                <w:sz w:val="16"/>
                <w:szCs w:val="16"/>
                <w:color w:val="0000FF"/>
              </w:rPr>
              <w:t>1345 AVENUE OF THE AMERICAS, 30TH FLOOR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FF"/>
                <w:w w:val="94"/>
              </w:rPr>
              <w:t>10105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-6238240</wp:posOffset>
            </wp:positionV>
            <wp:extent cx="28575" cy="190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90436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4" w:lineRule="exact"/>
        <w:rPr>
          <w:sz w:val="20"/>
          <w:szCs w:val="20"/>
          <w:color w:val="auto"/>
        </w:rPr>
      </w:pPr>
    </w:p>
    <w:p>
      <w:pPr>
        <w:ind w:left="120"/>
        <w:spacing w:after="0"/>
        <w:tabs>
          <w:tab w:leader="none" w:pos="150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2"/>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07335" cy="153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335" cy="153987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82"/>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Clearway Energy Group LLC</w:t>
        </w:r>
      </w:hyperlink>
    </w:p>
    <w:p>
      <w:pPr>
        <w:spacing w:after="0" w:line="301" w:lineRule="exact"/>
        <w:rPr>
          <w:sz w:val="20"/>
          <w:szCs w:val="20"/>
          <w:color w:val="auto"/>
        </w:rPr>
      </w:pPr>
    </w:p>
    <w:p>
      <w:pPr>
        <w:ind w:left="82"/>
        <w:spacing w:after="0"/>
        <w:tabs>
          <w:tab w:leader="none" w:pos="1461" w:val="left"/>
          <w:tab w:leader="none" w:pos="2841"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0"/>
          <w:szCs w:val="20"/>
          <w:color w:val="auto"/>
        </w:rPr>
      </w:pPr>
    </w:p>
    <w:p>
      <w:pPr>
        <w:ind w:left="82"/>
        <w:spacing w:after="0"/>
        <w:rPr>
          <w:sz w:val="20"/>
          <w:szCs w:val="20"/>
          <w:color w:val="auto"/>
        </w:rPr>
      </w:pPr>
      <w:r>
        <w:rPr>
          <w:rFonts w:ascii="Arial" w:cs="Arial" w:eastAsia="Arial" w:hAnsi="Arial"/>
          <w:sz w:val="16"/>
          <w:szCs w:val="16"/>
          <w:color w:val="0000FF"/>
        </w:rPr>
        <w:t>1345 AVENUE OF THE AMERICAS, 30TH FLOOR</w:t>
      </w:r>
    </w:p>
    <w:p>
      <w:pPr>
        <w:spacing w:after="0" w:line="340" w:lineRule="exact"/>
        <w:rPr>
          <w:sz w:val="20"/>
          <w:szCs w:val="20"/>
          <w:color w:val="auto"/>
        </w:rPr>
      </w:pPr>
    </w:p>
    <w:tbl>
      <w:tblPr>
        <w:tblLayout w:type="fixed"/>
        <w:tblInd w:w="42" w:type="dxa"/>
        <w:tblCellMar>
          <w:top w:w="0" w:type="dxa"/>
          <w:left w:w="0" w:type="dxa"/>
          <w:bottom w:w="0" w:type="dxa"/>
          <w:right w:w="0" w:type="dxa"/>
        </w:tblCellMar>
      </w:tblPr>
      <w:tr>
        <w:trPr>
          <w:trHeight w:val="15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40" w:type="dxa"/>
            <w:vAlign w:val="bottom"/>
          </w:tcPr>
          <w:p>
            <w:pPr>
              <w:ind w:left="260"/>
              <w:spacing w:after="0"/>
              <w:rPr>
                <w:sz w:val="20"/>
                <w:szCs w:val="20"/>
                <w:color w:val="auto"/>
              </w:rPr>
            </w:pPr>
            <w:r>
              <w:rPr>
                <w:rFonts w:ascii="Arial" w:cs="Arial" w:eastAsia="Arial" w:hAnsi="Arial"/>
                <w:sz w:val="16"/>
                <w:szCs w:val="16"/>
                <w:color w:val="0000FF"/>
              </w:rPr>
              <w:t>NY</w:t>
            </w:r>
          </w:p>
        </w:tc>
        <w:tc>
          <w:tcPr>
            <w:tcW w:w="1880" w:type="dxa"/>
            <w:vAlign w:val="bottom"/>
          </w:tcPr>
          <w:p>
            <w:pPr>
              <w:ind w:left="500"/>
              <w:spacing w:after="0"/>
              <w:rPr>
                <w:sz w:val="20"/>
                <w:szCs w:val="20"/>
                <w:color w:val="auto"/>
              </w:rPr>
            </w:pPr>
            <w:r>
              <w:rPr>
                <w:rFonts w:ascii="Arial" w:cs="Arial" w:eastAsia="Arial" w:hAnsi="Arial"/>
                <w:sz w:val="16"/>
                <w:szCs w:val="16"/>
                <w:color w:val="0000FF"/>
              </w:rPr>
              <w:t>10105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 w:right="180" w:hanging="2"/>
        <w:spacing w:after="0" w:line="231"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Amended and Restated Exchange Agreement, dated as of May 14, 2015, among Clearway Energy, Inc. (the "Issuer"), Clearway Energy LLC ("Clearway LLC") and other parties thereto (the "Exchange Agreement"), the Class D Units of Clearway LLC are exchangeable at any time for shares of Class C common stock of the Issuer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28" w:lineRule="exact"/>
        <w:rPr>
          <w:rFonts w:ascii="Arial" w:cs="Arial" w:eastAsia="Arial" w:hAnsi="Arial"/>
          <w:sz w:val="13"/>
          <w:szCs w:val="13"/>
          <w:color w:val="008000"/>
        </w:rPr>
      </w:pPr>
    </w:p>
    <w:p>
      <w:pPr>
        <w:ind w:left="2" w:hanging="2"/>
        <w:spacing w:after="0" w:line="229"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LLC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2" w:right="40" w:hanging="2"/>
        <w:spacing w:after="0" w:line="233"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2"/>
          </w:cols>
          <w:pgMar w:left="498" w:top="120" w:right="499" w:bottom="1440" w:gutter="0" w:footer="0" w:header="0"/>
        </w:sectPr>
      </w:pPr>
    </w:p>
    <w:p>
      <w:pPr>
        <w:spacing w:after="0" w:line="56"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0</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8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4"/>
          <w:szCs w:val="14"/>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24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804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41"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0</wp:posOffset>
            </wp:positionV>
            <wp:extent cx="13658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GP III,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961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128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29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24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804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41"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-6985</wp:posOffset>
            </wp:positionV>
            <wp:extent cx="727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38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27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0502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0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6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1766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300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41"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-6985</wp:posOffset>
            </wp:positionV>
            <wp:extent cx="1009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131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963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Cornelius Title: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-3175</wp:posOffset>
            </wp:positionV>
            <wp:extent cx="1350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297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0000FF"/>
        </w:rPr>
        <w:t>03/31/2021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0000FF"/>
        </w:rPr>
        <w:t>03/31/2021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03/31/2021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0000FF"/>
        </w:rPr>
        <w:t>03/31/2021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8702" w:space="60"/>
            <w:col w:w="2140"/>
          </w:cols>
          <w:pgMar w:left="498" w:top="120"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2021-03-31T20:46:00Z</dcterms:created>
  <dcterms:modified xsi:type="dcterms:W3CDTF">2021-03-31T20:46:00Z</dcterms:modified>
</cp:coreProperties>
</file>