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C 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18539C204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Clearbridge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11,601.00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11,601.00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ClearBridge Investments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4,065,239.00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4,315,849.00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4,315,849.00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ClearBridge Investments (North America) Pty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509,487.00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509,487.00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509,487.00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79"/>
        <w:spacing w:after="0"/>
        <w:rPr>
          <w:sz w:val="20"/>
          <w:szCs w:val="20"/>
          <w:color w:val="auto"/>
        </w:rPr>
      </w:pPr>
      <w:r>
        <w:rPr>
          <w:rFonts w:ascii="Times New Roman" w:cs="Times New Roman" w:eastAsia="Times New Roman" w:hAnsi="Times New Roman"/>
          <w:sz w:val="22"/>
          <w:szCs w:val="22"/>
          <w:color w:val="auto"/>
        </w:rPr>
        <w:t>300 Carnegie Center, Suite 300, Princeton, NJ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p>
      <w:pPr>
        <w:ind w:left="920" w:right="60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ClearBridge Investments, LLC (ii): ClearBridge Investments Limited (iii): ClearBridge Investments (North America) Pty Ltd</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(i):One Madison Ave. New York, NY 10010 (ii) and (iii): Level 13, 35 Clarence Street Sydney, Australia 2000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(i):Delaware (ii) and (iii): Australian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C Common Stock, par value $0.01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18539C204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4,656,937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ClearBridge Investments, LLC: 11,601 ClearBridge Investments Limited: 4,065,239 ClearBridge Investments (North</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America) Pty Ltd: 509,487</w:t>
      </w:r>
    </w:p>
    <w:p>
      <w:pPr>
        <w:spacing w:after="0" w:line="263" w:lineRule="exact"/>
        <w:rPr>
          <w:sz w:val="20"/>
          <w:szCs w:val="20"/>
          <w:color w:val="auto"/>
        </w:rPr>
      </w:pPr>
    </w:p>
    <w:p>
      <w:pPr>
        <w:ind w:left="1240" w:hanging="314"/>
        <w:spacing w:after="0"/>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ClearBridge Investments, LLC: 11,601 ClearBridge Investments Limited: 4,315,849 ClearBridge Investments (North</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America) Pty Ltd: 509,487</w:t>
      </w:r>
    </w:p>
    <w:p>
      <w:pPr>
        <w:spacing w:after="0" w:line="263" w:lineRule="exact"/>
        <w:rPr>
          <w:sz w:val="20"/>
          <w:szCs w:val="20"/>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60" w:orient="portrait"/>
          <w:cols w:equalWidth="0" w:num="1">
            <w:col w:w="11060"/>
          </w:cols>
          <w:pgMar w:left="360" w:top="355" w:right="479" w:bottom="0" w:gutter="0" w:footer="0" w:header="0"/>
        </w:sectPr>
      </w:pPr>
    </w:p>
    <w:bookmarkStart w:id="4" w:name="page5"/>
    <w:bookmarkEnd w:id="4"/>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10" w:orient="portrait"/>
          <w:cols w:equalWidth="0" w:num="2">
            <w:col w:w="720" w:space="200"/>
            <w:col w:w="10220"/>
          </w:cols>
          <w:pgMar w:left="360" w:top="126"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Clearbridge Investments,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/s/BRIAN R. MURPHY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Brian R. Murphy, Chief Compliance Officer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ClearBridge Investments,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ClearBridge Investments Ltd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/s/ANNETTE GOLDEN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Annette Golden, Head of Legal, Risk and</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Compliance &amp; Company Secretary of ClearBridge</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Limited</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ClearBridge Investments (North America) Pty Ltd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/s/ANNETTE GOLDEN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Annette Golden, Head of Legal, Risk and</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Compliance &amp; Company Secretary of ClearBridge</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(North America) Pty Ltd</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Exhibit A: Joint Filing Agreement Exhibit B: Item 4 Ownership Exhibit C: Item 8 Identification and Classification of Members of the Group Exhibit A: JOINT FILING AGREEMENT 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 IN WITNESS WHEREOF, the undersigned have executed this agreement on the date of the signing of this filing. ClearBridge Investments, LLC By: /s/BRIAN R. MURPHY Brian R. Murphy Chief Compliance Officer of ClearBridge Investments, LLC ClearBridge Investments Limited By: /s/ANNETTE GOLDEN Annette Golden Head of Legal, Risk and Compliance &amp; Company Secretary of ClearBridge Investments Limited ClearBridge Investments (North America) Pty Ltd By: /s/ANNETTE GOLDEN Annette Golden Head of Legal, Risk and Compliance &amp; Company Secretary of ClearBridge Investments (North America) Pty Ltd Exhibit B: Item 4 Ownership The securities reported herein are beneficially owned by one or more open end investment companies or other managed accounts that are investment management clients of ClearBridge Investments, LLC, ClearBridge Investments Limited, and ClearBridge Investments (North America) Pty Ltd. (collectively,"CIL"), indirect wholly owned subsidiaries of Franklin Resources, Inc. ("FRI"). When an investment management contract (including a sub advisory agreement) delegates to CIL investment discretion or voting power over the securities held in the investment advisory accounts that are subject to that agreement, FRI treats CIL as having sole investment discretion or voting authority, as the case may be, unless the agreement specifies otherwise. Accordingly, CIL reports on Schedule 13G that it has sole investment discretion and voting authority over the securities covered by any such investment management agreement, unless otherwise noted in this Item 4. As a result, for purposes of Rule 13d-3 under the Act, CIL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CIL are exercised</w:t>
      </w:r>
    </w:p>
    <w:p>
      <w:pPr>
        <w:sectPr>
          <w:pgSz w:w="11900" w:h="16910" w:orient="portrait"/>
          <w:cols w:equalWidth="0" w:num="1">
            <w:col w:w="11140"/>
          </w:cols>
          <w:pgMar w:left="360" w:top="126" w:right="399" w:bottom="0" w:gutter="0" w:footer="0" w:header="0"/>
          <w:type w:val="continuous"/>
        </w:sectPr>
      </w:pPr>
    </w:p>
    <w:bookmarkStart w:id="5" w:name="page6"/>
    <w:bookmarkEnd w:id="5"/>
    <w:p>
      <w:pPr>
        <w:spacing w:after="0" w:line="232" w:lineRule="auto"/>
        <w:rPr>
          <w:sz w:val="20"/>
          <w:szCs w:val="20"/>
          <w:color w:val="auto"/>
        </w:rPr>
      </w:pPr>
      <w:r>
        <w:rPr>
          <w:rFonts w:ascii="Times New Roman" w:cs="Times New Roman" w:eastAsia="Times New Roman" w:hAnsi="Times New Roman"/>
          <w:sz w:val="22"/>
          <w:szCs w:val="22"/>
          <w:color w:val="auto"/>
        </w:rPr>
        <w:t>independently from FRI (CIL's parent holding company) and from all other investment management subsidiaries of FRI (FRI, its affiliates and investment management subsidiaries other than CIL are, collectively, "FRI affiliates"). Furthermore, internal policies and procedures of CIL and FRI affiliates establish informational barriers that prevent the flow between CIL and the FRI affiliates of information that relates to the voting and investment powers over the securities owned by their respective investment management clients. Consequently, CIL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CIL exercises voting and investment powers on behalf of its investment management clients independently of FRI affiliates, beneficial ownership of the securities reported by CIL is not attributed to the Principal Shareholders. CIL disclaims any pecuniary interest in any of the securities reported in this Schedule 13G. In addition, the filing of this Schedule 13G on behalf of CIL should not be construed as an admission that it is, and it disclaims that it is, the beneficial owner, as defined in Rule 13d-3, of any of such securities. Furthermore, CIL believes that it is not a "group" with FRI affiliates, the Principal Shareholders, or their respective affiliates within the meaning of Rule 13d-5 under the Act and that none of them is otherwise required to attribute to any other the beneficial ownership of the securities held by such person or by any persons or entities for whom or for which CIL or the FRI affiliates provide investment management services. EXHIBIT C ClearBridge Investments, LLC Item 3 Classification: 3(e) ClearBridge Investments Limited Item 3 Classification: 3(j) ClearBridge Investments (North America) Pty Ltd Item 3 Classification: 3(j)</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Roman"/>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2026-02-12T10:15:01Z</dcterms:created>
  <dcterms:modified xsi:type="dcterms:W3CDTF">2026-02-12T10:15:01Z</dcterms:modified>
</cp:coreProperties>
</file>