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Clearway Energy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562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5620" w:type="dxa"/>
            <w:vAlign w:val="bottom"/>
          </w:tcPr>
          <w:p>
            <w:pPr>
              <w:jc w:val="center"/>
              <w:ind w:right="1370"/>
              <w:spacing w:after="0"/>
              <w:rPr>
                <w:sz w:val="20"/>
                <w:szCs w:val="20"/>
                <w:color w:val="auto"/>
              </w:rPr>
            </w:pPr>
            <w:r>
              <w:rPr>
                <w:rFonts w:ascii="Arial" w:cs="Arial" w:eastAsia="Arial" w:hAnsi="Arial"/>
                <w:sz w:val="18"/>
                <w:szCs w:val="18"/>
                <w:color w:val="auto"/>
                <w:w w:val="91"/>
              </w:rPr>
              <w:t>(State or other jurisdiction</w:t>
            </w:r>
          </w:p>
        </w:tc>
        <w:tc>
          <w:tcPr>
            <w:tcW w:w="2800" w:type="dxa"/>
            <w:vAlign w:val="bottom"/>
          </w:tcPr>
          <w:p>
            <w:pPr>
              <w:jc w:val="center"/>
              <w:ind w:left="1350"/>
              <w:spacing w:after="0"/>
              <w:rPr>
                <w:sz w:val="20"/>
                <w:szCs w:val="20"/>
                <w:color w:val="auto"/>
              </w:rPr>
            </w:pPr>
            <w:r>
              <w:rPr>
                <w:rFonts w:ascii="Arial" w:cs="Arial" w:eastAsia="Arial" w:hAnsi="Arial"/>
                <w:sz w:val="18"/>
                <w:szCs w:val="18"/>
                <w:color w:val="auto"/>
                <w:w w:val="93"/>
              </w:rPr>
              <w:t>(I.R.S. Employer</w:t>
            </w:r>
          </w:p>
        </w:tc>
      </w:tr>
      <w:tr>
        <w:trPr>
          <w:trHeight w:val="230"/>
        </w:trPr>
        <w:tc>
          <w:tcPr>
            <w:tcW w:w="5620" w:type="dxa"/>
            <w:vAlign w:val="bottom"/>
          </w:tcPr>
          <w:p>
            <w:pPr>
              <w:jc w:val="center"/>
              <w:ind w:right="1370"/>
              <w:spacing w:after="0"/>
              <w:rPr>
                <w:sz w:val="20"/>
                <w:szCs w:val="20"/>
                <w:color w:val="auto"/>
              </w:rPr>
            </w:pPr>
            <w:r>
              <w:rPr>
                <w:rFonts w:ascii="Arial" w:cs="Arial" w:eastAsia="Arial" w:hAnsi="Arial"/>
                <w:sz w:val="18"/>
                <w:szCs w:val="18"/>
                <w:color w:val="auto"/>
                <w:w w:val="92"/>
              </w:rPr>
              <w:t>of incorporation or organization)</w:t>
            </w:r>
          </w:p>
        </w:tc>
        <w:tc>
          <w:tcPr>
            <w:tcW w:w="2800" w:type="dxa"/>
            <w:vAlign w:val="bottom"/>
          </w:tcPr>
          <w:p>
            <w:pPr>
              <w:jc w:val="center"/>
              <w:ind w:left="13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620" w:type="dxa"/>
            <w:vAlign w:val="bottom"/>
          </w:tcPr>
          <w:p>
            <w:pPr>
              <w:jc w:val="center"/>
              <w:ind w:right="1370"/>
              <w:spacing w:after="0"/>
              <w:rPr>
                <w:sz w:val="20"/>
                <w:szCs w:val="20"/>
                <w:color w:val="auto"/>
              </w:rPr>
            </w:pPr>
            <w:r>
              <w:rPr>
                <w:rFonts w:ascii="Arial" w:cs="Arial" w:eastAsia="Arial" w:hAnsi="Arial"/>
                <w:sz w:val="18"/>
                <w:szCs w:val="18"/>
                <w:b w:val="1"/>
                <w:bCs w:val="1"/>
                <w:color w:val="auto"/>
                <w:w w:val="89"/>
              </w:rPr>
              <w:t>300 Carnegie Center, Suite 300, Princeton, New Jersey</w:t>
            </w:r>
          </w:p>
        </w:tc>
        <w:tc>
          <w:tcPr>
            <w:tcW w:w="28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62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2800" w:type="dxa"/>
            <w:vAlign w:val="bottom"/>
          </w:tcPr>
          <w:p>
            <w:pPr>
              <w:jc w:val="center"/>
              <w:ind w:left="13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7"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w:t>
      </w:r>
      <w:r>
        <w:rPr>
          <w:rFonts w:ascii="Arial" w:cs="Arial" w:eastAsia="Arial" w:hAnsi="Arial"/>
          <w:sz w:val="16"/>
          <w:szCs w:val="16"/>
          <w:b w:val="1"/>
          <w:bCs w:val="1"/>
          <w:color w:val="auto"/>
        </w:rPr>
        <w:t>Yes</w:t>
      </w:r>
      <w:r>
        <w:rPr>
          <w:rFonts w:ascii="Arial" w:cs="Arial" w:eastAsia="Arial" w:hAnsi="Arial"/>
          <w:sz w:val="16"/>
          <w:szCs w:val="16"/>
          <w:color w:val="auto"/>
        </w:rPr>
        <w:t xml:space="preserve"> o </w:t>
      </w:r>
      <w:r>
        <w:rPr>
          <w:rFonts w:ascii="Arial" w:cs="Arial" w:eastAsia="Arial" w:hAnsi="Arial"/>
          <w:sz w:val="16"/>
          <w:szCs w:val="16"/>
          <w:b w:val="1"/>
          <w:bCs w:val="1"/>
          <w:color w:val="auto"/>
        </w:rPr>
        <w:t>No</w:t>
      </w:r>
      <w:r>
        <w:rPr>
          <w:rFonts w:ascii="Arial" w:cs="Arial" w:eastAsia="Arial" w:hAnsi="Arial"/>
          <w:sz w:val="16"/>
          <w:szCs w:val="16"/>
          <w:color w:val="auto"/>
        </w:rPr>
        <w:t xml:space="preserve"> o</w:t>
      </w:r>
    </w:p>
    <w:p>
      <w:pPr>
        <w:spacing w:after="0" w:line="84" w:lineRule="exact"/>
        <w:rPr>
          <w:sz w:val="24"/>
          <w:szCs w:val="24"/>
          <w:color w:val="auto"/>
        </w:rPr>
      </w:pPr>
    </w:p>
    <w:p>
      <w:pPr>
        <w:jc w:val="both"/>
        <w:ind w:firstLine="270"/>
        <w:spacing w:after="0" w:line="310"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x </w:t>
      </w:r>
      <w:r>
        <w:rPr>
          <w:rFonts w:ascii="Arial" w:cs="Arial" w:eastAsia="Arial" w:hAnsi="Arial"/>
          <w:sz w:val="15"/>
          <w:szCs w:val="15"/>
          <w:b w:val="1"/>
          <w:bCs w:val="1"/>
          <w:color w:val="auto"/>
        </w:rPr>
        <w:t>No</w:t>
      </w:r>
      <w:r>
        <w:rPr>
          <w:rFonts w:ascii="Arial" w:cs="Arial" w:eastAsia="Arial" w:hAnsi="Arial"/>
          <w:sz w:val="15"/>
          <w:szCs w:val="15"/>
          <w:color w:val="auto"/>
        </w:rPr>
        <w:t xml:space="preserve"> o</w:t>
      </w:r>
    </w:p>
    <w:p>
      <w:pPr>
        <w:spacing w:after="0" w:line="41"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p>
      <w:pPr>
        <w:ind w:left="300"/>
        <w:spacing w:after="0"/>
        <w:tabs>
          <w:tab w:leader="none" w:pos="2480" w:val="left"/>
          <w:tab w:leader="none" w:pos="4400" w:val="left"/>
          <w:tab w:leader="none" w:pos="6700" w:val="left"/>
          <w:tab w:leader="none" w:pos="9220" w:val="left"/>
        </w:tabs>
        <w:rPr>
          <w:sz w:val="20"/>
          <w:szCs w:val="20"/>
          <w:color w:val="auto"/>
        </w:rPr>
      </w:pPr>
      <w:r>
        <w:rPr>
          <w:rFonts w:ascii="Arial" w:cs="Arial" w:eastAsia="Arial" w:hAnsi="Arial"/>
          <w:sz w:val="14"/>
          <w:szCs w:val="14"/>
          <w:b w:val="1"/>
          <w:bCs w:val="1"/>
          <w:color w:val="auto"/>
        </w:rPr>
        <w:t xml:space="preserve">Large 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3"/>
          <w:szCs w:val="13"/>
          <w:b w:val="1"/>
          <w:bCs w:val="1"/>
          <w:color w:val="auto"/>
        </w:rPr>
        <w:t xml:space="preserve">Emerging Growth Company </w:t>
      </w:r>
      <w:r>
        <w:rPr>
          <w:rFonts w:ascii="Arial" w:cs="Arial" w:eastAsia="Arial" w:hAnsi="Arial"/>
          <w:sz w:val="13"/>
          <w:szCs w:val="13"/>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9"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9" w:lineRule="exact"/>
        <w:rPr>
          <w:sz w:val="24"/>
          <w:szCs w:val="24"/>
          <w:color w:val="auto"/>
        </w:rPr>
      </w:pPr>
    </w:p>
    <w:p>
      <w:pPr>
        <w:ind w:left="5240"/>
        <w:spacing w:after="0"/>
        <w:tabs>
          <w:tab w:leader="none" w:pos="58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As of April 30, 2019, there were 34,599,645 Class A units outstanding, 42,738,750 Class B units outstanding, 73,325,741 Class C units outstanding, and 42,738,750 Class D units outstanding. There is no public market for the registrant's outstanding units.</w:t>
      </w:r>
    </w:p>
    <w:p>
      <w:pPr>
        <w:spacing w:after="0" w:line="3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NOTE: WHEREAS CLEARWAY ENERGY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5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61</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6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2018, as well as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8620" w:type="dxa"/>
            <w:vAlign w:val="bottom"/>
          </w:tcPr>
          <w:p>
            <w:pPr>
              <w:ind w:left="196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740" w:type="dxa"/>
            <w:vAlign w:val="bottom"/>
          </w:tcPr>
          <w:p>
            <w:pPr>
              <w:spacing w:after="0"/>
              <w:rPr>
                <w:sz w:val="20"/>
                <w:szCs w:val="20"/>
                <w:color w:val="auto"/>
              </w:rPr>
            </w:pPr>
            <w:r>
              <w:rPr>
                <w:rFonts w:ascii="Arial" w:cs="Arial" w:eastAsia="Arial" w:hAnsi="Arial"/>
                <w:sz w:val="18"/>
                <w:szCs w:val="18"/>
                <w:color w:val="auto"/>
              </w:rPr>
              <w:t>2018 Form 10-K</w:t>
            </w: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w w:val="92"/>
              </w:rPr>
              <w:t>Clearway Energy LLC's (formerly NRG Yield LLC) Annual Report on Form 10-K for the year ended December 31,</w:t>
            </w:r>
          </w:p>
        </w:tc>
        <w:tc>
          <w:tcPr>
            <w:tcW w:w="0" w:type="dxa"/>
            <w:vAlign w:val="bottom"/>
          </w:tcPr>
          <w:p>
            <w:pPr>
              <w:spacing w:after="0"/>
              <w:rPr>
                <w:sz w:val="1"/>
                <w:szCs w:val="1"/>
                <w:color w:val="auto"/>
              </w:rPr>
            </w:pPr>
          </w:p>
        </w:tc>
      </w:tr>
      <w:tr>
        <w:trPr>
          <w:trHeight w:val="67"/>
        </w:trPr>
        <w:tc>
          <w:tcPr>
            <w:tcW w:w="2740" w:type="dxa"/>
            <w:vAlign w:val="bottom"/>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351"/>
        </w:trPr>
        <w:tc>
          <w:tcPr>
            <w:tcW w:w="2740" w:type="dxa"/>
            <w:vAlign w:val="bottom"/>
          </w:tcPr>
          <w:p>
            <w:pPr>
              <w:spacing w:after="0"/>
              <w:rPr>
                <w:sz w:val="20"/>
                <w:szCs w:val="20"/>
                <w:color w:val="auto"/>
              </w:rPr>
            </w:pPr>
            <w:r>
              <w:rPr>
                <w:rFonts w:ascii="Arial" w:cs="Arial" w:eastAsia="Arial" w:hAnsi="Arial"/>
                <w:sz w:val="18"/>
                <w:szCs w:val="18"/>
                <w:color w:val="auto"/>
              </w:rPr>
              <w:t>2019 Convertible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$329 million aggregate principal amount of 3.50% convertible notes due 2019, issued by Clearway Energy, Inc.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2020 Convertible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$45 million aggregate principal amount of 3.25% convertible notes due 2020, issued by Clearway Energy, Inc.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2024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$500 million aggregate principal amount of 5.375% unsecured senior notes due 2024,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2025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2026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Adjusted EBITDA</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Represents EBITDA adjusted for mark-to-market gains or losses, asset write offs and impairments; and factors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which the Company does not consider indicative of future operating performance</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AOCL</w:t>
            </w:r>
          </w:p>
        </w:tc>
        <w:tc>
          <w:tcPr>
            <w:tcW w:w="86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0" w:type="dxa"/>
            <w:vAlign w:val="bottom"/>
          </w:tcPr>
          <w:p>
            <w:pPr>
              <w:spacing w:after="0"/>
              <w:rPr>
                <w:sz w:val="1"/>
                <w:szCs w:val="1"/>
                <w:color w:val="auto"/>
              </w:rPr>
            </w:pPr>
          </w:p>
        </w:tc>
      </w:tr>
      <w:tr>
        <w:trPr>
          <w:trHeight w:val="431"/>
        </w:trPr>
        <w:tc>
          <w:tcPr>
            <w:tcW w:w="2740" w:type="dxa"/>
            <w:vAlign w:val="bottom"/>
          </w:tcPr>
          <w:p>
            <w:pPr>
              <w:spacing w:after="0"/>
              <w:rPr>
                <w:sz w:val="20"/>
                <w:szCs w:val="20"/>
                <w:color w:val="auto"/>
              </w:rPr>
            </w:pPr>
            <w:r>
              <w:rPr>
                <w:rFonts w:ascii="Arial" w:cs="Arial" w:eastAsia="Arial" w:hAnsi="Arial"/>
                <w:sz w:val="18"/>
                <w:szCs w:val="18"/>
                <w:color w:val="auto"/>
              </w:rPr>
              <w:t>ASC</w:t>
            </w:r>
          </w:p>
        </w:tc>
        <w:tc>
          <w:tcPr>
            <w:tcW w:w="8620" w:type="dxa"/>
            <w:vAlign w:val="bottom"/>
          </w:tcPr>
          <w:p>
            <w:pPr>
              <w:ind w:left="22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ASU</w:t>
            </w:r>
          </w:p>
        </w:tc>
        <w:tc>
          <w:tcPr>
            <w:tcW w:w="8620" w:type="dxa"/>
            <w:vAlign w:val="bottom"/>
          </w:tcPr>
          <w:p>
            <w:pPr>
              <w:ind w:left="22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ATM Program</w:t>
            </w:r>
          </w:p>
        </w:tc>
        <w:tc>
          <w:tcPr>
            <w:tcW w:w="8620" w:type="dxa"/>
            <w:vAlign w:val="bottom"/>
          </w:tcPr>
          <w:p>
            <w:pPr>
              <w:ind w:left="22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620" w:type="dxa"/>
            <w:vAlign w:val="bottom"/>
          </w:tcPr>
          <w:p>
            <w:pPr>
              <w:ind w:left="220"/>
              <w:spacing w:after="0"/>
              <w:rPr>
                <w:sz w:val="20"/>
                <w:szCs w:val="20"/>
                <w:color w:val="auto"/>
              </w:rPr>
            </w:pPr>
            <w:r>
              <w:rPr>
                <w:rFonts w:ascii="Arial" w:cs="Arial" w:eastAsia="Arial" w:hAnsi="Arial"/>
                <w:sz w:val="18"/>
                <w:szCs w:val="18"/>
                <w:color w:val="auto"/>
              </w:rPr>
              <w:t>The remaining 25% interest in Wind TE Holdco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Bankruptcy Code</w:t>
            </w:r>
          </w:p>
        </w:tc>
        <w:tc>
          <w:tcPr>
            <w:tcW w:w="8620" w:type="dxa"/>
            <w:vAlign w:val="bottom"/>
          </w:tcPr>
          <w:p>
            <w:pPr>
              <w:ind w:left="220"/>
              <w:spacing w:after="0"/>
              <w:rPr>
                <w:sz w:val="20"/>
                <w:szCs w:val="20"/>
                <w:color w:val="auto"/>
              </w:rPr>
            </w:pPr>
            <w:r>
              <w:rPr>
                <w:rFonts w:ascii="Arial" w:cs="Arial" w:eastAsia="Arial" w:hAnsi="Arial"/>
                <w:sz w:val="18"/>
                <w:szCs w:val="18"/>
                <w:color w:val="auto"/>
              </w:rPr>
              <w:t>Chapter 11 of Title 11 of the U.S. Code</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Bankruptcy Court</w:t>
            </w:r>
          </w:p>
        </w:tc>
        <w:tc>
          <w:tcPr>
            <w:tcW w:w="8620" w:type="dxa"/>
            <w:vAlign w:val="bottom"/>
          </w:tcPr>
          <w:p>
            <w:pPr>
              <w:ind w:left="220"/>
              <w:spacing w:after="0"/>
              <w:rPr>
                <w:sz w:val="20"/>
                <w:szCs w:val="20"/>
                <w:color w:val="auto"/>
              </w:rPr>
            </w:pPr>
            <w:r>
              <w:rPr>
                <w:rFonts w:ascii="Arial" w:cs="Arial" w:eastAsia="Arial" w:hAnsi="Arial"/>
                <w:sz w:val="18"/>
                <w:szCs w:val="18"/>
                <w:color w:val="auto"/>
              </w:rPr>
              <w:t>U.S. Bankruptcy Court for the Northern District of California</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w w:val="99"/>
              </w:rPr>
              <w:t>Buckthorn Solar Drop Down Asset</w:t>
            </w:r>
          </w:p>
        </w:tc>
        <w:tc>
          <w:tcPr>
            <w:tcW w:w="8620" w:type="dxa"/>
            <w:vAlign w:val="bottom"/>
          </w:tcPr>
          <w:p>
            <w:pPr>
              <w:ind w:left="220"/>
              <w:spacing w:after="0"/>
              <w:rPr>
                <w:sz w:val="20"/>
                <w:szCs w:val="20"/>
                <w:color w:val="auto"/>
              </w:rPr>
            </w:pPr>
            <w:r>
              <w:rPr>
                <w:rFonts w:ascii="Arial" w:cs="Arial" w:eastAsia="Arial" w:hAnsi="Arial"/>
                <w:sz w:val="18"/>
                <w:szCs w:val="18"/>
                <w:color w:val="auto"/>
                <w:w w:val="99"/>
              </w:rPr>
              <w:t>Buckthorn Renewables, LLC, which owns 100% of Buckthorn Solar Portfolio, LLC, which was acquired by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Clearway Energy Operating LLC from NRG on March 30, 2018</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CAFD</w:t>
            </w:r>
          </w:p>
        </w:tc>
        <w:tc>
          <w:tcPr>
            <w:tcW w:w="8620" w:type="dxa"/>
            <w:vAlign w:val="bottom"/>
          </w:tcPr>
          <w:p>
            <w:pPr>
              <w:ind w:left="220"/>
              <w:spacing w:after="0"/>
              <w:rPr>
                <w:sz w:val="20"/>
                <w:szCs w:val="20"/>
                <w:color w:val="auto"/>
              </w:rPr>
            </w:pPr>
            <w:r>
              <w:rPr>
                <w:rFonts w:ascii="Arial" w:cs="Arial" w:eastAsia="Arial" w:hAnsi="Arial"/>
                <w:sz w:val="18"/>
                <w:szCs w:val="18"/>
                <w:color w:val="auto"/>
                <w:w w:val="97"/>
              </w:rPr>
              <w:t>Cash Available for Distribution (CAFD) is Adjusted EBITDA plus cash distributions/return of investment from</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1"/>
              </w:rPr>
              <w:t>unconsolidated affiliates, adjustments to reflect CAFD generated by unconsolidated investments that are not able to</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distribute project dividends due to the PG&amp;E Bankruptcy, cash receipts from notes receivable, cash distributions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from noncontrolling interests, less cash distributions to noncontrolling interests, maintenance capital expenditures,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pro-rata Adjusted EBITDA from unconsolidated affiliates, cash interest paid, income taxes paid, principal</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amortization of indebtedness, Walnut Creek investment payments, and changes in prepaid and accrued capacity</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Carlsbad Project</w:t>
            </w:r>
          </w:p>
        </w:tc>
        <w:tc>
          <w:tcPr>
            <w:tcW w:w="8620" w:type="dxa"/>
            <w:vAlign w:val="bottom"/>
          </w:tcPr>
          <w:p>
            <w:pPr>
              <w:ind w:left="220"/>
              <w:spacing w:after="0"/>
              <w:rPr>
                <w:sz w:val="20"/>
                <w:szCs w:val="20"/>
                <w:color w:val="auto"/>
              </w:rPr>
            </w:pPr>
            <w:r>
              <w:rPr>
                <w:rFonts w:ascii="Arial" w:cs="Arial" w:eastAsia="Arial" w:hAnsi="Arial"/>
                <w:sz w:val="18"/>
                <w:szCs w:val="18"/>
                <w:color w:val="auto"/>
              </w:rPr>
              <w:t>A 527 MW natural gas fired project in Carlsbad, CA</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CDFW</w:t>
            </w:r>
          </w:p>
        </w:tc>
        <w:tc>
          <w:tcPr>
            <w:tcW w:w="8620" w:type="dxa"/>
            <w:vAlign w:val="bottom"/>
          </w:tcPr>
          <w:p>
            <w:pPr>
              <w:ind w:left="220"/>
              <w:spacing w:after="0"/>
              <w:rPr>
                <w:sz w:val="20"/>
                <w:szCs w:val="20"/>
                <w:color w:val="auto"/>
              </w:rPr>
            </w:pPr>
            <w:r>
              <w:rPr>
                <w:rFonts w:ascii="Arial" w:cs="Arial" w:eastAsia="Arial" w:hAnsi="Arial"/>
                <w:sz w:val="18"/>
                <w:szCs w:val="18"/>
                <w:color w:val="auto"/>
              </w:rPr>
              <w:t>California Department of Fish and Wildlife</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CEG</w:t>
            </w:r>
          </w:p>
        </w:tc>
        <w:tc>
          <w:tcPr>
            <w:tcW w:w="8620" w:type="dxa"/>
            <w:vAlign w:val="bottom"/>
          </w:tcPr>
          <w:p>
            <w:pPr>
              <w:ind w:left="22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w w:val="98"/>
              </w:rPr>
              <w:t>CEG Master Services Agreements</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Master Services Agreements between the Company, Clearway Energy LLC and Clearway Energy Operating LLC,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and CEG</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CEG ROFO Agreement</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Right of First Offer Agreement, entered into as of August 31, 2018, by and between Clearway Energy Group LLC</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and Clearway Energy, Inc., and solely for purposes of Section 2.4, GIP III Zephyr Acquisition Partners, L.P., as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amended by the First Amendment to the Right of First Offer Agreement dated February 14, 2019</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CEG ROFO Asset</w:t>
            </w:r>
          </w:p>
        </w:tc>
        <w:tc>
          <w:tcPr>
            <w:tcW w:w="8620" w:type="dxa"/>
            <w:vAlign w:val="bottom"/>
          </w:tcPr>
          <w:p>
            <w:pPr>
              <w:ind w:left="220"/>
              <w:spacing w:after="0"/>
              <w:rPr>
                <w:sz w:val="20"/>
                <w:szCs w:val="20"/>
                <w:color w:val="auto"/>
              </w:rPr>
            </w:pPr>
            <w:r>
              <w:rPr>
                <w:rFonts w:ascii="Arial" w:cs="Arial" w:eastAsia="Arial" w:hAnsi="Arial"/>
                <w:sz w:val="18"/>
                <w:szCs w:val="18"/>
                <w:color w:val="auto"/>
              </w:rPr>
              <w:t>Asset to potentially be offered to the Company by CEG under the CEG ROFO Agreement</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Clearway Energy Group LLC</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The holder of Clearway Energy, Inc.'s Class B and Class D common shares and Clearway Energy LLC's Class B</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and Class D units</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Clearway Energy LLC</w:t>
            </w:r>
          </w:p>
        </w:tc>
        <w:tc>
          <w:tcPr>
            <w:tcW w:w="8620" w:type="dxa"/>
            <w:vAlign w:val="bottom"/>
          </w:tcPr>
          <w:p>
            <w:pPr>
              <w:ind w:left="220"/>
              <w:spacing w:after="0"/>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 B</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and Class D units, and Clearway Energy, Inc., the holder of the Class A and Class C units</w:t>
            </w: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4"/>
                <w:szCs w:val="24"/>
                <w:color w:val="auto"/>
              </w:rPr>
            </w:pPr>
          </w:p>
        </w:tc>
        <w:tc>
          <w:tcPr>
            <w:tcW w:w="8620" w:type="dxa"/>
            <w:vAlign w:val="bottom"/>
          </w:tcPr>
          <w:p>
            <w:pPr>
              <w:ind w:left="2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Clearway Energy Operating LLC</w:t>
            </w:r>
          </w:p>
        </w:tc>
        <w:tc>
          <w:tcPr>
            <w:tcW w:w="8680" w:type="dxa"/>
            <w:vAlign w:val="bottom"/>
          </w:tcPr>
          <w:p>
            <w:pPr>
              <w:ind w:left="28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COD</w:t>
            </w:r>
          </w:p>
        </w:tc>
        <w:tc>
          <w:tcPr>
            <w:tcW w:w="8680" w:type="dxa"/>
            <w:vAlign w:val="bottom"/>
          </w:tcPr>
          <w:p>
            <w:pPr>
              <w:ind w:left="28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Company</w:t>
            </w:r>
          </w:p>
        </w:tc>
        <w:tc>
          <w:tcPr>
            <w:tcW w:w="8680" w:type="dxa"/>
            <w:vAlign w:val="bottom"/>
          </w:tcPr>
          <w:p>
            <w:pPr>
              <w:ind w:left="28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w:t>
            </w:r>
          </w:p>
        </w:tc>
        <w:tc>
          <w:tcPr>
            <w:tcW w:w="8680" w:type="dxa"/>
            <w:vAlign w:val="bottom"/>
          </w:tcPr>
          <w:p>
            <w:pPr>
              <w:ind w:left="2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CVSR Holdco</w:t>
            </w:r>
          </w:p>
        </w:tc>
        <w:tc>
          <w:tcPr>
            <w:tcW w:w="8680" w:type="dxa"/>
            <w:vAlign w:val="bottom"/>
          </w:tcPr>
          <w:p>
            <w:pPr>
              <w:ind w:left="28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1</w:t>
            </w:r>
          </w:p>
        </w:tc>
        <w:tc>
          <w:tcPr>
            <w:tcW w:w="8680" w:type="dxa"/>
            <w:vAlign w:val="bottom"/>
          </w:tcPr>
          <w:p>
            <w:pPr>
              <w:ind w:left="280"/>
              <w:spacing w:after="0"/>
              <w:rPr>
                <w:sz w:val="20"/>
                <w:szCs w:val="20"/>
                <w:color w:val="auto"/>
              </w:rPr>
            </w:pPr>
            <w:r>
              <w:rPr>
                <w:rFonts w:ascii="Arial" w:cs="Arial" w:eastAsia="Arial" w:hAnsi="Arial"/>
                <w:sz w:val="18"/>
                <w:szCs w:val="18"/>
                <w:color w:val="auto"/>
              </w:rPr>
              <w:t>DGPV Holdco 1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2</w:t>
            </w:r>
          </w:p>
        </w:tc>
        <w:tc>
          <w:tcPr>
            <w:tcW w:w="8680" w:type="dxa"/>
            <w:vAlign w:val="bottom"/>
          </w:tcPr>
          <w:p>
            <w:pPr>
              <w:ind w:left="280"/>
              <w:spacing w:after="0"/>
              <w:rPr>
                <w:sz w:val="20"/>
                <w:szCs w:val="20"/>
                <w:color w:val="auto"/>
              </w:rPr>
            </w:pPr>
            <w:r>
              <w:rPr>
                <w:rFonts w:ascii="Arial" w:cs="Arial" w:eastAsia="Arial" w:hAnsi="Arial"/>
                <w:sz w:val="18"/>
                <w:szCs w:val="18"/>
                <w:color w:val="auto"/>
              </w:rPr>
              <w:t>DGPV Holdco 2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 3</w:t>
            </w:r>
          </w:p>
        </w:tc>
        <w:tc>
          <w:tcPr>
            <w:tcW w:w="8680" w:type="dxa"/>
            <w:vAlign w:val="bottom"/>
          </w:tcPr>
          <w:p>
            <w:pPr>
              <w:ind w:left="280"/>
              <w:spacing w:after="0"/>
              <w:rPr>
                <w:sz w:val="20"/>
                <w:szCs w:val="20"/>
                <w:color w:val="auto"/>
              </w:rPr>
            </w:pPr>
            <w:r>
              <w:rPr>
                <w:rFonts w:ascii="Arial" w:cs="Arial" w:eastAsia="Arial" w:hAnsi="Arial"/>
                <w:sz w:val="18"/>
                <w:szCs w:val="18"/>
                <w:color w:val="auto"/>
              </w:rPr>
              <w:t>DGPV Holdco 3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Distributed Solar</w:t>
            </w:r>
          </w:p>
        </w:tc>
        <w:tc>
          <w:tcPr>
            <w:tcW w:w="8680" w:type="dxa"/>
            <w:vAlign w:val="bottom"/>
          </w:tcPr>
          <w:p>
            <w:pPr>
              <w:ind w:left="28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2"/>
              </w:rPr>
              <w:t>Collectively, assets under common control acquired by the Company from NRG from January 1, 2014 through the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period ended August 31, 2018</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EBITDA</w:t>
            </w:r>
          </w:p>
        </w:tc>
        <w:tc>
          <w:tcPr>
            <w:tcW w:w="8680" w:type="dxa"/>
            <w:vAlign w:val="bottom"/>
          </w:tcPr>
          <w:p>
            <w:pPr>
              <w:ind w:left="280"/>
              <w:spacing w:after="0"/>
              <w:rPr>
                <w:sz w:val="20"/>
                <w:szCs w:val="20"/>
                <w:color w:val="auto"/>
              </w:rPr>
            </w:pPr>
            <w:r>
              <w:rPr>
                <w:rFonts w:ascii="Arial" w:cs="Arial" w:eastAsia="Arial" w:hAnsi="Arial"/>
                <w:sz w:val="18"/>
                <w:szCs w:val="18"/>
                <w:color w:val="auto"/>
              </w:rPr>
              <w:t>Earnings before interest, tax, depreciation and amortization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Economic Gross Margin</w:t>
            </w:r>
          </w:p>
        </w:tc>
        <w:tc>
          <w:tcPr>
            <w:tcW w:w="8680" w:type="dxa"/>
            <w:vAlign w:val="bottom"/>
          </w:tcPr>
          <w:p>
            <w:pPr>
              <w:ind w:left="28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ECP</w:t>
            </w:r>
          </w:p>
        </w:tc>
        <w:tc>
          <w:tcPr>
            <w:tcW w:w="8680" w:type="dxa"/>
            <w:vAlign w:val="bottom"/>
          </w:tcPr>
          <w:p>
            <w:pPr>
              <w:ind w:left="28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EGU</w:t>
            </w:r>
          </w:p>
        </w:tc>
        <w:tc>
          <w:tcPr>
            <w:tcW w:w="8680" w:type="dxa"/>
            <w:vAlign w:val="bottom"/>
          </w:tcPr>
          <w:p>
            <w:pPr>
              <w:ind w:left="280"/>
              <w:spacing w:after="0"/>
              <w:rPr>
                <w:sz w:val="20"/>
                <w:szCs w:val="20"/>
                <w:color w:val="auto"/>
              </w:rPr>
            </w:pPr>
            <w:r>
              <w:rPr>
                <w:rFonts w:ascii="Arial" w:cs="Arial" w:eastAsia="Arial" w:hAnsi="Arial"/>
                <w:sz w:val="18"/>
                <w:szCs w:val="18"/>
                <w:color w:val="auto"/>
              </w:rPr>
              <w:t>Electric Utility Generating Unit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EPA</w:t>
            </w:r>
          </w:p>
        </w:tc>
        <w:tc>
          <w:tcPr>
            <w:tcW w:w="8680" w:type="dxa"/>
            <w:vAlign w:val="bottom"/>
          </w:tcPr>
          <w:p>
            <w:pPr>
              <w:ind w:left="280"/>
              <w:spacing w:after="0"/>
              <w:rPr>
                <w:sz w:val="20"/>
                <w:szCs w:val="20"/>
                <w:color w:val="auto"/>
              </w:rPr>
            </w:pPr>
            <w:r>
              <w:rPr>
                <w:rFonts w:ascii="Arial" w:cs="Arial" w:eastAsia="Arial" w:hAnsi="Arial"/>
                <w:sz w:val="18"/>
                <w:szCs w:val="18"/>
                <w:color w:val="auto"/>
              </w:rPr>
              <w:t>U.S. Environmental Protection Agency</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EPC</w:t>
            </w:r>
          </w:p>
        </w:tc>
        <w:tc>
          <w:tcPr>
            <w:tcW w:w="8680" w:type="dxa"/>
            <w:vAlign w:val="bottom"/>
          </w:tcPr>
          <w:p>
            <w:pPr>
              <w:ind w:left="280"/>
              <w:spacing w:after="0"/>
              <w:rPr>
                <w:sz w:val="20"/>
                <w:szCs w:val="20"/>
                <w:color w:val="auto"/>
              </w:rPr>
            </w:pPr>
            <w:r>
              <w:rPr>
                <w:rFonts w:ascii="Arial" w:cs="Arial" w:eastAsia="Arial" w:hAnsi="Arial"/>
                <w:sz w:val="18"/>
                <w:szCs w:val="18"/>
                <w:color w:val="auto"/>
              </w:rPr>
              <w:t>Engineering, Procurement and Construction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Exchange Act</w:t>
            </w:r>
          </w:p>
        </w:tc>
        <w:tc>
          <w:tcPr>
            <w:tcW w:w="8680" w:type="dxa"/>
            <w:vAlign w:val="bottom"/>
          </w:tcPr>
          <w:p>
            <w:pPr>
              <w:ind w:left="2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FASB</w:t>
            </w:r>
          </w:p>
        </w:tc>
        <w:tc>
          <w:tcPr>
            <w:tcW w:w="868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GAAP</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GenConn</w:t>
            </w:r>
          </w:p>
        </w:tc>
        <w:tc>
          <w:tcPr>
            <w:tcW w:w="8680" w:type="dxa"/>
            <w:vAlign w:val="bottom"/>
          </w:tcPr>
          <w:p>
            <w:pPr>
              <w:ind w:left="28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GIP</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w w:val="95"/>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67"/>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w w:val="97"/>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51"/>
        </w:trPr>
        <w:tc>
          <w:tcPr>
            <w:tcW w:w="2680" w:type="dxa"/>
            <w:vAlign w:val="bottom"/>
          </w:tcPr>
          <w:p>
            <w:pPr>
              <w:spacing w:after="0"/>
              <w:rPr>
                <w:sz w:val="20"/>
                <w:szCs w:val="20"/>
                <w:color w:val="auto"/>
              </w:rPr>
            </w:pPr>
            <w:r>
              <w:rPr>
                <w:rFonts w:ascii="Arial" w:cs="Arial" w:eastAsia="Arial" w:hAnsi="Arial"/>
                <w:sz w:val="18"/>
                <w:szCs w:val="18"/>
                <w:color w:val="auto"/>
              </w:rPr>
              <w:t>GIP Transaction</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w w:val="94"/>
              </w:rPr>
              <w:t>On August 31, 2018, NRG transferred its full ownership interest in the Company to Clearway Energy Group LLC</w:t>
            </w:r>
          </w:p>
        </w:tc>
        <w:tc>
          <w:tcPr>
            <w:tcW w:w="0" w:type="dxa"/>
            <w:vAlign w:val="bottom"/>
          </w:tcPr>
          <w:p>
            <w:pPr>
              <w:spacing w:after="0"/>
              <w:rPr>
                <w:sz w:val="1"/>
                <w:szCs w:val="1"/>
                <w:color w:val="auto"/>
              </w:rPr>
            </w:pPr>
          </w:p>
        </w:tc>
      </w:tr>
      <w:tr>
        <w:trPr>
          <w:trHeight w:val="67"/>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w w:val="96"/>
              </w:rPr>
              <w:t>and subsequently sold 100% of its interests in Clearway Energy Group LLC, which includes NRG's renewable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w w:val="91"/>
              </w:rPr>
              <w:t>energy development and operations platform, to an affiliate of GIP. GIP, NRG and the Company also entered into a</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w w:val="96"/>
              </w:rPr>
              <w:t>consent and indemnity agreement in connection with the purchase and sale agreement, which was signed on</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February 6, 2018</w:t>
            </w:r>
          </w:p>
        </w:tc>
        <w:tc>
          <w:tcPr>
            <w:tcW w:w="0" w:type="dxa"/>
            <w:vAlign w:val="bottom"/>
          </w:tcPr>
          <w:p>
            <w:pPr>
              <w:spacing w:after="0"/>
              <w:rPr>
                <w:sz w:val="1"/>
                <w:szCs w:val="1"/>
                <w:color w:val="auto"/>
              </w:rPr>
            </w:pPr>
          </w:p>
        </w:tc>
      </w:tr>
      <w:tr>
        <w:trPr>
          <w:trHeight w:val="351"/>
        </w:trPr>
        <w:tc>
          <w:tcPr>
            <w:tcW w:w="2680" w:type="dxa"/>
            <w:vAlign w:val="bottom"/>
          </w:tcPr>
          <w:p>
            <w:pPr>
              <w:spacing w:after="0"/>
              <w:rPr>
                <w:sz w:val="20"/>
                <w:szCs w:val="20"/>
                <w:color w:val="auto"/>
              </w:rPr>
            </w:pPr>
            <w:r>
              <w:rPr>
                <w:rFonts w:ascii="Arial" w:cs="Arial" w:eastAsia="Arial" w:hAnsi="Arial"/>
                <w:sz w:val="18"/>
                <w:szCs w:val="18"/>
                <w:color w:val="auto"/>
              </w:rPr>
              <w:t>HLBV</w:t>
            </w:r>
          </w:p>
        </w:tc>
        <w:tc>
          <w:tcPr>
            <w:tcW w:w="8680" w:type="dxa"/>
            <w:vAlign w:val="bottom"/>
          </w:tcPr>
          <w:p>
            <w:pPr>
              <w:ind w:left="28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IASB</w:t>
            </w:r>
          </w:p>
        </w:tc>
        <w:tc>
          <w:tcPr>
            <w:tcW w:w="8680" w:type="dxa"/>
            <w:vAlign w:val="bottom"/>
          </w:tcPr>
          <w:p>
            <w:pPr>
              <w:ind w:left="28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0"/>
                <w:szCs w:val="20"/>
                <w:color w:val="auto"/>
              </w:rPr>
            </w:pPr>
            <w:r>
              <w:rPr>
                <w:rFonts w:ascii="Arial" w:cs="Arial" w:eastAsia="Arial" w:hAnsi="Arial"/>
                <w:sz w:val="18"/>
                <w:szCs w:val="18"/>
                <w:color w:val="auto"/>
              </w:rPr>
              <w:t>ISO</w:t>
            </w:r>
          </w:p>
        </w:tc>
        <w:tc>
          <w:tcPr>
            <w:tcW w:w="8680" w:type="dxa"/>
            <w:vAlign w:val="bottom"/>
          </w:tcPr>
          <w:p>
            <w:pPr>
              <w:ind w:left="28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KPPH</w:t>
            </w:r>
          </w:p>
        </w:tc>
        <w:tc>
          <w:tcPr>
            <w:tcW w:w="8680" w:type="dxa"/>
            <w:vAlign w:val="bottom"/>
          </w:tcPr>
          <w:p>
            <w:pPr>
              <w:ind w:left="280"/>
              <w:spacing w:after="0"/>
              <w:rPr>
                <w:sz w:val="20"/>
                <w:szCs w:val="20"/>
                <w:color w:val="auto"/>
              </w:rPr>
            </w:pPr>
            <w:r>
              <w:rPr>
                <w:rFonts w:ascii="Arial" w:cs="Arial" w:eastAsia="Arial" w:hAnsi="Arial"/>
                <w:sz w:val="18"/>
                <w:szCs w:val="18"/>
                <w:color w:val="auto"/>
              </w:rPr>
              <w:t>Kilo Pascals Per Hour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LIBOR</w:t>
            </w:r>
          </w:p>
        </w:tc>
        <w:tc>
          <w:tcPr>
            <w:tcW w:w="8680" w:type="dxa"/>
            <w:vAlign w:val="bottom"/>
          </w:tcPr>
          <w:p>
            <w:pPr>
              <w:ind w:left="2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March 2017 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w w:val="92"/>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(defined below), both acquired by the Company on March 27, 2017</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MBTA</w:t>
            </w:r>
          </w:p>
        </w:tc>
        <w:tc>
          <w:tcPr>
            <w:tcW w:w="8680" w:type="dxa"/>
            <w:vAlign w:val="bottom"/>
          </w:tcPr>
          <w:p>
            <w:pPr>
              <w:ind w:left="28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MMBtu</w:t>
            </w:r>
          </w:p>
        </w:tc>
        <w:tc>
          <w:tcPr>
            <w:tcW w:w="8680" w:type="dxa"/>
            <w:vAlign w:val="bottom"/>
          </w:tcPr>
          <w:p>
            <w:pPr>
              <w:ind w:left="28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MW</w:t>
            </w:r>
          </w:p>
        </w:tc>
        <w:tc>
          <w:tcPr>
            <w:tcW w:w="8680" w:type="dxa"/>
            <w:vAlign w:val="bottom"/>
          </w:tcPr>
          <w:p>
            <w:pPr>
              <w:ind w:left="28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MWh</w:t>
            </w:r>
          </w:p>
        </w:tc>
        <w:tc>
          <w:tcPr>
            <w:tcW w:w="8680" w:type="dxa"/>
            <w:vAlign w:val="bottom"/>
          </w:tcPr>
          <w:p>
            <w:pPr>
              <w:ind w:left="28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MWt</w:t>
            </w:r>
          </w:p>
        </w:tc>
        <w:tc>
          <w:tcPr>
            <w:tcW w:w="8680" w:type="dxa"/>
            <w:vAlign w:val="bottom"/>
          </w:tcPr>
          <w:p>
            <w:pPr>
              <w:ind w:left="28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NERC</w:t>
            </w:r>
          </w:p>
        </w:tc>
        <w:tc>
          <w:tcPr>
            <w:tcW w:w="8680" w:type="dxa"/>
            <w:vAlign w:val="bottom"/>
          </w:tcPr>
          <w:p>
            <w:pPr>
              <w:ind w:left="28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Net Exposure</w:t>
            </w:r>
          </w:p>
        </w:tc>
        <w:tc>
          <w:tcPr>
            <w:tcW w:w="8680" w:type="dxa"/>
            <w:vAlign w:val="bottom"/>
          </w:tcPr>
          <w:p>
            <w:pPr>
              <w:ind w:left="28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NPPD</w:t>
            </w:r>
          </w:p>
        </w:tc>
        <w:tc>
          <w:tcPr>
            <w:tcW w:w="8680" w:type="dxa"/>
            <w:vAlign w:val="bottom"/>
          </w:tcPr>
          <w:p>
            <w:pPr>
              <w:ind w:left="28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NRG</w:t>
            </w:r>
          </w:p>
        </w:tc>
        <w:tc>
          <w:tcPr>
            <w:tcW w:w="8680" w:type="dxa"/>
            <w:vAlign w:val="bottom"/>
          </w:tcPr>
          <w:p>
            <w:pPr>
              <w:ind w:left="28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NRG ROFO Agreement</w:t>
            </w:r>
          </w:p>
        </w:tc>
        <w:tc>
          <w:tcPr>
            <w:tcW w:w="8680" w:type="dxa"/>
            <w:vAlign w:val="bottom"/>
          </w:tcPr>
          <w:p>
            <w:pPr>
              <w:ind w:left="280"/>
              <w:spacing w:after="0"/>
              <w:rPr>
                <w:sz w:val="20"/>
                <w:szCs w:val="20"/>
                <w:color w:val="auto"/>
              </w:rPr>
            </w:pPr>
            <w:r>
              <w:rPr>
                <w:rFonts w:ascii="Arial" w:cs="Arial" w:eastAsia="Arial" w:hAnsi="Arial"/>
                <w:sz w:val="18"/>
                <w:szCs w:val="18"/>
                <w:color w:val="auto"/>
                <w:w w:val="92"/>
              </w:rPr>
              <w:t>Third Amended and Restated Right of First Offer Agreement, entered into as of August 31, 2018, by and between</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NRG Energy, Inc. and the Company</w:t>
            </w:r>
          </w:p>
        </w:tc>
        <w:tc>
          <w:tcPr>
            <w:tcW w:w="0" w:type="dxa"/>
            <w:vAlign w:val="bottom"/>
          </w:tcPr>
          <w:p>
            <w:pPr>
              <w:spacing w:after="0"/>
              <w:rPr>
                <w:sz w:val="1"/>
                <w:szCs w:val="1"/>
                <w:color w:val="auto"/>
              </w:rPr>
            </w:pPr>
          </w:p>
        </w:tc>
      </w:tr>
      <w:tr>
        <w:trPr>
          <w:trHeight w:val="486"/>
        </w:trPr>
        <w:tc>
          <w:tcPr>
            <w:tcW w:w="2680" w:type="dxa"/>
            <w:vAlign w:val="bottom"/>
          </w:tcPr>
          <w:p>
            <w:pPr>
              <w:spacing w:after="0"/>
              <w:rPr>
                <w:sz w:val="24"/>
                <w:szCs w:val="24"/>
                <w:color w:val="auto"/>
              </w:rPr>
            </w:pPr>
          </w:p>
        </w:tc>
        <w:tc>
          <w:tcPr>
            <w:tcW w:w="8680" w:type="dxa"/>
            <w:vAlign w:val="bottom"/>
          </w:tcPr>
          <w:p>
            <w:pPr>
              <w:ind w:left="29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360"/>
          </w:cols>
          <w:pgMar w:left="280" w:top="908" w:right="25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NRG 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Transition Services Agreement dated as of August 31, 2018 by and between NRG Energy, Inc. and the Company</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sectPr>
      </w:pPr>
    </w:p>
    <w:p>
      <w:pPr>
        <w:spacing w:after="0"/>
        <w:rPr>
          <w:sz w:val="20"/>
          <w:szCs w:val="20"/>
          <w:color w:val="auto"/>
        </w:rPr>
      </w:pPr>
      <w:r>
        <w:rPr>
          <w:rFonts w:ascii="Arial" w:cs="Arial" w:eastAsia="Arial" w:hAnsi="Arial"/>
          <w:sz w:val="16"/>
          <w:szCs w:val="16"/>
          <w:color w:val="auto"/>
        </w:rPr>
        <w:t>OECD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Organization for Economic Co-operation and Development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O&amp;M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Operation and Maintenance</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PG&amp;E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Pacific Gas and Electric Company</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PG&amp;E Bankruptcy</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On January 29, 2019, PG&amp;E Corporation and Pacific Gas and Electric Company filed voluntary petitions for relief under the Bankruptcy Code in the U.S. Bankruptcy Court for the Northern District of California</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RENOM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Clearway Renewable Operation &amp; Maintenance LLC</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Right of First Offer</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RPV Holdco 1 LLC</w:t>
      </w:r>
    </w:p>
    <w:p>
      <w:pPr>
        <w:spacing w:after="0" w:line="7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Originator</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Collectively, the 2024 Senior Notes and the 2026 Senior Notes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4"/>
          <w:szCs w:val="14"/>
          <w:color w:val="auto"/>
        </w:rPr>
        <w:t>SPP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Solar Power Partners</w:t>
      </w:r>
    </w:p>
    <w:p>
      <w:pPr>
        <w:spacing w:after="0" w:line="9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Tax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Tax Cuts and Jobs Act of 2017</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Wind TE Holdco Noncontrolling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ectPr>
          <w:pgSz w:w="11900" w:h="16838" w:orient="portrait"/>
          <w:cols w:equalWidth="0" w:num="1">
            <w:col w:w="11360"/>
          </w:cols>
          <w:pgMar w:left="280" w:top="908" w:right="25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7"/>
          <w:szCs w:val="17"/>
          <w:color w:val="auto"/>
        </w:rPr>
        <w:t>TSA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Transition Services Agreement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UPMC Thermal Project</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University of Pittsburgh Medical Center Thermal Project, a 73 MWt district energy system that allows ECP to provide steam, chilled water and 7.5 MW of emergency backup power service to UPMC</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 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Department of Energy</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Wind TE Holdco LLC, an 814 net MW portfolio of twelve wind projects</w:t>
      </w:r>
    </w:p>
    <w:p>
      <w:pPr>
        <w:spacing w:after="0" w:line="200"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908"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Transaction and integration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Development costs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Other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7"/>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(Loss) Income Attributable to Clearway Energy LLC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29"/>
        </w:trPr>
        <w:tc>
          <w:tcPr>
            <w:tcW w:w="88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8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884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(Loss) Gain</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gain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r>
      <w:tr>
        <w:trPr>
          <w:trHeight w:val="237"/>
        </w:trPr>
        <w:tc>
          <w:tcPr>
            <w:tcW w:w="40" w:type="dxa"/>
            <w:vAlign w:val="bottom"/>
          </w:tcPr>
          <w:p>
            <w:pPr>
              <w:spacing w:after="0"/>
              <w:rPr>
                <w:sz w:val="20"/>
                <w:szCs w:val="20"/>
                <w:color w:val="auto"/>
              </w:rPr>
            </w:pPr>
          </w:p>
        </w:tc>
        <w:tc>
          <w:tcPr>
            <w:tcW w:w="8800" w:type="dxa"/>
            <w:vAlign w:val="bottom"/>
            <w:gridSpan w:val="2"/>
          </w:tcPr>
          <w:p>
            <w:pPr>
              <w:ind w:left="560"/>
              <w:spacing w:after="0"/>
              <w:rPr>
                <w:sz w:val="20"/>
                <w:szCs w:val="20"/>
                <w:color w:val="auto"/>
              </w:rPr>
            </w:pPr>
            <w:r>
              <w:rPr>
                <w:rFonts w:ascii="Arial" w:cs="Arial" w:eastAsia="Arial" w:hAnsi="Arial"/>
                <w:sz w:val="18"/>
                <w:szCs w:val="18"/>
                <w:color w:val="auto"/>
              </w:rPr>
              <w:t>Other comprehensive (loss) gain</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8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r>
      <w:tr>
        <w:trPr>
          <w:trHeight w:val="237"/>
        </w:trPr>
        <w:tc>
          <w:tcPr>
            <w:tcW w:w="40" w:type="dxa"/>
            <w:vAlign w:val="bottom"/>
          </w:tcPr>
          <w:p>
            <w:pPr>
              <w:spacing w:after="0"/>
              <w:rPr>
                <w:sz w:val="20"/>
                <w:szCs w:val="20"/>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Income Attributable to Clearway Energy LLC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March 31, 2019</w:t>
            </w:r>
          </w:p>
        </w:tc>
        <w:tc>
          <w:tcPr>
            <w:tcW w:w="240" w:type="dxa"/>
            <w:vAlign w:val="bottom"/>
          </w:tcPr>
          <w:p>
            <w:pPr>
              <w:spacing w:after="0"/>
              <w:rPr>
                <w:sz w:val="14"/>
                <w:szCs w:val="14"/>
                <w:color w:val="auto"/>
              </w:rPr>
            </w:pPr>
          </w:p>
        </w:tc>
        <w:tc>
          <w:tcPr>
            <w:tcW w:w="1700" w:type="dxa"/>
            <w:vAlign w:val="bottom"/>
          </w:tcPr>
          <w:p>
            <w:pPr>
              <w:jc w:val="right"/>
              <w:ind w:right="31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8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Right of use assets, net</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360"/>
              <w:spacing w:after="0"/>
              <w:rPr>
                <w:sz w:val="20"/>
                <w:szCs w:val="20"/>
                <w:color w:val="auto"/>
              </w:rPr>
            </w:pPr>
            <w:r>
              <w:rPr>
                <w:rFonts w:ascii="Arial" w:cs="Arial" w:eastAsia="Arial" w:hAnsi="Arial"/>
                <w:sz w:val="16"/>
                <w:szCs w:val="16"/>
                <w:color w:val="auto"/>
              </w:rPr>
              <w:t>Total other assets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vMerge w:val="restart"/>
          </w:tcPr>
          <w:p>
            <w:pPr>
              <w:jc w:val="center"/>
              <w:ind w:right="714"/>
              <w:spacing w:after="0"/>
              <w:rPr>
                <w:sz w:val="20"/>
                <w:szCs w:val="20"/>
                <w:color w:val="auto"/>
              </w:rPr>
            </w:pPr>
            <w:r>
              <w:rPr>
                <w:rFonts w:ascii="Arial" w:cs="Arial" w:eastAsia="Arial" w:hAnsi="Arial"/>
                <w:sz w:val="16"/>
                <w:szCs w:val="16"/>
                <w:b w:val="1"/>
                <w:bCs w:val="1"/>
                <w:color w:val="auto"/>
              </w:rPr>
              <w:t>LIABILITIES AND MEMBERS' EQUITY</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 — external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 —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Accounts payable — trade</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Accrued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6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1"/>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Long-term debt — affiliate</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Long-term lease liabilities</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ind w:left="26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31"/>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Members'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Contributed capital</w:t>
            </w:r>
          </w:p>
        </w:tc>
        <w:tc>
          <w:tcPr>
            <w:tcW w:w="2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(Accumulated deficit) 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0" w:type="dxa"/>
            <w:vAlign w:val="bottom"/>
            <w:gridSpan w:val="2"/>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762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8,410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742" w:right="259" w:bottom="991"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264"/>
        </w:trPr>
        <w:tc>
          <w:tcPr>
            <w:tcW w:w="87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r>
      <w:tr>
        <w:trPr>
          <w:trHeight w:val="250"/>
        </w:trPr>
        <w:tc>
          <w:tcPr>
            <w:tcW w:w="8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8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derivative instruments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Loss on disposal of asset components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Changes in other working capital</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interest in Oahu Partnership</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Acquisition of the Buckthorn Solar Drop Down Asset</w:t>
            </w:r>
          </w:p>
        </w:tc>
        <w:tc>
          <w:tcPr>
            <w:tcW w:w="86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(42)</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Buyout of Wind TE Holdco noncontrolling interest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(18)</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receipts from notes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of distributions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(55)</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 — external</w:t>
            </w:r>
          </w:p>
        </w:tc>
        <w:tc>
          <w:tcPr>
            <w:tcW w:w="860" w:type="dxa"/>
            <w:vAlign w:val="bottom"/>
          </w:tcPr>
          <w:p>
            <w:pPr>
              <w:spacing w:after="0"/>
              <w:rPr>
                <w:sz w:val="21"/>
                <w:szCs w:val="21"/>
                <w:color w:val="auto"/>
              </w:rPr>
            </w:pPr>
          </w:p>
        </w:tc>
        <w:tc>
          <w:tcPr>
            <w:tcW w:w="5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 — external</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(79)</w:t>
            </w: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Payments for long-term debt — affiliate</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(222)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(70)</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(287)</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w:t>
            </w:r>
          </w:p>
        </w:tc>
      </w:tr>
      <w:tr>
        <w:trPr>
          <w:trHeight w:val="27"/>
        </w:trPr>
        <w:tc>
          <w:tcPr>
            <w:tcW w:w="8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314</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266</w:t>
            </w:r>
          </w:p>
        </w:tc>
      </w:tr>
      <w:tr>
        <w:trPr>
          <w:trHeight w:val="20"/>
        </w:trPr>
        <w:tc>
          <w:tcPr>
            <w:tcW w:w="8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Retained Earnings</w:t>
            </w: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Contributed</w:t>
            </w:r>
          </w:p>
        </w:tc>
        <w:tc>
          <w:tcPr>
            <w:tcW w:w="13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1,940</w:t>
            </w: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Arial" w:cs="Arial" w:eastAsia="Arial" w:hAnsi="Arial"/>
                <w:sz w:val="16"/>
                <w:szCs w:val="16"/>
                <w:color w:val="auto"/>
              </w:rPr>
              <w:t>Unrealized (loss) gain on derivatives</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Buyout of Wind TE Holdco 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Arial" w:cs="Arial" w:eastAsia="Arial" w:hAnsi="Arial"/>
                <w:sz w:val="16"/>
                <w:szCs w:val="16"/>
                <w:color w:val="auto"/>
                <w:w w:val="94"/>
              </w:rPr>
              <w:t>Capital contributions from tax equity investors, net of distributions, cash</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7"/>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Contributions from CEG for Oahu Partnership, non-cash</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Arial" w:cs="Arial" w:eastAsia="Arial" w:hAnsi="Arial"/>
                <w:sz w:val="16"/>
                <w:szCs w:val="16"/>
                <w:color w:val="auto"/>
              </w:rPr>
              <w:t>Cumulative effect from change in accounting principle</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7"/>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47"/>
        </w:trPr>
        <w:tc>
          <w:tcPr>
            <w:tcW w:w="48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18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8"/>
              </w:rPr>
              <w:t>Members'</w:t>
            </w:r>
          </w:p>
        </w:tc>
        <w:tc>
          <w:tcPr>
            <w:tcW w:w="0" w:type="dxa"/>
            <w:vAlign w:val="bottom"/>
          </w:tcPr>
          <w:p>
            <w:pPr>
              <w:spacing w:after="0"/>
              <w:rPr>
                <w:sz w:val="1"/>
                <w:szCs w:val="1"/>
                <w:color w:val="auto"/>
              </w:rPr>
            </w:pPr>
          </w:p>
        </w:tc>
      </w:tr>
      <w:tr>
        <w:trPr>
          <w:trHeight w:val="192"/>
        </w:trPr>
        <w:tc>
          <w:tcPr>
            <w:tcW w:w="5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6"/>
                <w:szCs w:val="16"/>
                <w:color w:val="auto"/>
              </w:rPr>
            </w:pPr>
          </w:p>
        </w:tc>
        <w:tc>
          <w:tcPr>
            <w:tcW w:w="94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Balances at December 31,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1,919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Unrealized gain on derivatives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for the Buckthorn Solar Drop Down Asset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w w:val="98"/>
              </w:rPr>
              <w:t>Capital contributions from tax equity investors, net of distributions, cash</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NRG, net of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Distributions paid to NRG on Class B and Class D units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Balances at March 31,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1,852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was previously owned by NRG Energy, Inc., or NRG. On August 31, 2018, NRG transferred its full ownership interest in the Company to CEG, the holder of NRG's renewable energy development and operations platform, and subsequently sold 100% of its interest in CEG to GIP, referred to hereinafter as the GIP Transaction.</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The Company’s environmentally-sound asset portfolio includes over </w:t>
      </w:r>
      <w:r>
        <w:rPr>
          <w:rFonts w:ascii="Arial" w:cs="Arial" w:eastAsia="Arial" w:hAnsi="Arial"/>
          <w:sz w:val="16"/>
          <w:szCs w:val="16"/>
          <w:color w:val="231F20"/>
        </w:rPr>
        <w:t>5,272</w:t>
      </w:r>
      <w:r>
        <w:rPr>
          <w:rFonts w:ascii="Arial" w:cs="Arial" w:eastAsia="Arial" w:hAnsi="Arial"/>
          <w:sz w:val="16"/>
          <w:szCs w:val="16"/>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 For the complete listing of the company's generation assets, refer to Item 2 - </w:t>
      </w:r>
      <w:r>
        <w:rPr>
          <w:rFonts w:ascii="Arial" w:cs="Arial" w:eastAsia="Arial" w:hAnsi="Arial"/>
          <w:sz w:val="16"/>
          <w:szCs w:val="16"/>
          <w:i w:val="1"/>
          <w:iCs w:val="1"/>
          <w:color w:val="auto"/>
        </w:rPr>
        <w:t>MD&amp;A, Introduction, Environmental, Regulatory</w:t>
      </w:r>
      <w:r>
        <w:rPr>
          <w:rFonts w:ascii="Arial" w:cs="Arial" w:eastAsia="Arial" w:hAnsi="Arial"/>
          <w:sz w:val="16"/>
          <w:szCs w:val="16"/>
          <w:color w:val="auto"/>
        </w:rPr>
        <w:t xml:space="preserve"> to this Form 10-Q.</w:t>
      </w:r>
    </w:p>
    <w:p>
      <w:pPr>
        <w:spacing w:after="0" w:line="3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Company consolidates the results of Clearway Energy LLC through its controlling interest, with CEG's interest shown as noncontrolling interest in the financial statements. The holders of Clearway Energy, Inc.'s outstanding shares of Class A and Class C common stock are entitled to dividends as declared. CEG receives its distributions from Clearway Energy LLC through its ownership of Clearway Energy LLC Class B and Class D units. Clearway Energy, Inc. currently owns 55.8% of the economic interests of Clearway Energy LLC, with CEG retaining 44.2% of the economic interests of Clearway Energy LLC.</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2" w:name="page13"/>
    <w:bookmarkEnd w:id="12"/>
    <w:p>
      <w:pPr>
        <w:ind w:left="400"/>
        <w:spacing w:after="0"/>
        <w:rPr>
          <w:sz w:val="20"/>
          <w:szCs w:val="20"/>
          <w:color w:val="auto"/>
        </w:rPr>
      </w:pPr>
      <w:r>
        <w:rPr>
          <w:rFonts w:ascii="Arial" w:cs="Arial" w:eastAsia="Arial" w:hAnsi="Arial"/>
          <w:sz w:val="18"/>
          <w:szCs w:val="18"/>
          <w:color w:val="auto"/>
        </w:rPr>
        <w:t>The following table represents the structure of the Company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118110</wp:posOffset>
            </wp:positionV>
            <wp:extent cx="5848985" cy="4124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2018 Form 10-K. Interim results are not necessarily indicative of results for a full year.</w:t>
      </w:r>
    </w:p>
    <w:p>
      <w:pPr>
        <w:spacing w:after="0" w:line="10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2019 , and the results of operations, comprehensive income (loss) and cash flows for the three months ended March 31, 2019 and 2018.</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March 31, 2019, the Company had $1.4 billion of property, plant and equipment, net, $352 million investments in unconsolidated affiliates and $1.3 billion of borrowings with final maturity dates ranging from 2023 - 2038 related to these facilities. The related subsidiaries of the Company are parties to financing agreements consisting of non-recourse project level debt and, in certain cases, non-recourse holding company debt. The PG&amp;E Bankruptcy triggered defaults under the PPAs with PG&amp;E and such related financing agreements, and as a result, the Company recorded $1.3 billion of principal, net of the related unamortized debt issuance costs, as short-term debt as of March 31, 2019. As of May 6, 2019, PG&amp;E has neither assumed,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 xml:space="preserve">rejected, nor sought to renegotiate any of its contracts with the Company. The Company is actively seeking forbearance agreements with non-recourse project level lenders for each respective financing arrangement. For further discussion see Note 7, </w:t>
      </w:r>
      <w:r>
        <w:rPr>
          <w:rFonts w:ascii="Arial" w:cs="Arial" w:eastAsia="Arial" w:hAnsi="Arial"/>
          <w:sz w:val="18"/>
          <w:szCs w:val="18"/>
          <w:i w:val="1"/>
          <w:iCs w:val="1"/>
          <w:color w:val="auto"/>
        </w:rPr>
        <w:t>Long-term Debt.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Transition Services Agreement</w:t>
      </w:r>
    </w:p>
    <w:p>
      <w:pPr>
        <w:spacing w:after="0" w:line="171" w:lineRule="exact"/>
        <w:rPr>
          <w:sz w:val="20"/>
          <w:szCs w:val="20"/>
          <w:color w:val="auto"/>
        </w:rPr>
      </w:pPr>
    </w:p>
    <w:p>
      <w:pPr>
        <w:jc w:val="both"/>
        <w:ind w:left="80" w:firstLine="486"/>
        <w:spacing w:after="0" w:line="297" w:lineRule="auto"/>
        <w:rPr>
          <w:sz w:val="20"/>
          <w:szCs w:val="20"/>
          <w:color w:val="auto"/>
        </w:rPr>
      </w:pPr>
      <w:r>
        <w:rPr>
          <w:rFonts w:ascii="Arial" w:cs="Arial" w:eastAsia="Arial" w:hAnsi="Arial"/>
          <w:sz w:val="16"/>
          <w:szCs w:val="16"/>
          <w:color w:val="auto"/>
        </w:rPr>
        <w:t>As a result of the GIP Transaction, the Company entered into a Transition Services Agreement with NRG, or the NRG TSA, pursuant to which NRG or certain of its affiliates began providing certain services to the Company following the consummation of the GIP Transaction on August 31, 2018, in exchange for the payment of a fee in respect of such services. The agreement is effective until the earlier of June 30, 2019 or the date that all services are terminated by the Company. The Company may extend the term on a month-by-month basis no later than March 31, 2020 for a fixed monthly fee provided for in the agreement. Expenses related to the NRG TSA are recorded in transaction and integration costs in the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$80 million and $109 million as of March 31, 2019 and December 31, 2018, respectively.</w:t>
      </w:r>
    </w:p>
    <w:p>
      <w:pPr>
        <w:spacing w:after="0" w:line="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230"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December 31,</w:t>
            </w:r>
          </w:p>
        </w:tc>
      </w:tr>
      <w:tr>
        <w:trPr>
          <w:trHeight w:val="264"/>
        </w:trPr>
        <w:tc>
          <w:tcPr>
            <w:tcW w:w="7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r>
      <w:tr>
        <w:trPr>
          <w:trHeight w:val="223"/>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4"/>
          </w:tcPr>
          <w:p>
            <w:pPr>
              <w:ind w:left="720"/>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7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407</w:t>
            </w:r>
          </w:p>
        </w:tc>
      </w:tr>
      <w:tr>
        <w:trPr>
          <w:trHeight w:val="243"/>
        </w:trPr>
        <w:tc>
          <w:tcPr>
            <w:tcW w:w="72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176</w:t>
            </w:r>
          </w:p>
        </w:tc>
      </w:tr>
      <w:tr>
        <w:trPr>
          <w:trHeight w:val="27"/>
        </w:trPr>
        <w:tc>
          <w:tcPr>
            <w:tcW w:w="7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583</w:t>
            </w:r>
          </w:p>
        </w:tc>
      </w:tr>
      <w:tr>
        <w:trPr>
          <w:trHeight w:val="20"/>
        </w:trPr>
        <w:tc>
          <w:tcPr>
            <w:tcW w:w="7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Restricted cash consists primarily of funds held to satisfy the requirements of certain debt agreements and funds held within the Company's projects that are restricted in their use. As of March 31, 2019, these restricted funds were comprised of $57 million designated to fund operating expenses, approximately $43 million designated for current debt service payments, and $39 million restricted for reserves including debt service, performance obligations and other reserves, as well as capital expenditures. The remaining $42 million is held in distributions reserve accounts, of which $36 million related to subsidiaries affected by the PG&amp;E Bankruptcy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xml:space="preserve"> and may not be distributed during the pendency of the bankruptcy.</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March 31, 2019 and December 31, 2018:</w:t>
      </w:r>
    </w:p>
    <w:p>
      <w:pPr>
        <w:spacing w:after="0" w:line="293"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277"/>
              <w:spacing w:after="0"/>
              <w:rPr>
                <w:sz w:val="20"/>
                <w:szCs w:val="20"/>
                <w:color w:val="auto"/>
              </w:rPr>
            </w:pPr>
            <w:r>
              <w:rPr>
                <w:rFonts w:ascii="Arial" w:cs="Arial" w:eastAsia="Arial" w:hAnsi="Arial"/>
                <w:sz w:val="16"/>
                <w:szCs w:val="16"/>
                <w:b w:val="1"/>
                <w:bCs w:val="1"/>
                <w:color w:val="auto"/>
              </w:rPr>
              <w:t>March 31, 2019</w:t>
            </w:r>
          </w:p>
        </w:tc>
        <w:tc>
          <w:tcPr>
            <w:tcW w:w="280" w:type="dxa"/>
            <w:vAlign w:val="bottom"/>
          </w:tcPr>
          <w:p>
            <w:pPr>
              <w:spacing w:after="0"/>
              <w:rPr>
                <w:sz w:val="18"/>
                <w:szCs w:val="18"/>
                <w:color w:val="auto"/>
              </w:rPr>
            </w:pPr>
          </w:p>
        </w:tc>
        <w:tc>
          <w:tcPr>
            <w:tcW w:w="160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48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r>
      <w:tr>
        <w:trPr>
          <w:trHeight w:val="244"/>
        </w:trPr>
        <w:tc>
          <w:tcPr>
            <w:tcW w:w="48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3"/>
          </w:tcPr>
          <w:p>
            <w:pPr>
              <w:jc w:val="right"/>
              <w:ind w:right="135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Accumulated Depreciation</w:t>
            </w:r>
          </w:p>
        </w:tc>
        <w:tc>
          <w:tcPr>
            <w:tcW w:w="2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Intangible Assets Accumulated Amortization</w:t>
            </w:r>
          </w:p>
        </w:tc>
        <w:tc>
          <w:tcPr>
            <w:tcW w:w="2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308</w:t>
            </w:r>
          </w:p>
        </w:tc>
      </w:tr>
      <w:tr>
        <w:trPr>
          <w:trHeight w:val="648"/>
        </w:trPr>
        <w:tc>
          <w:tcPr>
            <w:tcW w:w="4820" w:type="dxa"/>
            <w:vAlign w:val="bottom"/>
          </w:tcPr>
          <w:p>
            <w:pPr>
              <w:spacing w:after="0"/>
              <w:rPr>
                <w:sz w:val="24"/>
                <w:szCs w:val="24"/>
                <w:color w:val="auto"/>
              </w:rPr>
            </w:pPr>
          </w:p>
        </w:tc>
        <w:tc>
          <w:tcPr>
            <w:tcW w:w="2620" w:type="dxa"/>
            <w:vAlign w:val="bottom"/>
          </w:tcPr>
          <w:p>
            <w:pPr>
              <w:jc w:val="right"/>
              <w:ind w:right="17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 xml:space="preserve">Noncontrolling interests represent the equity associated with CEG's interest in Repowering Partnership LLC, as described in Note 4,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Accounted for by the Equity Method and Variable Interest Entities, </w:t>
      </w:r>
      <w:r>
        <w:rPr>
          <w:rFonts w:ascii="Arial" w:cs="Arial" w:eastAsia="Arial" w:hAnsi="Arial"/>
          <w:sz w:val="17"/>
          <w:szCs w:val="17"/>
          <w:color w:val="auto"/>
        </w:rPr>
        <w:t>and third-party interests in the net assets under certain tax equity arrangements,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by the Company, that have been entered into to finance the cost of wind facilities eligible for tax credits.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distributions paid on Clearway Energy LLC's Class A, B, C and D units during the three months ended March 31, 2019:</w:t>
      </w:r>
    </w:p>
    <w:p>
      <w:pPr>
        <w:spacing w:after="0" w:line="200" w:lineRule="exact"/>
        <w:rPr>
          <w:sz w:val="20"/>
          <w:szCs w:val="20"/>
          <w:color w:val="auto"/>
        </w:rPr>
      </w:pPr>
    </w:p>
    <w:p>
      <w:pPr>
        <w:spacing w:after="0" w:line="215"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First Quarter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23495</wp:posOffset>
            </wp:positionV>
            <wp:extent cx="561721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17210" cy="180340"/>
                    </a:xfrm>
                    <a:prstGeom prst="rect">
                      <a:avLst/>
                    </a:prstGeom>
                    <a:noFill/>
                  </pic:spPr>
                </pic:pic>
              </a:graphicData>
            </a:graphic>
          </wp:anchor>
        </w:drawing>
      </w:r>
    </w:p>
    <w:p>
      <w:pPr>
        <w:spacing w:after="0" w:line="39" w:lineRule="exact"/>
        <w:rPr>
          <w:sz w:val="20"/>
          <w:szCs w:val="20"/>
          <w:color w:val="auto"/>
        </w:rPr>
      </w:pPr>
    </w:p>
    <w:p>
      <w:pPr>
        <w:ind w:left="1320"/>
        <w:spacing w:after="0"/>
        <w:tabs>
          <w:tab w:leader="none" w:pos="8800" w:val="left"/>
          <w:tab w:leader="none" w:pos="9720" w:val="left"/>
        </w:tabs>
        <w:rPr>
          <w:sz w:val="20"/>
          <w:szCs w:val="20"/>
          <w:color w:val="auto"/>
        </w:rPr>
      </w:pPr>
      <w:r>
        <w:rPr>
          <w:rFonts w:ascii="Arial" w:cs="Arial" w:eastAsia="Arial" w:hAnsi="Arial"/>
          <w:sz w:val="18"/>
          <w:szCs w:val="18"/>
          <w:b w:val="1"/>
          <w:bCs w:val="1"/>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0.20</w:t>
      </w:r>
    </w:p>
    <w:p>
      <w:pPr>
        <w:spacing w:after="0" w:line="20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May 1, 2019, Clearway Energy LLC declared a distribution on its Class A, Class B, Class C and Class D units of $0.20 per unit payable on June 17, 2019 to unit holders of record as of June 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04"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2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Renewable Energy Credits, or RECs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stated above, 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10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 of Emission Allowances</w:t>
      </w:r>
    </w:p>
    <w:p>
      <w:pPr>
        <w:spacing w:after="0" w:line="18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w:t>
      </w:r>
    </w:p>
    <w:p>
      <w:pPr>
        <w:spacing w:after="0" w:line="176"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1"/>
          </w:tcPr>
          <w:p>
            <w:pPr>
              <w:ind w:left="180"/>
              <w:spacing w:after="0"/>
              <w:rPr>
                <w:sz w:val="20"/>
                <w:szCs w:val="20"/>
                <w:color w:val="auto"/>
              </w:rPr>
            </w:pPr>
            <w:r>
              <w:rPr>
                <w:rFonts w:ascii="Arial" w:cs="Arial" w:eastAsia="Arial" w:hAnsi="Arial"/>
                <w:sz w:val="14"/>
                <w:szCs w:val="14"/>
                <w:b w:val="1"/>
                <w:bCs w:val="1"/>
                <w:color w:val="auto"/>
              </w:rPr>
              <w:t>Three months ended March 31, 2019</w:t>
            </w: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4"/>
              </w:rPr>
              <w:t>(In millions)</w:t>
            </w:r>
          </w:p>
        </w:tc>
        <w:tc>
          <w:tcPr>
            <w:tcW w:w="4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8"/>
              </w:rPr>
              <w:t>Renewables</w:t>
            </w:r>
          </w:p>
        </w:tc>
        <w:tc>
          <w:tcPr>
            <w:tcW w:w="260" w:type="dxa"/>
            <w:vAlign w:val="bottom"/>
            <w:gridSpan w:val="2"/>
            <w:vMerge w:val="restart"/>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380" w:type="dxa"/>
            <w:vAlign w:val="bottom"/>
          </w:tcPr>
          <w:p>
            <w:pPr>
              <w:spacing w:after="0"/>
              <w:rPr>
                <w:sz w:val="14"/>
                <w:szCs w:val="14"/>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1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60" w:type="dxa"/>
            <w:vAlign w:val="bottom"/>
            <w:tcBorders>
              <w:top w:val="single" w:sz="8" w:color="auto"/>
            </w:tcBorders>
          </w:tcPr>
          <w:p>
            <w:pPr>
              <w:spacing w:after="0"/>
              <w:rPr>
                <w:sz w:val="11"/>
                <w:szCs w:val="11"/>
                <w:color w:val="auto"/>
              </w:rPr>
            </w:pPr>
          </w:p>
        </w:tc>
        <w:tc>
          <w:tcPr>
            <w:tcW w:w="3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4"/>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24"/>
                <w:szCs w:val="24"/>
                <w:color w:val="auto"/>
              </w:rPr>
            </w:pPr>
          </w:p>
        </w:tc>
        <w:tc>
          <w:tcPr>
            <w:tcW w:w="1080" w:type="dxa"/>
            <w:vAlign w:val="bottom"/>
            <w:gridSpan w:val="4"/>
            <w:shd w:val="clear" w:color="auto" w:fill="CCEEFF"/>
          </w:tcPr>
          <w:p>
            <w:pPr>
              <w:jc w:val="right"/>
              <w:ind w:right="1"/>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Contract amortization</w:t>
            </w:r>
          </w:p>
        </w:tc>
        <w:tc>
          <w:tcPr>
            <w:tcW w:w="28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Mark-to-market for economic hedging activities</w:t>
            </w: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Other revenue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revenue</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1"/>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Less: Lease revenue</w:t>
            </w:r>
          </w:p>
        </w:tc>
        <w:tc>
          <w:tcPr>
            <w:tcW w:w="28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Contract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gridSpan w:val="2"/>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420" w:hanging="169"/>
        <w:spacing w:after="0"/>
        <w:tabs>
          <w:tab w:leader="none" w:pos="420" w:val="left"/>
        </w:tabs>
        <w:numPr>
          <w:ilvl w:val="0"/>
          <w:numId w:val="4"/>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-141605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90"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860" w:type="dxa"/>
            <w:vAlign w:val="bottom"/>
            <w:gridSpan w:val="3"/>
          </w:tcPr>
          <w:p>
            <w:pPr>
              <w:ind w:left="280"/>
              <w:spacing w:after="0"/>
              <w:rPr>
                <w:sz w:val="20"/>
                <w:szCs w:val="20"/>
                <w:color w:val="auto"/>
              </w:rPr>
            </w:pPr>
            <w:r>
              <w:rPr>
                <w:rFonts w:ascii="Arial" w:cs="Arial" w:eastAsia="Arial" w:hAnsi="Arial"/>
                <w:sz w:val="14"/>
                <w:szCs w:val="14"/>
                <w:b w:val="1"/>
                <w:bCs w:val="1"/>
                <w:color w:val="auto"/>
                <w:w w:val="93"/>
              </w:rPr>
              <w:t>Conventional Generation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ind w:left="480"/>
              <w:spacing w:after="0"/>
              <w:rPr>
                <w:sz w:val="20"/>
                <w:szCs w:val="20"/>
                <w:color w:val="auto"/>
              </w:rPr>
            </w:pPr>
            <w:r>
              <w:rPr>
                <w:rFonts w:ascii="Arial" w:cs="Arial" w:eastAsia="Arial" w:hAnsi="Arial"/>
                <w:sz w:val="14"/>
                <w:szCs w:val="14"/>
                <w:b w:val="1"/>
                <w:bCs w:val="1"/>
                <w:color w:val="auto"/>
              </w:rPr>
              <w:t>Renewables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
        </w:trPr>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 revenue</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43"/>
        </w:trPr>
        <w:tc>
          <w:tcPr>
            <w:tcW w:w="2100" w:type="dxa"/>
            <w:vAlign w:val="bottom"/>
          </w:tcPr>
          <w:p>
            <w:pPr>
              <w:ind w:left="40"/>
              <w:spacing w:after="0"/>
              <w:rPr>
                <w:sz w:val="20"/>
                <w:szCs w:val="20"/>
                <w:color w:val="auto"/>
              </w:rPr>
            </w:pPr>
            <w:r>
              <w:rPr>
                <w:rFonts w:ascii="Arial" w:cs="Arial" w:eastAsia="Arial" w:hAnsi="Arial"/>
                <w:sz w:val="16"/>
                <w:szCs w:val="16"/>
                <w:color w:val="auto"/>
              </w:rPr>
              <w:t>Capacity revenue</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79</w:t>
            </w:r>
          </w:p>
        </w:tc>
      </w:tr>
      <w:tr>
        <w:trPr>
          <w:trHeight w:val="27"/>
        </w:trPr>
        <w:tc>
          <w:tcPr>
            <w:tcW w:w="2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2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r>
      <w:tr>
        <w:trPr>
          <w:trHeight w:val="621"/>
        </w:trPr>
        <w:tc>
          <w:tcPr>
            <w:tcW w:w="2100" w:type="dxa"/>
            <w:vAlign w:val="bottom"/>
          </w:tcPr>
          <w:p>
            <w:pPr>
              <w:spacing w:after="0"/>
              <w:rPr>
                <w:sz w:val="24"/>
                <w:szCs w:val="24"/>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6" w:name="page17"/>
    <w:bookmarkEnd w:id="16"/>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March 31, 2018</w:t>
            </w: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1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36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Thermal</w:t>
            </w:r>
          </w:p>
        </w:tc>
        <w:tc>
          <w:tcPr>
            <w:tcW w:w="420" w:type="dxa"/>
            <w:vAlign w:val="bottom"/>
          </w:tcPr>
          <w:p>
            <w:pPr>
              <w:spacing w:after="0"/>
              <w:rPr>
                <w:sz w:val="14"/>
                <w:szCs w:val="14"/>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Generation</w:t>
            </w:r>
          </w:p>
        </w:tc>
        <w:tc>
          <w:tcPr>
            <w:tcW w:w="2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5"/>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11"/>
        </w:trPr>
        <w:tc>
          <w:tcPr>
            <w:tcW w:w="20" w:type="dxa"/>
            <w:vAlign w:val="bottom"/>
            <w:shd w:val="clear" w:color="auto" w:fill="CCEEFF"/>
          </w:tcPr>
          <w:p>
            <w:pPr>
              <w:spacing w:after="0"/>
              <w:rPr>
                <w:sz w:val="24"/>
                <w:szCs w:val="24"/>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140" w:type="dxa"/>
            <w:vAlign w:val="bottom"/>
            <w:shd w:val="clear" w:color="auto" w:fill="CCEEFF"/>
          </w:tcPr>
          <w:p>
            <w:pPr>
              <w:spacing w:after="0"/>
              <w:rPr>
                <w:sz w:val="24"/>
                <w:szCs w:val="24"/>
                <w:color w:val="auto"/>
              </w:rPr>
            </w:pP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Borders>
              <w:bottom w:val="single" w:sz="8" w:color="CCEEFF"/>
            </w:tcBorders>
            <w:shd w:val="clear" w:color="auto" w:fill="CCEEFF"/>
          </w:tcPr>
          <w:p>
            <w:pPr>
              <w:spacing w:after="0"/>
              <w:rPr>
                <w:sz w:val="24"/>
                <w:szCs w:val="24"/>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Total operating revenue</w:t>
            </w:r>
          </w:p>
        </w:tc>
        <w:tc>
          <w:tcPr>
            <w:tcW w:w="1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gridSpan w:val="5"/>
          </w:tcPr>
          <w:p>
            <w:pPr>
              <w:jc w:val="right"/>
              <w:ind w:right="12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Lease revenue</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6"/>
                <w:szCs w:val="16"/>
                <w:color w:val="auto"/>
              </w:rPr>
              <w:t>Less: Contract amortization</w:t>
            </w:r>
          </w:p>
        </w:tc>
        <w:tc>
          <w:tcPr>
            <w:tcW w:w="140" w:type="dxa"/>
            <w:vAlign w:val="bottom"/>
          </w:tcPr>
          <w:p>
            <w:pPr>
              <w:spacing w:after="0"/>
              <w:rPr>
                <w:sz w:val="24"/>
                <w:szCs w:val="24"/>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gridSpan w:val="2"/>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4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ind w:left="420" w:hanging="169"/>
        <w:spacing w:after="0"/>
        <w:tabs>
          <w:tab w:leader="none" w:pos="420" w:val="left"/>
        </w:tabs>
        <w:numPr>
          <w:ilvl w:val="0"/>
          <w:numId w:val="5"/>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-141605</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2"/>
              </w:rPr>
              <w:t>Conventional Generation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Renewables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Total</w:t>
            </w:r>
          </w:p>
        </w:tc>
      </w:tr>
      <w:tr>
        <w:trPr>
          <w:trHeight w:val="21"/>
        </w:trPr>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r>
      <w:tr>
        <w:trPr>
          <w:trHeight w:val="243"/>
        </w:trPr>
        <w:tc>
          <w:tcPr>
            <w:tcW w:w="214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r>
      <w:tr>
        <w:trPr>
          <w:trHeight w:val="27"/>
        </w:trPr>
        <w:tc>
          <w:tcPr>
            <w:tcW w:w="2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2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r>
      <w:tr>
        <w:trPr>
          <w:trHeight w:val="27"/>
        </w:trPr>
        <w:tc>
          <w:tcPr>
            <w:tcW w:w="2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March 31, 2019:</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 millions)</w:t>
            </w:r>
          </w:p>
        </w:tc>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March 31, 2019</w:t>
            </w:r>
          </w:p>
        </w:tc>
        <w:tc>
          <w:tcPr>
            <w:tcW w:w="360" w:type="dxa"/>
            <w:vAlign w:val="bottom"/>
          </w:tcPr>
          <w:p>
            <w:pPr>
              <w:spacing w:after="0"/>
              <w:rPr>
                <w:sz w:val="14"/>
                <w:szCs w:val="14"/>
                <w:color w:val="auto"/>
              </w:rPr>
            </w:pPr>
          </w:p>
        </w:tc>
      </w:tr>
      <w:tr>
        <w:trPr>
          <w:trHeight w:val="264"/>
        </w:trPr>
        <w:tc>
          <w:tcPr>
            <w:tcW w:w="40" w:type="dxa"/>
            <w:vAlign w:val="bottom"/>
          </w:tcPr>
          <w:p>
            <w:pPr>
              <w:spacing w:after="0"/>
              <w:rPr>
                <w:sz w:val="22"/>
                <w:szCs w:val="22"/>
                <w:color w:val="auto"/>
              </w:rPr>
            </w:pPr>
          </w:p>
        </w:tc>
        <w:tc>
          <w:tcPr>
            <w:tcW w:w="8860" w:type="dxa"/>
            <w:vAlign w:val="bottom"/>
            <w:gridSpan w:val="2"/>
          </w:tcPr>
          <w:p>
            <w:pPr>
              <w:spacing w:after="0"/>
              <w:rPr>
                <w:sz w:val="20"/>
                <w:szCs w:val="20"/>
                <w:color w:val="auto"/>
              </w:rPr>
            </w:pPr>
            <w:r>
              <w:rPr>
                <w:rFonts w:ascii="Arial" w:cs="Arial" w:eastAsia="Arial" w:hAnsi="Arial"/>
                <w:sz w:val="16"/>
                <w:szCs w:val="16"/>
                <w:color w:val="auto"/>
              </w:rPr>
              <w:t>Accounts receivable, net - Contracts with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receivable, net - Leases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64"/>
        </w:trPr>
        <w:tc>
          <w:tcPr>
            <w:tcW w:w="40" w:type="dxa"/>
            <w:vAlign w:val="bottom"/>
          </w:tcPr>
          <w:p>
            <w:pPr>
              <w:spacing w:after="0"/>
              <w:rPr>
                <w:sz w:val="22"/>
                <w:szCs w:val="22"/>
                <w:color w:val="auto"/>
              </w:rPr>
            </w:pPr>
          </w:p>
        </w:tc>
        <w:tc>
          <w:tcPr>
            <w:tcW w:w="8860" w:type="dxa"/>
            <w:vAlign w:val="bottom"/>
            <w:gridSpan w:val="2"/>
          </w:tcPr>
          <w:p>
            <w:pPr>
              <w:spacing w:after="0"/>
              <w:rPr>
                <w:sz w:val="20"/>
                <w:szCs w:val="20"/>
                <w:color w:val="auto"/>
              </w:rPr>
            </w:pPr>
            <w:r>
              <w:rPr>
                <w:rFonts w:ascii="Arial" w:cs="Arial" w:eastAsia="Arial" w:hAnsi="Arial"/>
                <w:sz w:val="16"/>
                <w:szCs w:val="16"/>
                <w:color w:val="auto"/>
              </w:rPr>
              <w:t xml:space="preserve">Total accounts receivable, net </w:t>
            </w:r>
            <w:r>
              <w:rPr>
                <w:rFonts w:ascii="Arial" w:cs="Arial" w:eastAsia="Arial" w:hAnsi="Arial"/>
                <w:sz w:val="21"/>
                <w:szCs w:val="21"/>
                <w:color w:val="auto"/>
                <w:vertAlign w:val="superscript"/>
              </w:rPr>
              <w:t>(a)</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91</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Total accounts receivable, net, excludes $5 million generated at projects affected by PG&amp;E Bankruptcy, which were reclassified to non-current assets as of March 31, 2019</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6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UPMC Thermal Project Asset Acquisition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19, 2018, upon reaching substantial completion, the Company acquired from NRG the UPMC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Thermal Project for cash consideration of $84 million, subject to working capital adjustments. The Company had a payable of $4 million to NRG as of December 31, 2018, $3 million of which was paid in January 2019 upon final completion of the project pursuant to the EPC agreement. The project added 73 MWt of thermal equivalent capacity and 7.5 MW of emergency backup thermal capacity to the Company's portfolio. The transaction is reflected in the Company's Thermal segment. The acquisition was funded with the proceeds from the sale of the Series E Notes and Series F Notes. The assets transferred to the Company relate to interests under common control by NRG and were recorded at book value in accordance with ASC 805-50, </w:t>
      </w:r>
      <w:r>
        <w:rPr>
          <w:rFonts w:ascii="Arial" w:cs="Arial" w:eastAsia="Arial" w:hAnsi="Arial"/>
          <w:sz w:val="17"/>
          <w:szCs w:val="17"/>
          <w:i w:val="1"/>
          <w:iCs w:val="1"/>
          <w:color w:val="auto"/>
        </w:rPr>
        <w:t>Business Combinations -</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Issues</w:t>
      </w:r>
      <w:r>
        <w:rPr>
          <w:rFonts w:ascii="Arial" w:cs="Arial" w:eastAsia="Arial" w:hAnsi="Arial"/>
          <w:sz w:val="17"/>
          <w:szCs w:val="17"/>
          <w:color w:val="auto"/>
        </w:rPr>
        <w:t>. The difference between the purchase price and book value of the assets was recorded as a distribution to NRG and decreased the balance of</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contributed capital. The acquisition was determined to be an asset acquisition and not a business combination, and therefore no recast of the historical financial information was deemed necessary.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57" w:right="239" w:bottom="1440" w:gutter="0" w:footer="0" w:header="0"/>
        </w:sectPr>
      </w:pPr>
    </w:p>
    <w:bookmarkStart w:id="17" w:name="page18"/>
    <w:bookmarkEnd w:id="17"/>
    <w:p>
      <w:pPr>
        <w:jc w:val="both"/>
        <w:ind w:firstLine="405"/>
        <w:spacing w:after="0" w:line="314" w:lineRule="auto"/>
        <w:rPr>
          <w:sz w:val="20"/>
          <w:szCs w:val="20"/>
          <w:color w:val="auto"/>
        </w:rPr>
      </w:pPr>
      <w:r>
        <w:rPr>
          <w:rFonts w:ascii="Arial" w:cs="Arial" w:eastAsia="Arial" w:hAnsi="Arial"/>
          <w:sz w:val="16"/>
          <w:szCs w:val="16"/>
          <w:b w:val="1"/>
          <w:bCs w:val="1"/>
          <w:i w:val="1"/>
          <w:iCs w:val="1"/>
          <w:color w:val="auto"/>
        </w:rPr>
        <w:t xml:space="preserve">Central CA Fuel Cell 1,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18, 2018, the Company acquired the Central CA Fuel Cell 1, LLC project in Tulare, California from FuelCell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Buckthorn Solar Drop Down Asset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30, 2018, the Company acquired 100% of NRG's interests in Buckthorn Renewables, LLC,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owned a 154 MW construction-stage utility-scale solar generation project located in Texas, or the Buckthorn Solar Drop Down Asset, for cash consideration of $42 million. The Company also assumed non-recourse debt of $183 million and non-controlling interest of $19 million, as of the acquisition date, attributable to the Class A member.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entities' equity was recorded as a distribution to NRG and decreased the balance of contributed capital. Since the transaction constituted a transfer of net assets under common control, the guidance requires retrospective combination of the entities for all periods presented as if the combination had been in effect since the inception of common control.</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project sells power under a 25-year PPA to the City of Georgetown, Texas, which commenced in July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 xml:space="preserve">statements included in the Company's </w:t>
      </w:r>
      <w:r>
        <w:rPr>
          <w:rFonts w:ascii="Arial" w:cs="Arial" w:eastAsia="Arial" w:hAnsi="Arial"/>
          <w:sz w:val="18"/>
          <w:szCs w:val="18"/>
          <w:color w:val="000000"/>
        </w:rPr>
        <w:t>2018</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1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i w:val="1"/>
          <w:iCs w:val="1"/>
          <w:color w:val="auto"/>
        </w:rPr>
        <w:t xml:space="preserve">Oahu Partnership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31, 2018, the Company entered into an agreement with Clearway Renew, a subsidiary of CEG, to acquire the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which represent 15 MW and 46 MW respectively, the indirect subsidiaries of the Oahu Partnership, which are being developed in Oahu, Hawaii. The Oahu Solar projects are contracted to sell power under long-term PPAs with Hawaiian Electric Company, Inc.</w:t>
      </w:r>
    </w:p>
    <w:p>
      <w:pPr>
        <w:spacing w:after="0" w:line="11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On March 8, 2019, the Company made an initial capital contribution in the amount of $4 million, which represents 20% of its total anticipated capital contributions. The Company also assumed non-recourse debt in the amount of $143 million, as further described in Note 7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and a non-controlling interest in the amount of $18 million attributable to a tax equity investor's initial contribution. The Company also recorded a payable in the amount of $16 million due to Clearway Renew in accounts payable </w:t>
      </w:r>
      <w:r>
        <w:rPr>
          <w:rFonts w:ascii="Arial" w:cs="Arial" w:eastAsia="Arial" w:hAnsi="Arial"/>
          <w:sz w:val="16"/>
          <w:szCs w:val="16"/>
          <w:b w:val="1"/>
          <w:bCs w:val="1"/>
          <w:color w:val="auto"/>
        </w:rPr>
        <w:t>—</w:t>
      </w:r>
      <w:r>
        <w:rPr>
          <w:rFonts w:ascii="Arial" w:cs="Arial" w:eastAsia="Arial" w:hAnsi="Arial"/>
          <w:sz w:val="16"/>
          <w:szCs w:val="16"/>
          <w:color w:val="auto"/>
        </w:rPr>
        <w:t xml:space="preserve"> affiliate on the Company's consolidated balance sheets as of March 31, 2019. The payable represents the remaining 80% of the equity commitment and will be funded on the date the Oahu Solar LLC projects reaches substantial completion.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w:t>
      </w:r>
    </w:p>
    <w:p>
      <w:pPr>
        <w:spacing w:after="0" w:line="11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 xml:space="preserve">The Company's acquisition of the Class A membership interests in the Oahu Partnership was accounted for as a transfer of assets under common control and was recorded at historical cost in accordance with ASC 805-50,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The difference between the cash paid and payable recorded and the historical value of the assets was recorded as a contribution from CEG and increased the balance of its noncontrolling interest.</w:t>
      </w:r>
    </w:p>
    <w:p>
      <w:pPr>
        <w:spacing w:after="0" w:line="8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Repowering Partnership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30, 2018, Wind TE Holdco, an indirect subsidiary of the Company, entered into a partnership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Clearway Renew LLC, an indirect subsidiary of CEG, in order to facilitate the repowering of wind facilities of two of its indirect subsidiaries, Elbow Creek Wind Project LLC and Wildorado Wind LLC. Wind TE Holdco contributed its interests in the two facilities and Clearway Renew LLC contributed a turbine supply agreement, including title to certain components that qualify for production tax credits. Wind TE Holdco is the managing member of Repowering Partnership LLC and consolidates the entity, which is a VIE. Clearway Renew LLC is entitled to allocations of 21% of income, which is reflected in Wind TE Holdco’s noncontrolling interests.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18" w:name="page19"/>
    <w:bookmarkEnd w:id="18"/>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Wind TE Holdco Buyout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2, 2019, the Company bought out 100% of the Class A membership interests from the tax equity investor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TE Holdco,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12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Buckthorn Renewables,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30, 2018, the Company acquired 100% of NRG’s interest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member's interest in the tax equity fund is reflected as noncontrolling interest on the Company’s consolidated balance sheet. The Company utilizes the HLBV method to determine the net income or loss allocated to the tax equity investor noncontrolling interest.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March 31, 2019:</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Oahu Solar</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Alta Wind TE</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Buckthorn</w:t>
            </w:r>
          </w:p>
        </w:tc>
        <w:tc>
          <w:tcPr>
            <w:tcW w:w="140" w:type="dxa"/>
            <w:vAlign w:val="bottom"/>
          </w:tcPr>
          <w:p>
            <w:pPr>
              <w:spacing w:after="0"/>
              <w:rPr>
                <w:sz w:val="14"/>
                <w:szCs w:val="14"/>
                <w:color w:val="auto"/>
              </w:rPr>
            </w:pPr>
          </w:p>
        </w:tc>
        <w:tc>
          <w:tcPr>
            <w:tcW w:w="13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Repowering</w:t>
            </w:r>
          </w:p>
        </w:tc>
        <w:tc>
          <w:tcPr>
            <w:tcW w:w="0" w:type="dxa"/>
            <w:vAlign w:val="bottom"/>
          </w:tcPr>
          <w:p>
            <w:pPr>
              <w:spacing w:after="0"/>
              <w:rPr>
                <w:sz w:val="1"/>
                <w:szCs w:val="1"/>
                <w:color w:val="auto"/>
              </w:rPr>
            </w:pPr>
          </w:p>
        </w:tc>
      </w:tr>
      <w:tr>
        <w:trPr>
          <w:trHeight w:val="149"/>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Spring Canyon</w:t>
            </w: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Renewables,</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Partnership</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Holdco</w:t>
            </w: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6"/>
                <w:szCs w:val="16"/>
                <w:color w:val="auto"/>
              </w:rPr>
            </w:pPr>
          </w:p>
        </w:tc>
        <w:tc>
          <w:tcPr>
            <w:tcW w:w="130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Partnership LLC</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5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456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4560" w:type="dxa"/>
            <w:vAlign w:val="bottom"/>
          </w:tcPr>
          <w:p>
            <w:pPr>
              <w:ind w:left="480"/>
              <w:spacing w:after="0"/>
              <w:rPr>
                <w:sz w:val="20"/>
                <w:szCs w:val="20"/>
                <w:color w:val="auto"/>
              </w:rPr>
            </w:pPr>
            <w:r>
              <w:rPr>
                <w:rFonts w:ascii="Arial" w:cs="Arial" w:eastAsia="Arial" w:hAnsi="Arial"/>
                <w:sz w:val="18"/>
                <w:szCs w:val="18"/>
                <w:color w:val="auto"/>
              </w:rPr>
              <w:t>Net assets less noncontrolling interests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231F20"/>
        </w:rPr>
        <w:t>to the consolidated financial statements included in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2018</w:t>
      </w:r>
      <w:r>
        <w:rPr>
          <w:rFonts w:ascii="Arial" w:cs="Arial" w:eastAsia="Arial" w:hAnsi="Arial"/>
          <w:sz w:val="17"/>
          <w:szCs w:val="17"/>
          <w:i w:val="1"/>
          <w:iCs w:val="1"/>
          <w:color w:val="auto"/>
        </w:rPr>
        <w:t xml:space="preserve"> </w:t>
      </w:r>
      <w:r>
        <w:rPr>
          <w:rFonts w:ascii="Arial" w:cs="Arial" w:eastAsia="Arial" w:hAnsi="Arial"/>
          <w:sz w:val="17"/>
          <w:szCs w:val="17"/>
          <w:color w:val="231F20"/>
        </w:rPr>
        <w:t>Form 10-K</w:t>
      </w:r>
      <w:r>
        <w:rPr>
          <w:rFonts w:ascii="Arial" w:cs="Arial" w:eastAsia="Arial" w:hAnsi="Arial"/>
          <w:sz w:val="17"/>
          <w:szCs w:val="17"/>
          <w:color w:val="auto"/>
        </w:rPr>
        <w:t>.</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March 31, 2019, is limited to its equity investment in the unconsolidated entities, as further summarized in the table below:</w:t>
      </w:r>
    </w:p>
    <w:p>
      <w:pPr>
        <w:spacing w:after="0" w:line="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5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Maximum exposure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 loss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3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DGPV Holdco 3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DGPV Holdco 1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Granite Mountain Holdings,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DGPV Holdco 2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3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RPV Holdco 1 LLC</w:t>
            </w:r>
          </w:p>
        </w:tc>
        <w:tc>
          <w:tcPr>
            <w:tcW w:w="34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firstLine="405"/>
        <w:spacing w:after="0" w:line="266" w:lineRule="auto"/>
        <w:rPr>
          <w:sz w:val="20"/>
          <w:szCs w:val="20"/>
          <w:color w:val="auto"/>
        </w:rPr>
      </w:pPr>
      <w:r>
        <w:rPr>
          <w:rFonts w:ascii="Arial" w:cs="Arial" w:eastAsia="Arial" w:hAnsi="Arial"/>
          <w:sz w:val="18"/>
          <w:szCs w:val="18"/>
          <w:b w:val="1"/>
          <w:bCs w:val="1"/>
          <w:i w:val="1"/>
          <w:iCs w:val="1"/>
          <w:color w:val="auto"/>
        </w:rPr>
        <w:t xml:space="preserve">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$2 million of cash during the three months ended March 31, 2019 into DGPV Holdco 1 LLC.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owns approximately 52 MW of distributed solar capacity, based on cash to be distributed, with a weighted average remaining contract life of approximately 17 years as of March 31, 2019.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19" w:name="page20"/>
    <w:bookmarkEnd w:id="19"/>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$2 million of cash during the three months ended March 31, 2019 into DGPV Holdco 3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$11 million due to CEG in accounts payable — affiliate as of March 31, 2019 to be funded in tranches as the project milestones are completed. The Company owns approximately 59 MW of distributed solar capacity, based on cash to be distributed, with a weighted average remaining contract life of approximately 21 years as of March 31, 2019.</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As of March 31, 2019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As of December 31, 2018</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 including current portion</w:t>
            </w:r>
          </w:p>
        </w:tc>
        <w:tc>
          <w:tcPr>
            <w:tcW w:w="400" w:type="dxa"/>
            <w:vAlign w:val="bottom"/>
          </w:tcPr>
          <w:p>
            <w:pPr>
              <w:spacing w:after="0"/>
              <w:rPr>
                <w:sz w:val="21"/>
                <w:szCs w:val="21"/>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257</w:t>
            </w: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Long-term debt — external, including current portion </w:t>
            </w:r>
            <w:r>
              <w:rPr>
                <w:rFonts w:ascii="Arial" w:cs="Arial" w:eastAsia="Arial" w:hAnsi="Arial"/>
                <w:sz w:val="25"/>
                <w:szCs w:val="25"/>
                <w:color w:val="auto"/>
                <w:vertAlign w:val="superscript"/>
              </w:rPr>
              <w:t>(a)</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5,842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5,779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5,681</w:t>
            </w:r>
          </w:p>
        </w:tc>
      </w:tr>
    </w:tbl>
    <w:p>
      <w:pPr>
        <w:spacing w:after="0" w:line="251"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Excludes deferred financing costs, which are recorded as a reduction to long-term debt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2019 and December 31, 2018:</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As of March 31, 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2018</w:t>
            </w:r>
          </w:p>
        </w:tc>
      </w:tr>
      <w:tr>
        <w:trPr>
          <w:trHeight w:val="264"/>
        </w:trPr>
        <w:tc>
          <w:tcPr>
            <w:tcW w:w="4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1,474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1,358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4,580</w:t>
            </w:r>
          </w:p>
        </w:tc>
      </w:tr>
      <w:tr>
        <w:trPr>
          <w:trHeight w:val="621"/>
        </w:trPr>
        <w:tc>
          <w:tcPr>
            <w:tcW w:w="4400" w:type="dxa"/>
            <w:vAlign w:val="bottom"/>
          </w:tcPr>
          <w:p>
            <w:pPr>
              <w:spacing w:after="0"/>
              <w:rPr>
                <w:sz w:val="24"/>
                <w:szCs w:val="24"/>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As of March 31, 2019</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As of December 31, 2018</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64"/>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2"/>
                <w:szCs w:val="2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3</w:t>
            </w:r>
          </w:p>
        </w:tc>
        <w:tc>
          <w:tcPr>
            <w:tcW w:w="36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1340" w:type="dxa"/>
            <w:vAlign w:val="bottom"/>
          </w:tcPr>
          <w:p>
            <w:pPr>
              <w:jc w:val="right"/>
              <w:ind w:right="495"/>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jc w:val="center"/>
              <w:ind w:right="1832"/>
              <w:spacing w:after="0"/>
              <w:rPr>
                <w:sz w:val="20"/>
                <w:szCs w:val="20"/>
                <w:color w:val="auto"/>
              </w:rPr>
            </w:pPr>
            <w:r>
              <w:rPr>
                <w:rFonts w:ascii="Arial" w:cs="Arial" w:eastAsia="Arial" w:hAnsi="Arial"/>
                <w:sz w:val="18"/>
                <w:szCs w:val="18"/>
                <w:color w:val="auto"/>
                <w:w w:val="88"/>
              </w:rPr>
              <w:t>Interest rate contracts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jc w:val="center"/>
              <w:ind w:right="1832"/>
              <w:spacing w:after="0"/>
              <w:rPr>
                <w:sz w:val="20"/>
                <w:szCs w:val="20"/>
                <w:color w:val="auto"/>
              </w:rPr>
            </w:pPr>
            <w:r>
              <w:rPr>
                <w:rFonts w:ascii="Arial" w:cs="Arial" w:eastAsia="Arial" w:hAnsi="Arial"/>
                <w:sz w:val="18"/>
                <w:szCs w:val="18"/>
                <w:color w:val="auto"/>
                <w:w w:val="91"/>
              </w:rPr>
              <w:t>Commodity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jc w:val="center"/>
              <w:ind w:right="1832"/>
              <w:spacing w:after="0"/>
              <w:rPr>
                <w:sz w:val="20"/>
                <w:szCs w:val="20"/>
                <w:color w:val="auto"/>
              </w:rPr>
            </w:pPr>
            <w:r>
              <w:rPr>
                <w:rFonts w:ascii="Arial" w:cs="Arial" w:eastAsia="Arial" w:hAnsi="Arial"/>
                <w:sz w:val="18"/>
                <w:szCs w:val="18"/>
                <w:color w:val="auto"/>
                <w:w w:val="88"/>
              </w:rPr>
              <w:t>Interest rate contracts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Borders>
              <w:bottom w:val="single" w:sz="8" w:color="CCEEFF"/>
            </w:tcBorders>
            <w:shd w:val="clear" w:color="auto" w:fill="CCEEFF"/>
          </w:tcPr>
          <w:p>
            <w:pPr>
              <w:jc w:val="center"/>
              <w:ind w:right="1832"/>
              <w:spacing w:after="0"/>
              <w:rPr>
                <w:sz w:val="20"/>
                <w:szCs w:val="20"/>
                <w:color w:val="auto"/>
              </w:rPr>
            </w:pPr>
            <w:r>
              <w:rPr>
                <w:rFonts w:ascii="Arial" w:cs="Arial" w:eastAsia="Arial" w:hAnsi="Arial"/>
                <w:sz w:val="18"/>
                <w:szCs w:val="18"/>
                <w:b w:val="1"/>
                <w:bCs w:val="1"/>
                <w:color w:val="auto"/>
                <w:w w:val="91"/>
              </w:rPr>
              <w:t>Total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72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4" w:lineRule="exact"/>
        <w:rPr>
          <w:sz w:val="20"/>
          <w:szCs w:val="20"/>
          <w:color w:val="auto"/>
        </w:rPr>
      </w:pPr>
    </w:p>
    <w:p>
      <w:pPr>
        <w:ind w:left="340" w:right="420" w:hanging="8"/>
        <w:spacing w:after="0" w:line="246" w:lineRule="auto"/>
        <w:tabs>
          <w:tab w:leader="none" w:pos="50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There were no derivative assets or liabilities classified as Level 1 as of March 31, 2019, and no derivative assets or liabilities classified as Level 1 or Level 3 as of December 31, 2018.</w:t>
      </w:r>
    </w:p>
    <w:p>
      <w:pPr>
        <w:spacing w:after="0" w:line="21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reconciles, for the three months ended March 31, 2019, the beginning and ending balances for instruments that are recognized at fair value in the condensed consolidated financial statements using significant unobservable inputs: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(In millions)</w:t>
      </w:r>
    </w:p>
    <w:p>
      <w:pPr>
        <w:spacing w:after="0" w:line="59"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Beginning balance as of January 1, 2019</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Purchases</w:t>
      </w:r>
    </w:p>
    <w:p>
      <w:pPr>
        <w:spacing w:after="0" w:line="86" w:lineRule="exact"/>
        <w:rPr>
          <w:sz w:val="20"/>
          <w:szCs w:val="20"/>
          <w:color w:val="auto"/>
        </w:rPr>
      </w:pPr>
    </w:p>
    <w:p>
      <w:pPr>
        <w:ind w:left="2060"/>
        <w:spacing w:after="0"/>
        <w:rPr>
          <w:sz w:val="20"/>
          <w:szCs w:val="20"/>
          <w:color w:val="auto"/>
        </w:rPr>
      </w:pPr>
      <w:r>
        <w:rPr>
          <w:rFonts w:ascii="Arial" w:cs="Arial" w:eastAsia="Arial" w:hAnsi="Arial"/>
          <w:sz w:val="17"/>
          <w:szCs w:val="17"/>
          <w:b w:val="1"/>
          <w:bCs w:val="1"/>
          <w:color w:val="auto"/>
        </w:rPr>
        <w:t>Ending balance as of March 31, 2019</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2020"/>
        <w:spacing w:after="0"/>
        <w:rPr>
          <w:sz w:val="20"/>
          <w:szCs w:val="20"/>
          <w:color w:val="auto"/>
        </w:rPr>
      </w:pPr>
      <w:r>
        <w:rPr>
          <w:rFonts w:ascii="Arial" w:cs="Arial" w:eastAsia="Arial" w:hAnsi="Arial"/>
          <w:sz w:val="18"/>
          <w:szCs w:val="18"/>
          <w:b w:val="1"/>
          <w:bCs w:val="1"/>
          <w:color w:val="auto"/>
        </w:rPr>
        <w:t>Fair Value Measurement Using</w:t>
      </w:r>
    </w:p>
    <w:p>
      <w:pPr>
        <w:spacing w:after="0" w:line="27" w:lineRule="exact"/>
        <w:rPr>
          <w:sz w:val="20"/>
          <w:szCs w:val="20"/>
          <w:color w:val="auto"/>
        </w:rPr>
      </w:pPr>
    </w:p>
    <w:p>
      <w:pPr>
        <w:jc w:val="center"/>
        <w:ind w:right="2020"/>
        <w:spacing w:after="0"/>
        <w:rPr>
          <w:sz w:val="20"/>
          <w:szCs w:val="20"/>
          <w:color w:val="auto"/>
        </w:rPr>
      </w:pPr>
      <w:r>
        <w:rPr>
          <w:rFonts w:ascii="Arial" w:cs="Arial" w:eastAsia="Arial" w:hAnsi="Arial"/>
          <w:sz w:val="17"/>
          <w:szCs w:val="17"/>
          <w:b w:val="1"/>
          <w:bCs w:val="1"/>
          <w:color w:val="auto"/>
        </w:rPr>
        <w:t>Significant Unobservable Inputs (Level</w:t>
      </w:r>
    </w:p>
    <w:p>
      <w:pPr>
        <w:spacing w:after="0" w:line="21" w:lineRule="exact"/>
        <w:rPr>
          <w:sz w:val="20"/>
          <w:szCs w:val="20"/>
          <w:color w:val="auto"/>
        </w:rPr>
      </w:pPr>
    </w:p>
    <w:p>
      <w:pPr>
        <w:jc w:val="center"/>
        <w:ind w:right="2020"/>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2032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42" w:lineRule="exact"/>
        <w:rPr>
          <w:sz w:val="20"/>
          <w:szCs w:val="20"/>
          <w:color w:val="auto"/>
        </w:rPr>
      </w:pPr>
    </w:p>
    <w:p>
      <w:pPr>
        <w:ind w:left="20"/>
        <w:spacing w:after="0"/>
        <w:tabs>
          <w:tab w:leader="none" w:pos="2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-2644775</wp:posOffset>
            </wp:positionH>
            <wp:positionV relativeFrom="paragraph">
              <wp:posOffset>31750</wp:posOffset>
            </wp:positionV>
            <wp:extent cx="468249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82490" cy="171450"/>
                    </a:xfrm>
                    <a:prstGeom prst="rect">
                      <a:avLst/>
                    </a:prstGeom>
                    <a:noFill/>
                  </pic:spPr>
                </pic:pic>
              </a:graphicData>
            </a:graphic>
          </wp:anchor>
        </w:drawing>
      </w:r>
    </w:p>
    <w:p>
      <w:pPr>
        <w:spacing w:after="0" w:line="4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032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80" w:space="720"/>
            <w:col w:w="5220"/>
          </w:cols>
          <w:pgMar w:left="240" w:top="746" w:right="239" w:bottom="1440" w:gutter="0" w:footer="0" w:header="0"/>
          <w:type w:val="continuous"/>
        </w:sectPr>
      </w:pPr>
    </w:p>
    <w:p>
      <w:pPr>
        <w:spacing w:after="0" w:line="29"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There were no gains or losses for the period included in earnings attributable to the change in unrealized gains or losses relating to assets or liabilities still held as of March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March 31, 2019, contracts valued with prices provided by models and other valuation techniques make up 17% of derivative liabilities.</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following tables quantify the significant unobservable inputs used in developing the fair value of the Company's Level 3 positions as of March 31, 2019: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type w:val="continuous"/>
        </w:sectPr>
      </w:pPr>
    </w:p>
    <w:bookmarkStart w:id="21" w:name="page22"/>
    <w:bookmarkEnd w:id="21"/>
    <w:p>
      <w:pPr>
        <w:ind w:left="5900"/>
        <w:spacing w:after="0"/>
        <w:rPr>
          <w:sz w:val="20"/>
          <w:szCs w:val="20"/>
          <w:color w:val="auto"/>
        </w:rPr>
      </w:pPr>
      <w:r>
        <w:rPr>
          <w:rFonts w:ascii="Arial" w:cs="Arial" w:eastAsia="Arial" w:hAnsi="Arial"/>
          <w:sz w:val="18"/>
          <w:szCs w:val="18"/>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34290</wp:posOffset>
            </wp:positionV>
            <wp:extent cx="6003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5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Fair Value</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Input/Range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5" w:lineRule="exact"/>
              <w:rPr>
                <w:sz w:val="20"/>
                <w:szCs w:val="20"/>
                <w:color w:val="auto"/>
              </w:rPr>
            </w:pPr>
            <w:r>
              <w:rPr>
                <w:rFonts w:ascii="Arial" w:cs="Arial" w:eastAsia="Arial" w:hAnsi="Arial"/>
                <w:sz w:val="18"/>
                <w:szCs w:val="18"/>
                <w:b w:val="1"/>
                <w:bCs w:val="1"/>
                <w:color w:val="auto"/>
                <w:w w:val="91"/>
              </w:rPr>
              <w:t>Significant</w:t>
            </w:r>
          </w:p>
        </w:tc>
        <w:tc>
          <w:tcPr>
            <w:tcW w:w="1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61"/>
        </w:trPr>
        <w:tc>
          <w:tcPr>
            <w:tcW w:w="1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1"/>
              </w:rPr>
              <w:t>Liabilities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Technique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Input</w:t>
            </w:r>
          </w:p>
        </w:tc>
        <w:tc>
          <w:tcPr>
            <w:tcW w:w="13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136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4"/>
              </w:rPr>
              <w:t>High</w:t>
            </w:r>
          </w:p>
        </w:tc>
        <w:tc>
          <w:tcPr>
            <w:tcW w:w="12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7"/>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Power Contracts   </w:t>
            </w:r>
            <w:r>
              <w:rPr>
                <w:rFonts w:ascii="Arial" w:cs="Arial" w:eastAsia="Arial" w:hAnsi="Arial"/>
                <w:sz w:val="18"/>
                <w:szCs w:val="18"/>
                <w:color w:val="auto"/>
              </w:rPr>
              <w:t>$</w:t>
            </w:r>
          </w:p>
        </w:tc>
        <w:tc>
          <w:tcPr>
            <w:tcW w:w="1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Discounted Cash</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Forward Market</w:t>
            </w:r>
          </w:p>
        </w:tc>
        <w:tc>
          <w:tcPr>
            <w:tcW w:w="1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gridSpan w:val="2"/>
            <w:vMerge w:val="continue"/>
            <w:shd w:val="clear" w:color="auto" w:fill="CCEEFF"/>
          </w:tcPr>
          <w:p>
            <w:pPr>
              <w:spacing w:after="0"/>
              <w:rPr>
                <w:sz w:val="20"/>
                <w:szCs w:val="20"/>
                <w:color w:val="auto"/>
              </w:rPr>
            </w:pPr>
          </w:p>
        </w:tc>
        <w:tc>
          <w:tcPr>
            <w:tcW w:w="12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Flow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Price (per MWh)</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March 31, 2019:</w:t>
      </w:r>
    </w:p>
    <w:p>
      <w:pPr>
        <w:spacing w:after="0" w:line="32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r>
      <w:tr>
        <w:trPr>
          <w:trHeight w:val="234"/>
        </w:trPr>
        <w:tc>
          <w:tcPr>
            <w:tcW w:w="3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Significant Observable Input</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236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Change In Input</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Measurement</w:t>
            </w:r>
          </w:p>
        </w:tc>
      </w:tr>
      <w:tr>
        <w:trPr>
          <w:trHeight w:val="27"/>
        </w:trPr>
        <w:tc>
          <w:tcPr>
            <w:tcW w:w="3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Forward Market Price Power</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Buy</w:t>
            </w:r>
          </w:p>
        </w:tc>
        <w:tc>
          <w:tcPr>
            <w:tcW w:w="236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Increase/(Decrease)</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r>
      <w:tr>
        <w:trPr>
          <w:trHeight w:val="243"/>
        </w:trPr>
        <w:tc>
          <w:tcPr>
            <w:tcW w:w="3180" w:type="dxa"/>
            <w:vAlign w:val="bottom"/>
          </w:tcPr>
          <w:p>
            <w:pPr>
              <w:jc w:val="center"/>
              <w:ind w:right="110"/>
              <w:spacing w:after="0"/>
              <w:rPr>
                <w:sz w:val="20"/>
                <w:szCs w:val="20"/>
                <w:color w:val="auto"/>
              </w:rPr>
            </w:pPr>
            <w:r>
              <w:rPr>
                <w:rFonts w:ascii="Arial" w:cs="Arial" w:eastAsia="Arial" w:hAnsi="Arial"/>
                <w:sz w:val="18"/>
                <w:szCs w:val="18"/>
                <w:color w:val="auto"/>
                <w:w w:val="92"/>
              </w:rPr>
              <w:t>Forward Market Price Power</w:t>
            </w: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Sell</w:t>
            </w:r>
          </w:p>
        </w:tc>
        <w:tc>
          <w:tcPr>
            <w:tcW w:w="2360" w:type="dxa"/>
            <w:vAlign w:val="bottom"/>
          </w:tcPr>
          <w:p>
            <w:pPr>
              <w:jc w:val="center"/>
              <w:ind w:left="170"/>
              <w:spacing w:after="0"/>
              <w:rPr>
                <w:sz w:val="20"/>
                <w:szCs w:val="20"/>
                <w:color w:val="auto"/>
              </w:rPr>
            </w:pPr>
            <w:r>
              <w:rPr>
                <w:rFonts w:ascii="Arial" w:cs="Arial" w:eastAsia="Arial" w:hAnsi="Arial"/>
                <w:sz w:val="18"/>
                <w:szCs w:val="18"/>
                <w:color w:val="auto"/>
                <w:w w:val="87"/>
              </w:rPr>
              <w:t>Increase/(Decrease)</w:t>
            </w: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Lower/(Higher)</w:t>
            </w:r>
          </w:p>
        </w:tc>
      </w:tr>
    </w:tbl>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2019, the non-performance reserve was $2 million gain in cost of operations and interest expense. It is possible that future market prices could vary from those used in recording assets and liabilities and such variations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 consolidated financial</w:t>
      </w:r>
      <w:r>
        <w:rPr>
          <w:rFonts w:ascii="Arial" w:cs="Arial" w:eastAsia="Arial" w:hAnsi="Arial"/>
          <w:sz w:val="16"/>
          <w:szCs w:val="16"/>
          <w:color w:val="auto"/>
        </w:rPr>
        <w:t xml:space="preserve"> statements </w:t>
      </w:r>
      <w:r>
        <w:rPr>
          <w:rFonts w:ascii="Arial" w:cs="Arial" w:eastAsia="Arial" w:hAnsi="Arial"/>
          <w:sz w:val="16"/>
          <w:szCs w:val="16"/>
          <w:color w:val="231F20"/>
        </w:rPr>
        <w:t>included in the</w:t>
      </w:r>
      <w:r>
        <w:rPr>
          <w:rFonts w:ascii="Arial" w:cs="Arial" w:eastAsia="Arial" w:hAnsi="Arial"/>
          <w:sz w:val="16"/>
          <w:szCs w:val="16"/>
          <w:color w:val="auto"/>
        </w:rPr>
        <w:t xml:space="preserve"> </w:t>
      </w:r>
      <w:r>
        <w:rPr>
          <w:rFonts w:ascii="Arial" w:cs="Arial" w:eastAsia="Arial" w:hAnsi="Arial"/>
          <w:sz w:val="16"/>
          <w:szCs w:val="16"/>
          <w:color w:val="231F20"/>
        </w:rPr>
        <w:t xml:space="preserve">Company's </w:t>
      </w:r>
      <w:r>
        <w:rPr>
          <w:rFonts w:ascii="Arial" w:cs="Arial" w:eastAsia="Arial" w:hAnsi="Arial"/>
          <w:sz w:val="16"/>
          <w:szCs w:val="16"/>
          <w:color w:val="000000"/>
        </w:rPr>
        <w:t>2018 Form 10-K, the following is a discussion of the concentration of credit risk for the Company's financial instruments. Credit risk relates to the</w:t>
      </w:r>
      <w:r>
        <w:rPr>
          <w:rFonts w:ascii="Arial" w:cs="Arial" w:eastAsia="Arial" w:hAnsi="Arial"/>
          <w:sz w:val="16"/>
          <w:szCs w:val="16"/>
          <w:color w:val="231F20"/>
        </w:rPr>
        <w:t xml:space="preserve"> </w:t>
      </w:r>
      <w:r>
        <w:rPr>
          <w:rFonts w:ascii="Arial" w:cs="Arial" w:eastAsia="Arial" w:hAnsi="Arial"/>
          <w:sz w:val="16"/>
          <w:szCs w:val="16"/>
          <w:color w:val="000000"/>
        </w:rPr>
        <w:t>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(iii) the use of credit mitigation measures such as margin, collateral, prepayment arrangements, or volumetric limits; (iv) the use of payment netting agreements; and</w:t>
      </w:r>
    </w:p>
    <w:p>
      <w:pPr>
        <w:spacing w:after="0" w:line="2" w:lineRule="exact"/>
        <w:rPr>
          <w:sz w:val="20"/>
          <w:szCs w:val="20"/>
          <w:color w:val="auto"/>
        </w:rPr>
      </w:pPr>
    </w:p>
    <w:p>
      <w:pPr>
        <w:jc w:val="both"/>
        <w:ind w:firstLine="8"/>
        <w:spacing w:after="0" w:line="255" w:lineRule="auto"/>
        <w:tabs>
          <w:tab w:leader="none" w:pos="2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$17 million in accounts receivable due from PG&amp;E for its consolidated projects, of which $5 million was reclassified to non-current assets as of March 31, 2019.</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consolidated financial statements included in the Company's </w:t>
      </w:r>
      <w:r>
        <w:rPr>
          <w:rFonts w:ascii="Arial" w:cs="Arial" w:eastAsia="Arial" w:hAnsi="Arial"/>
          <w:sz w:val="18"/>
          <w:szCs w:val="18"/>
          <w:color w:val="000000"/>
        </w:rPr>
        <w:t>2018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March 31, 2019, the Company had energy-related derivative instruments extending through 2029. At March 31, 2019,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2019, the Company had interest rate derivative instruments on non-recourse debt extending through 2041, a portion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type: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tcPr>
          <w:p>
            <w:pPr>
              <w:jc w:val="right"/>
              <w:ind w:right="1374"/>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December 31, 2018</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8"/>
                <w:szCs w:val="18"/>
                <w:color w:val="auto"/>
              </w:rPr>
            </w:pPr>
          </w:p>
        </w:tc>
        <w:tc>
          <w:tcPr>
            <w:tcW w:w="3480" w:type="dxa"/>
            <w:vAlign w:val="bottom"/>
            <w:gridSpan w:val="3"/>
          </w:tcPr>
          <w:p>
            <w:pPr>
              <w:jc w:val="right"/>
              <w:ind w:right="1394"/>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Power</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MWh</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gridSpan w:val="2"/>
          </w:tcPr>
          <w:p>
            <w:pPr>
              <w:spacing w:after="0"/>
              <w:rPr>
                <w:sz w:val="20"/>
                <w:szCs w:val="20"/>
                <w:color w:val="auto"/>
              </w:rPr>
            </w:pPr>
            <w:r>
              <w:rPr>
                <w:rFonts w:ascii="Arial" w:cs="Arial" w:eastAsia="Arial" w:hAnsi="Arial"/>
                <w:sz w:val="18"/>
                <w:szCs w:val="18"/>
                <w:color w:val="auto"/>
              </w:rPr>
              <w:t>MMBtu</w:t>
            </w:r>
          </w:p>
        </w:tc>
        <w:tc>
          <w:tcPr>
            <w:tcW w:w="280" w:type="dxa"/>
            <w:vAlign w:val="bottom"/>
          </w:tcPr>
          <w:p>
            <w:pPr>
              <w:spacing w:after="0"/>
              <w:rPr>
                <w:sz w:val="21"/>
                <w:szCs w:val="21"/>
                <w:color w:val="auto"/>
              </w:rPr>
            </w:pPr>
          </w:p>
        </w:tc>
        <w:tc>
          <w:tcPr>
            <w:tcW w:w="1600" w:type="dxa"/>
            <w:vAlign w:val="bottom"/>
          </w:tcPr>
          <w:p>
            <w:pPr>
              <w:jc w:val="right"/>
              <w:ind w:right="79"/>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1,929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1,862</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 xml:space="preserve">Derivative Assets </w:t>
            </w:r>
            <w:r>
              <w:rPr>
                <w:rFonts w:ascii="Arial" w:cs="Arial" w:eastAsia="Arial" w:hAnsi="Arial"/>
                <w:sz w:val="8"/>
                <w:szCs w:val="8"/>
                <w:b w:val="1"/>
                <w:bCs w:val="1"/>
                <w:color w:val="auto"/>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4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2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 long-term</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260" w:hanging="252"/>
        <w:spacing w:after="0" w:line="273" w:lineRule="auto"/>
        <w:tabs>
          <w:tab w:leader="none" w:pos="157" w:val="left"/>
        </w:tabs>
        <w:numPr>
          <w:ilvl w:val="0"/>
          <w:numId w:val="11"/>
        </w:numPr>
        <w:rPr>
          <w:rFonts w:ascii="Arial" w:cs="Arial" w:eastAsia="Arial" w:hAnsi="Arial"/>
          <w:sz w:val="9"/>
          <w:szCs w:val="9"/>
          <w:color w:val="auto"/>
        </w:rPr>
      </w:pPr>
      <w:r>
        <w:rPr>
          <w:rFonts w:ascii="Arial" w:cs="Arial" w:eastAsia="Arial" w:hAnsi="Arial"/>
          <w:sz w:val="14"/>
          <w:szCs w:val="14"/>
          <w:color w:val="auto"/>
        </w:rPr>
        <w:t>Derivative Assets balances classified as current are included within the prepayments and other current assets line item of the consolidated balance sheets as of March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3" w:name="page24"/>
    <w:bookmarkEnd w:id="23"/>
    <w:p>
      <w:pPr>
        <w:jc w:val="both"/>
        <w:ind w:right="20" w:firstLine="405"/>
        <w:spacing w:after="0" w:line="286" w:lineRule="auto"/>
        <w:rPr>
          <w:sz w:val="20"/>
          <w:szCs w:val="20"/>
          <w:color w:val="auto"/>
        </w:rPr>
      </w:pPr>
      <w:r>
        <w:rPr>
          <w:rFonts w:ascii="Arial" w:cs="Arial" w:eastAsia="Arial" w:hAnsi="Arial"/>
          <w:sz w:val="17"/>
          <w:szCs w:val="17"/>
          <w:color w:val="auto"/>
        </w:rPr>
        <w:t>The Company has elected to present derivative assets and liabilities on the balance sheet on a trade-by-trade basis and does not offset amounts at the counterparty master agreement level. As of March 31, 2019 and December 31, 2018, there was no outstanding collateral paid or received. The following tables summarize the offsetting of derivatives by the counterparty master agreement level as of March 31, 2019 and December 31,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March 31, 2019</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40"/>
              <w:spacing w:after="0" w:line="269" w:lineRule="exact"/>
              <w:rPr>
                <w:sz w:val="20"/>
                <w:szCs w:val="20"/>
                <w:color w:val="auto"/>
              </w:rPr>
            </w:pPr>
            <w:r>
              <w:rPr>
                <w:rFonts w:ascii="Arial" w:cs="Arial" w:eastAsia="Arial" w:hAnsi="Arial"/>
                <w:sz w:val="18"/>
                <w:szCs w:val="18"/>
                <w:b w:val="1"/>
                <w:bCs w:val="1"/>
                <w:color w:val="auto"/>
              </w:rPr>
              <w:t>Commodity contracts</w:t>
            </w:r>
            <w:r>
              <w:rPr>
                <w:rFonts w:ascii="Arial" w:cs="Arial" w:eastAsia="Arial" w:hAnsi="Arial"/>
                <w:sz w:val="25"/>
                <w:szCs w:val="25"/>
                <w:b w:val="1"/>
                <w:bCs w:val="1"/>
                <w:color w:val="auto"/>
                <w:vertAlign w:val="superscript"/>
              </w:rPr>
              <w:t>(a)</w:t>
            </w: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Total derivative instruments </w:t>
            </w:r>
            <w:r>
              <w:rPr>
                <w:rFonts w:ascii="Arial" w:cs="Arial" w:eastAsia="Arial" w:hAnsi="Arial"/>
                <w:sz w:val="25"/>
                <w:szCs w:val="25"/>
                <w:b w:val="1"/>
                <w:bCs w:val="1"/>
                <w:color w:val="auto"/>
                <w:vertAlign w:val="superscript"/>
              </w:rPr>
              <w:t>(a)</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There were no commodity contracts classified as derivative assets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21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Derivative Instruments</w:t>
            </w: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2"/>
                <w:szCs w:val="22"/>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Reclassified from accumulated OCL to income due to realization of previously deferred amounts</w:t>
            </w:r>
          </w:p>
        </w:tc>
        <w:tc>
          <w:tcPr>
            <w:tcW w:w="84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Clearway Energy LLC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621"/>
        </w:trPr>
        <w:tc>
          <w:tcPr>
            <w:tcW w:w="8800" w:type="dxa"/>
            <w:vAlign w:val="bottom"/>
          </w:tcPr>
          <w:p>
            <w:pPr>
              <w:ind w:left="5620"/>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March 31, 2019 and 2018, the impact to the consolidated statements of operations was a loss of $18 million and a gain of $24 million, respectively.</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 During the three months ended March 31, 2019, Elbow Creek entered into a new long term power hedge, and the impact to the consolidated statements of operations was a $7 million loss for the period.</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 statements</w:t>
      </w:r>
      <w:r>
        <w:rPr>
          <w:rFonts w:ascii="Arial" w:cs="Arial" w:eastAsia="Arial" w:hAnsi="Arial"/>
          <w:sz w:val="18"/>
          <w:szCs w:val="18"/>
          <w:color w:val="auto"/>
        </w:rPr>
        <w:t xml:space="preserve"> </w:t>
      </w:r>
      <w:r>
        <w:rPr>
          <w:rFonts w:ascii="Arial" w:cs="Arial" w:eastAsia="Arial" w:hAnsi="Arial"/>
          <w:sz w:val="18"/>
          <w:szCs w:val="18"/>
          <w:color w:val="231F20"/>
        </w:rPr>
        <w:t xml:space="preserve">included in the Company's </w:t>
      </w:r>
      <w:r>
        <w:rPr>
          <w:rFonts w:ascii="Arial" w:cs="Arial" w:eastAsia="Arial" w:hAnsi="Arial"/>
          <w:sz w:val="18"/>
          <w:szCs w:val="18"/>
          <w:color w:val="000000"/>
        </w:rPr>
        <w:t>2018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c>
          <w:tcPr>
            <w:tcW w:w="2040" w:type="dxa"/>
            <w:vAlign w:val="bottom"/>
          </w:tcPr>
          <w:p>
            <w:pPr>
              <w:jc w:val="right"/>
              <w:ind w:right="57"/>
              <w:spacing w:after="0"/>
              <w:rPr>
                <w:sz w:val="20"/>
                <w:szCs w:val="20"/>
                <w:color w:val="auto"/>
              </w:rPr>
            </w:pPr>
            <w:r>
              <w:rPr>
                <w:rFonts w:ascii="Arial" w:cs="Arial" w:eastAsia="Arial" w:hAnsi="Arial"/>
                <w:sz w:val="14"/>
                <w:szCs w:val="14"/>
                <w:b w:val="1"/>
                <w:bCs w:val="1"/>
                <w:color w:val="auto"/>
              </w:rPr>
              <w:t>March, 2019, interest rate %</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040" w:type="dxa"/>
            <w:vAlign w:val="bottom"/>
            <w:tcBorders>
              <w:bottom w:val="single" w:sz="8" w:color="auto"/>
            </w:tcBorders>
          </w:tcPr>
          <w:p>
            <w:pPr>
              <w:jc w:val="right"/>
              <w:ind w:right="897"/>
              <w:spacing w:after="0"/>
              <w:rPr>
                <w:sz w:val="20"/>
                <w:szCs w:val="20"/>
                <w:color w:val="auto"/>
              </w:rPr>
            </w:pPr>
            <w:r>
              <w:rPr>
                <w:rFonts w:ascii="Arial" w:cs="Arial" w:eastAsia="Arial" w:hAnsi="Arial"/>
                <w:sz w:val="9"/>
                <w:szCs w:val="9"/>
                <w:b w:val="1"/>
                <w:bCs w:val="1"/>
                <w:color w:val="auto"/>
              </w:rPr>
              <w:t>(a)</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244"/>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2"/>
          </w:tcPr>
          <w:p>
            <w:pPr>
              <w:jc w:val="right"/>
              <w:ind w:right="757"/>
              <w:spacing w:after="0"/>
              <w:rPr>
                <w:sz w:val="20"/>
                <w:szCs w:val="20"/>
                <w:color w:val="auto"/>
              </w:rPr>
            </w:pPr>
            <w:r>
              <w:rPr>
                <w:rFonts w:ascii="Arial" w:cs="Arial" w:eastAsia="Arial" w:hAnsi="Arial"/>
                <w:sz w:val="14"/>
                <w:szCs w:val="14"/>
                <w:b w:val="1"/>
                <w:bCs w:val="1"/>
                <w:color w:val="auto"/>
              </w:rPr>
              <w:t>(In millions, except rates)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 affiliate, due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215</w:t>
            </w:r>
          </w:p>
        </w:tc>
        <w:tc>
          <w:tcPr>
            <w:tcW w:w="2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3.580</w:t>
            </w: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Long-term debt - affiliate, due 2020</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44</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3.325</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500</w:t>
            </w:r>
          </w:p>
        </w:tc>
        <w:tc>
          <w:tcPr>
            <w:tcW w:w="2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5.375</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2025 Senior Notes</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600</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5.750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2026 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350</w:t>
            </w:r>
          </w:p>
        </w:tc>
        <w:tc>
          <w:tcPr>
            <w:tcW w:w="2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5.000</w:t>
            </w: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500" w:type="dxa"/>
            <w:vAlign w:val="bottom"/>
          </w:tcPr>
          <w:p>
            <w:pPr>
              <w:ind w:left="40"/>
              <w:spacing w:after="0"/>
              <w:rPr>
                <w:sz w:val="20"/>
                <w:szCs w:val="20"/>
                <w:color w:val="auto"/>
              </w:rPr>
            </w:pPr>
            <w:r>
              <w:rPr>
                <w:rFonts w:ascii="Arial" w:cs="Arial" w:eastAsia="Arial" w:hAnsi="Arial"/>
                <w:sz w:val="17"/>
                <w:szCs w:val="17"/>
                <w:color w:val="auto"/>
                <w:w w:val="94"/>
              </w:rPr>
              <w:t>Clearway Energy LLC and Clearway Energy Operating LLC Revolving Credit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500" w:type="dxa"/>
            <w:vAlign w:val="bottom"/>
          </w:tcPr>
          <w:p>
            <w:pPr>
              <w:ind w:left="40"/>
              <w:spacing w:after="0" w:line="247" w:lineRule="exact"/>
              <w:rPr>
                <w:sz w:val="20"/>
                <w:szCs w:val="20"/>
                <w:color w:val="auto"/>
              </w:rPr>
            </w:pPr>
            <w:r>
              <w:rPr>
                <w:rFonts w:ascii="Arial" w:cs="Arial" w:eastAsia="Arial" w:hAnsi="Arial"/>
                <w:sz w:val="17"/>
                <w:szCs w:val="17"/>
                <w:color w:val="auto"/>
              </w:rPr>
              <w:t xml:space="preserve">Facility, due 2023 </w:t>
            </w:r>
            <w:r>
              <w:rPr>
                <w:rFonts w:ascii="Arial" w:cs="Arial" w:eastAsia="Arial" w:hAnsi="Arial"/>
                <w:sz w:val="28"/>
                <w:szCs w:val="28"/>
                <w:color w:val="auto"/>
                <w:vertAlign w:val="superscript"/>
              </w:rPr>
              <w:t>(b)</w:t>
            </w:r>
          </w:p>
        </w:tc>
        <w:tc>
          <w:tcPr>
            <w:tcW w:w="1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L+1.75</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Project-level debt: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Agua Caliente Borrower 2, due </w:t>
            </w:r>
            <w:r>
              <w:rPr>
                <w:rFonts w:ascii="Arial" w:cs="Arial" w:eastAsia="Arial" w:hAnsi="Arial"/>
                <w:sz w:val="28"/>
                <w:szCs w:val="28"/>
                <w:color w:val="auto"/>
                <w:vertAlign w:val="superscript"/>
              </w:rPr>
              <w:t>(c)</w:t>
            </w:r>
          </w:p>
        </w:tc>
        <w:tc>
          <w:tcPr>
            <w:tcW w:w="140" w:type="dxa"/>
            <w:vAlign w:val="bottom"/>
          </w:tcPr>
          <w:p>
            <w:pPr>
              <w:spacing w:after="0"/>
              <w:rPr>
                <w:sz w:val="23"/>
                <w:szCs w:val="23"/>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39</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5.430</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Alpine, due 2022 </w:t>
            </w:r>
            <w:r>
              <w:rPr>
                <w:rFonts w:ascii="Arial" w:cs="Arial" w:eastAsia="Arial" w:hAnsi="Arial"/>
                <w:sz w:val="28"/>
                <w:szCs w:val="28"/>
                <w:color w:val="auto"/>
                <w:vertAlign w:val="superscript"/>
              </w:rPr>
              <w:t>(c)</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127</w:t>
            </w:r>
          </w:p>
        </w:tc>
        <w:tc>
          <w:tcPr>
            <w:tcW w:w="2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L+1.750</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Alta Wind I - V lease financing arrangements, due 2034 and 2035</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886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886</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5.696 - 7.015</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Buckthorn Solar, due 2025</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132</w:t>
            </w:r>
          </w:p>
        </w:tc>
        <w:tc>
          <w:tcPr>
            <w:tcW w:w="2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L+1.750</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CVSR, due 2037 </w:t>
            </w:r>
            <w:r>
              <w:rPr>
                <w:rFonts w:ascii="Arial" w:cs="Arial" w:eastAsia="Arial" w:hAnsi="Arial"/>
                <w:sz w:val="28"/>
                <w:szCs w:val="28"/>
                <w:color w:val="auto"/>
                <w:vertAlign w:val="superscript"/>
              </w:rPr>
              <w:t>(c)</w:t>
            </w:r>
          </w:p>
        </w:tc>
        <w:tc>
          <w:tcPr>
            <w:tcW w:w="140" w:type="dxa"/>
            <w:vAlign w:val="bottom"/>
          </w:tcPr>
          <w:p>
            <w:pPr>
              <w:spacing w:after="0"/>
              <w:rPr>
                <w:sz w:val="23"/>
                <w:szCs w:val="23"/>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702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720</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2.339 - 3.775</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CVSR Holdco Notes, due 2037 </w:t>
            </w:r>
            <w:r>
              <w:rPr>
                <w:rFonts w:ascii="Arial" w:cs="Arial" w:eastAsia="Arial" w:hAnsi="Arial"/>
                <w:sz w:val="28"/>
                <w:szCs w:val="28"/>
                <w:color w:val="auto"/>
                <w:vertAlign w:val="superscript"/>
              </w:rPr>
              <w:t>(c)</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188</w:t>
            </w:r>
          </w:p>
        </w:tc>
        <w:tc>
          <w:tcPr>
            <w:tcW w:w="2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4.680</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El Segundo Energy Center, due 2023</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352</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L+1.75 - L+2.375</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Energy Center Minneapolis Series D, E, F, G, H Notes, due 2025-2037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328</w:t>
            </w:r>
          </w:p>
        </w:tc>
        <w:tc>
          <w:tcPr>
            <w:tcW w:w="2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various</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Laredo Ridge, due 2028</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89</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L+2.125</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7"/>
                <w:szCs w:val="17"/>
                <w:color w:val="auto"/>
              </w:rPr>
              <w:t xml:space="preserve">Kansas South, due 2030 </w:t>
            </w:r>
            <w:r>
              <w:rPr>
                <w:rFonts w:ascii="Arial" w:cs="Arial" w:eastAsia="Arial" w:hAnsi="Arial"/>
                <w:sz w:val="28"/>
                <w:szCs w:val="28"/>
                <w:color w:val="auto"/>
                <w:vertAlign w:val="superscript"/>
              </w:rPr>
              <w:t>(c)</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26</w:t>
            </w:r>
          </w:p>
        </w:tc>
        <w:tc>
          <w:tcPr>
            <w:tcW w:w="20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L+2.00</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7"/>
                <w:szCs w:val="17"/>
                <w:color w:val="auto"/>
              </w:rPr>
              <w:t xml:space="preserve">Marsh Landing, due 2023 </w:t>
            </w:r>
            <w:r>
              <w:rPr>
                <w:rFonts w:ascii="Arial" w:cs="Arial" w:eastAsia="Arial" w:hAnsi="Arial"/>
                <w:sz w:val="28"/>
                <w:szCs w:val="28"/>
                <w:color w:val="auto"/>
                <w:vertAlign w:val="superscript"/>
              </w:rPr>
              <w:t>(c)</w:t>
            </w:r>
          </w:p>
        </w:tc>
        <w:tc>
          <w:tcPr>
            <w:tcW w:w="140" w:type="dxa"/>
            <w:vAlign w:val="bottom"/>
          </w:tcPr>
          <w:p>
            <w:pPr>
              <w:spacing w:after="0"/>
              <w:rPr>
                <w:sz w:val="23"/>
                <w:szCs w:val="23"/>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263</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L+2.125</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Oahu Solar Holdings LLC, due 2026</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L+1.375</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South Trent Wind, due 2020</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50</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L+1.625</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Tapestry, due 2021</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151</w:t>
            </w:r>
          </w:p>
        </w:tc>
        <w:tc>
          <w:tcPr>
            <w:tcW w:w="2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L+1.75</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Utah Solar Portfolio, due 2022</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267</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L+2.625</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Viento, due 2023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146</w:t>
            </w:r>
          </w:p>
        </w:tc>
        <w:tc>
          <w:tcPr>
            <w:tcW w:w="2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L+2.00</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9"/>
        </w:trPr>
        <w:tc>
          <w:tcPr>
            <w:tcW w:w="5500" w:type="dxa"/>
            <w:vAlign w:val="bottom"/>
          </w:tcPr>
          <w:p>
            <w:pPr>
              <w:ind w:left="40"/>
              <w:spacing w:after="0"/>
              <w:rPr>
                <w:sz w:val="20"/>
                <w:szCs w:val="20"/>
                <w:color w:val="auto"/>
              </w:rPr>
            </w:pPr>
            <w:r>
              <w:rPr>
                <w:rFonts w:ascii="Arial" w:cs="Arial" w:eastAsia="Arial" w:hAnsi="Arial"/>
                <w:sz w:val="17"/>
                <w:szCs w:val="17"/>
                <w:color w:val="auto"/>
              </w:rPr>
              <w:t>Walnut Creek, due 2023</w:t>
            </w:r>
          </w:p>
        </w:tc>
        <w:tc>
          <w:tcPr>
            <w:tcW w:w="1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222</w:t>
            </w:r>
          </w:p>
        </w:tc>
        <w:tc>
          <w:tcPr>
            <w:tcW w:w="2040" w:type="dxa"/>
            <w:vAlign w:val="bottom"/>
          </w:tcPr>
          <w:p>
            <w:pPr>
              <w:jc w:val="right"/>
              <w:ind w:right="57"/>
              <w:spacing w:after="0"/>
              <w:rPr>
                <w:sz w:val="20"/>
                <w:szCs w:val="20"/>
                <w:color w:val="auto"/>
              </w:rPr>
            </w:pPr>
            <w:r>
              <w:rPr>
                <w:rFonts w:ascii="Arial" w:cs="Arial" w:eastAsia="Arial" w:hAnsi="Arial"/>
                <w:sz w:val="17"/>
                <w:szCs w:val="17"/>
                <w:color w:val="auto"/>
              </w:rPr>
              <w:t>L+1.75</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343</w:t>
            </w:r>
          </w:p>
        </w:tc>
        <w:tc>
          <w:tcPr>
            <w:tcW w:w="2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various</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9"/>
        </w:trPr>
        <w:tc>
          <w:tcPr>
            <w:tcW w:w="5500" w:type="dxa"/>
            <w:vAlign w:val="bottom"/>
          </w:tcPr>
          <w:p>
            <w:pPr>
              <w:ind w:left="180"/>
              <w:spacing w:after="0"/>
              <w:rPr>
                <w:sz w:val="20"/>
                <w:szCs w:val="20"/>
                <w:color w:val="auto"/>
              </w:rPr>
            </w:pPr>
            <w:r>
              <w:rPr>
                <w:rFonts w:ascii="Arial" w:cs="Arial" w:eastAsia="Arial" w:hAnsi="Arial"/>
                <w:sz w:val="17"/>
                <w:szCs w:val="17"/>
                <w:color w:val="auto"/>
              </w:rPr>
              <w:t>Subtotal project-level debt:</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4,392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4,329</w:t>
            </w:r>
          </w:p>
        </w:tc>
        <w:tc>
          <w:tcPr>
            <w:tcW w:w="2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debt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6,038</w:t>
            </w:r>
          </w:p>
        </w:tc>
        <w:tc>
          <w:tcPr>
            <w:tcW w:w="20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00" w:type="dxa"/>
            <w:vAlign w:val="bottom"/>
          </w:tcPr>
          <w:p>
            <w:pPr>
              <w:ind w:left="180"/>
              <w:spacing w:after="0"/>
              <w:rPr>
                <w:sz w:val="20"/>
                <w:szCs w:val="20"/>
                <w:color w:val="auto"/>
              </w:rPr>
            </w:pPr>
            <w:r>
              <w:rPr>
                <w:rFonts w:ascii="Arial" w:cs="Arial" w:eastAsia="Arial" w:hAnsi="Arial"/>
                <w:sz w:val="17"/>
                <w:szCs w:val="17"/>
                <w:color w:val="auto"/>
              </w:rPr>
              <w:t>Less current maturities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(529)</w:t>
            </w:r>
          </w:p>
        </w:tc>
        <w:tc>
          <w:tcPr>
            <w:tcW w:w="2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net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20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500" w:type="dxa"/>
            <w:vAlign w:val="bottom"/>
          </w:tcPr>
          <w:p>
            <w:pPr>
              <w:ind w:left="280"/>
              <w:spacing w:after="0"/>
              <w:rPr>
                <w:sz w:val="20"/>
                <w:szCs w:val="20"/>
                <w:color w:val="auto"/>
              </w:rPr>
            </w:pPr>
            <w:r>
              <w:rPr>
                <w:rFonts w:ascii="Arial" w:cs="Arial" w:eastAsia="Arial" w:hAnsi="Arial"/>
                <w:sz w:val="17"/>
                <w:szCs w:val="17"/>
                <w:color w:val="auto"/>
              </w:rPr>
              <w:t>Total 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4,216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5,448</w:t>
            </w:r>
          </w:p>
        </w:tc>
        <w:tc>
          <w:tcPr>
            <w:tcW w:w="20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ind w:left="80" w:right="20" w:hanging="72"/>
        <w:spacing w:after="0" w:line="282" w:lineRule="auto"/>
        <w:tabs>
          <w:tab w:leader="none" w:pos="146"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As of March 31, 2019, L+ equals 3 month LIBOR plus x%, except for Viento, due 2023 and Kansas South, due 2030 where L+ equals 6 month LIBOR plus 2.00% and Utah Solar Portfolio, where L+ equals 1 month LIBOR plus 2.625%.</w:t>
      </w:r>
    </w:p>
    <w:p>
      <w:pPr>
        <w:ind w:left="160" w:hanging="152"/>
        <w:spacing w:after="0" w:line="229" w:lineRule="auto"/>
        <w:tabs>
          <w:tab w:leader="none" w:pos="160" w:val="left"/>
        </w:tabs>
        <w:numPr>
          <w:ilvl w:val="0"/>
          <w:numId w:val="13"/>
        </w:numPr>
        <w:rPr>
          <w:rFonts w:ascii="Arial" w:cs="Arial" w:eastAsia="Arial" w:hAnsi="Arial"/>
          <w:sz w:val="11"/>
          <w:szCs w:val="11"/>
          <w:color w:val="auto"/>
        </w:rPr>
      </w:pPr>
      <w:r>
        <w:rPr>
          <w:rFonts w:ascii="Arial" w:cs="Arial" w:eastAsia="Arial" w:hAnsi="Arial"/>
          <w:sz w:val="16"/>
          <w:szCs w:val="16"/>
          <w:color w:val="auto"/>
        </w:rPr>
        <w:t>Applicable rate is determined by the borrower leverage ratio, as defined in the credit agreement.</w:t>
      </w:r>
    </w:p>
    <w:p>
      <w:pPr>
        <w:ind w:left="160" w:hanging="152"/>
        <w:spacing w:after="0" w:line="211" w:lineRule="auto"/>
        <w:tabs>
          <w:tab w:leader="none" w:pos="16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Entities affected by PG&amp;E bankruptcy, see further discussion below.</w:t>
      </w:r>
    </w:p>
    <w:p>
      <w:pPr>
        <w:spacing w:after="0" w:line="14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March 31, 2019, the Company was in compliance with all of the required covenants.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or additions of long-term debt for the three months ended March 31,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2019</w:t>
      </w:r>
      <w:r>
        <w:rPr>
          <w:rFonts w:ascii="Arial" w:cs="Arial" w:eastAsia="Arial" w:hAnsi="Arial"/>
          <w:sz w:val="18"/>
          <w:szCs w:val="18"/>
          <w:color w:val="231F20"/>
        </w:rPr>
        <w:t>, there were no outstanding borrowings under the revolving credit facility and the Company had $41 million of letters of credit outstanding.</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2019 Convertible Notes Open Market Repurchases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2019, Clearway Energy, Inc. repurchased a combined aggregate principal amount of $50 million of the 2019 Convertible Notes in open market transactions. The repurchases were funded through a partial repayment of the intercompany note between Clearway Energy Operating LLC and Clearway Energy, Inc. The 2019 Convertible Notes matured on February 1, 2019 and the Company paid off the remaining balance of an aggregate principal amount of $170 million.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PG&amp;E Bankruptcy</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on January 29, 2019, PG&amp;E filed for reorganization under Chapter 11 of the U.S. Bankruptcy Code in the U.S. Bankruptcy Court for the Northern District of California. Certain subsidiaries of the Company listed in the table above are parties to financing agreements consisting of non-recourse project level debt and, in certain cases, non-recourse holding company debt. The PG&amp;E bankruptcy filing has triggered defaults under the PPAs with PG&amp;E and such related financing agreements. The Company recorded approximately $1.3 billion of principal, net of the related unamortized debt issuance costs, with final maturity dates ranging from 2023 - 2038, as short-term debt as a result of events of default under the related financing agreements as of March 31, 2019. In addition, distributions from these projects to Clearway Operating LLC are prohibited under the related debt agreements. The Company is currently seeking forbearance agreements with the lenders for each respective financing arrangement.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Oahu Solar Holdings LLC Debt</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As the Company consolidates the Oahu Partnership, as further described in Note 4, </w:t>
      </w:r>
      <w:r>
        <w:rPr>
          <w:rFonts w:ascii="Arial" w:cs="Arial" w:eastAsia="Arial" w:hAnsi="Arial"/>
          <w:sz w:val="18"/>
          <w:szCs w:val="18"/>
          <w:i w:val="1"/>
          <w:iCs w:val="1"/>
          <w:color w:val="auto"/>
        </w:rPr>
        <w:t>Investments Accounted for by the Equity Method and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 the Company assumed non-recourse debt of $143 million related to Oahu Solar Holdings, LLC. The debt consists of a construction loan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tax credits, or ITC, bridge loan, both at an interest rate of LIBOR plus 1.375%. The construction loan will convert to a term loan at COD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term loan.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Three months ended March 31, 2019</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Development costs</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1,770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6,052</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8,410</w:t>
            </w:r>
          </w:p>
        </w:tc>
        <w:tc>
          <w:tcPr>
            <w:tcW w:w="0" w:type="dxa"/>
            <w:vAlign w:val="bottom"/>
          </w:tcPr>
          <w:p>
            <w:pPr>
              <w:spacing w:after="0"/>
              <w:rPr>
                <w:sz w:val="1"/>
                <w:szCs w:val="1"/>
                <w:color w:val="auto"/>
              </w:rPr>
            </w:pPr>
          </w:p>
        </w:tc>
      </w:tr>
      <w:tr>
        <w:trPr>
          <w:trHeight w:val="648"/>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Three months ended March 31, 2018</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Conventional</w:t>
            </w:r>
          </w:p>
        </w:tc>
        <w:tc>
          <w:tcPr>
            <w:tcW w:w="180" w:type="dxa"/>
            <w:vAlign w:val="bottom"/>
          </w:tcPr>
          <w:p>
            <w:pPr>
              <w:spacing w:after="0"/>
              <w:rPr>
                <w:sz w:val="13"/>
                <w:szCs w:val="13"/>
                <w:color w:val="auto"/>
              </w:rPr>
            </w:pPr>
          </w:p>
        </w:tc>
        <w:tc>
          <w:tcPr>
            <w:tcW w:w="10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6"/>
              </w:rPr>
              <w:t>Renewables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Generation</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discussed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xml:space="preserve"> on August 31, 2018, NRG sold 100% of its interest in CEG to GIP, and as a result, CEG and its subsidiaries are considered related parties during the period ended March 31, 2019, and NRG and its subsidiaries were considered related parties during the period ended March 31,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CEG entities during the period ended March 31, 2019</w:t>
      </w:r>
    </w:p>
    <w:p>
      <w:pPr>
        <w:spacing w:after="0" w:line="171"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b w:val="1"/>
          <w:bCs w:val="1"/>
          <w:i w:val="1"/>
          <w:iCs w:val="1"/>
          <w:color w:val="auto"/>
        </w:rPr>
        <w:t>Administrative Services Agreements by and between the Company and Clearway Renewable Operation &amp; Maintenance LLC (formerly NRG Renew Operation &amp; Maintenance LLC)</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Various wholly-owned subsidiaries of the Company in the Renewables segment are party to administrative services agreements with Clearway Renewable Operation &amp; Maintenance LLC (formerly NRG Renew Operation &amp; Maintenance LLC), or RENOM, a wholly-owned subsidiary of CEG, which provides operation and maintenance, or O&amp;M, services to these subsidiaries. The Company incurred total expenses for these services of $7 million for each of the three months ended March 31, 2019 and 2018. There was a balance of $6 million due to RENOM as of March 31, 2019 and December 31, 2018.</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8" w:name="page29"/>
    <w:bookmarkEnd w:id="28"/>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266"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7"/>
          <w:szCs w:val="17"/>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w:t>
      </w:r>
    </w:p>
    <w:p>
      <w:pPr>
        <w:spacing w:after="0" w:line="2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Related Party Transactions with NRG during the period ended March 31, 2018</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Elbow Creek and Dover are parties to PPAs with NRG Power Marketing, a wholly-owned subsidiary of NRG, and generate revenue under the PPAs, which are recorded to operating revenues in the Company's consolidated statements of operations. For the three months ended March 31, 2018, Elbow Creek and Dover, collectively, generated revenue of $3 million.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Energy Center Dover LLC, Energy Center Minneapolis, Energy Center Phoenix LLC, and Energy Center Paxton LLC, or Thermal entities, which are subsidiaries of the Company, are parties to Energy Marketing Services Agreements with NRG Power Marketing. Under the agreements, NRG Power Marketing procures fuel and fuel transportation for the operation of the Thermal entities. For the three months ended March 31, 2018, the Thermal entities purchased $4 million of natural gas from NRG Power Marketing.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the Company's subsidiaries and NRG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Certain of the Company's subsidiaries are party to O&amp;M Service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fees incurred under these agreements were $10 million for the three months ended March 31, 2018.</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Marsh Landing is a party to an administrative services agreement with NRG West Coast LLC, a wholly owned subsidiary of NRG. The Company reimbursed costs under the agreement of $3 million for the three months ended March 31, 2018.</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for the three months ended March 31, 2018 were $2 million. The costs incurred under the Management Services Agreement included certain direct expenses incurred by NRG on behalf of the Company in addition to the base management fee. Subsequent to the GIP Transaction, the Company entered into the NRG TSA pursuant to which NRG or certain of its affiliates began providing certain services to the Company following the consummation of the GIP Transaction, in exchange for the payment of a fee in respect of such services. Expenses related to the NRG TSA are recorded in transaction and integration costs in the consolidated statements of operations.</w:t>
      </w:r>
    </w:p>
    <w:p>
      <w:pPr>
        <w:spacing w:after="0" w:line="20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 of March 31, 2019, Clearway Energy Operating LLC had outstanding $500 million of the 2024 Senior Notes, $600 million of the 2025 Senior Notes and $350 million of the 2026 Senior Notes, collectively Senior Notes, as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2018 Form 10-K. These Senior Notes are guaranteed by Clearway Energy LLC,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Unless otherwise noted below, each of the following guarantor subsidiaries fully and unconditionally guaranteed the Senior Notes as of March 31, 2019:</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Central CA Fuel Cell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Energy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Energy Operating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Clearway Solar Star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ECP Uptown Campus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Center Caguas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Portfolio Solar 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Flagstaff One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Iguana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Las Vegas MB 1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Solar Tabernacle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Asset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II-B,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SPP Fund III,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Canada Infrastructure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Thermal Infrastructure Development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Clearway Energy Operating LLC conducts its business through and derives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Clearway Energy LLC, Clearway Energy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this presentation, Clearway Energy LLC consists of parent company operations. Guarantor subsidiaries and non-guarantor subsidiaries of Clearway Energy LLC are reported on an equity basis. For companies acquired, the fair values of the assets and liabilities acquired have been presented on a push-down accounting basis.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0" w:name="page31"/>
    <w:bookmarkEnd w:id="30"/>
    <w:p>
      <w:pPr>
        <w:ind w:left="3720"/>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Clearway Energy</w:t>
            </w: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LLC</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integration costs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Development costs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consolidated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40"/>
              <w:spacing w:after="0"/>
              <w:rPr>
                <w:sz w:val="20"/>
                <w:szCs w:val="20"/>
                <w:color w:val="auto"/>
              </w:rPr>
            </w:pPr>
            <w:r>
              <w:rPr>
                <w:rFonts w:ascii="Arial" w:cs="Arial" w:eastAsia="Arial" w:hAnsi="Arial"/>
                <w:sz w:val="18"/>
                <w:szCs w:val="18"/>
                <w:color w:val="auto"/>
              </w:rPr>
              <w:t>affiliates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affiliates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3260" w:type="dxa"/>
            <w:vAlign w:val="bottom"/>
          </w:tcPr>
          <w:p>
            <w:pPr>
              <w:ind w:left="40"/>
              <w:spacing w:after="0"/>
              <w:rPr>
                <w:sz w:val="20"/>
                <w:szCs w:val="20"/>
                <w:color w:val="auto"/>
              </w:rPr>
            </w:pPr>
            <w:r>
              <w:rPr>
                <w:rFonts w:ascii="Arial" w:cs="Arial" w:eastAsia="Arial" w:hAnsi="Arial"/>
                <w:sz w:val="18"/>
                <w:szCs w:val="18"/>
                <w:color w:val="auto"/>
              </w:rPr>
              <w:t>Less: Net income (loss) attributable to</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Loss Attributable to Clearway</w:t>
            </w:r>
          </w:p>
        </w:tc>
        <w:tc>
          <w:tcPr>
            <w:tcW w:w="300" w:type="dxa"/>
            <w:vAlign w:val="bottom"/>
            <w:vMerge w:val="restart"/>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Energy LLC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3"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742" w:right="439" w:bottom="1440" w:gutter="0" w:footer="0" w:header="0"/>
        </w:sectPr>
      </w:pPr>
    </w:p>
    <w:bookmarkStart w:id="31" w:name="page32"/>
    <w:bookmarkEnd w:id="31"/>
    <w:p>
      <w:pPr>
        <w:jc w:val="center"/>
        <w:ind w:left="260" w:right="2340"/>
        <w:spacing w:after="0" w:line="475" w:lineRule="auto"/>
        <w:rPr>
          <w:sz w:val="20"/>
          <w:szCs w:val="20"/>
          <w:color w:val="auto"/>
        </w:rPr>
      </w:pPr>
      <w:r>
        <w:rPr>
          <w:rFonts w:ascii="Arial" w:cs="Arial" w:eastAsia="Arial" w:hAnsi="Arial"/>
          <w:sz w:val="18"/>
          <w:szCs w:val="18"/>
          <w:b w:val="1"/>
          <w:bCs w:val="1"/>
          <w:color w:val="auto"/>
        </w:rPr>
        <w:t>CLEARWAY ENERGY LLC AND SUBSIDIARIES CONDENSED CONSOLIDATING STATEMENTS OF COMPREHENSIVE INCOME For the Three Months Ended March 31, 2019 (Unaudited)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Clearway Energy</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Clearway Energy</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derivatives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66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9"/>
        </w:trPr>
        <w:tc>
          <w:tcPr>
            <w:tcW w:w="3660" w:type="dxa"/>
            <w:vAlign w:val="bottom"/>
          </w:tcPr>
          <w:p>
            <w:pPr>
              <w:ind w:left="180"/>
              <w:spacing w:after="0"/>
              <w:rPr>
                <w:sz w:val="20"/>
                <w:szCs w:val="20"/>
                <w:color w:val="auto"/>
              </w:rPr>
            </w:pPr>
            <w:r>
              <w:rPr>
                <w:rFonts w:ascii="Arial" w:cs="Arial" w:eastAsia="Arial" w:hAnsi="Arial"/>
                <w:sz w:val="18"/>
                <w:szCs w:val="18"/>
                <w:color w:val="auto"/>
                <w:w w:val="91"/>
              </w:rPr>
              <w:t>Less: Comprehensive income (loss) attributable</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rPr>
                <w:sz w:val="20"/>
                <w:szCs w:val="20"/>
                <w:color w:val="auto"/>
              </w:rPr>
            </w:pPr>
            <w:r>
              <w:rPr>
                <w:rFonts w:ascii="Arial" w:cs="Arial" w:eastAsia="Arial" w:hAnsi="Arial"/>
                <w:sz w:val="18"/>
                <w:szCs w:val="18"/>
                <w:color w:val="auto"/>
              </w:rPr>
              <w:t>to noncontrolling interests</w:t>
            </w:r>
          </w:p>
        </w:tc>
        <w:tc>
          <w:tcPr>
            <w:tcW w:w="2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1"/>
              </w:rPr>
              <w:t>Comprehensive Loss Attributable to Clearway</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Energy LLC</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2" w:name="page33"/>
    <w:bookmarkEnd w:id="32"/>
    <w:p>
      <w:pPr>
        <w:jc w:val="center"/>
        <w:ind w:right="-119"/>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2019</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Clearway</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Clearway Energy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Energy</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20" w:hanging="158"/>
        <w:spacing w:after="0"/>
        <w:tabs>
          <w:tab w:leader="none" w:pos="22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742" w:right="3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Clearway</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 — affiliate</w:t>
            </w: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Accrued interest expense</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Long-term debt — external</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affiliate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lease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Contributed capital</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deficit) retained earnings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5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7,644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291465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hanging="158"/>
        <w:spacing w:after="0"/>
        <w:tabs>
          <w:tab w:leader="none" w:pos="16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All significant intercompany transactions have been eliminated in consolidation.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300" w:top="958" w:right="29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7"/>
              </w:rPr>
              <w:t>Clearway</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2"/>
              </w:rPr>
              <w:t>Energy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Clearway</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rPr>
              <w:t>LLC (Note</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Energy 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transactions between Clearway Energy LLC and</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Acquisition of interest in Oahu Partnership</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Buyout of Wind TE Holdco 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of investment from unconsolidated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Net investments in unconsolidated affiliates</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w w:val="98"/>
              </w:rPr>
              <w:t>Transfer of funds under intercompany cash management arrangement</w:t>
            </w: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contributions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of) proceeds from distributions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long-term debt — external</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Payments for long-term debt — external</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long-term debt — affiliate</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5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7"/>
              </w:rPr>
              <w:t>Net Increase (Decrease) in Cash, Cash Equivalents and Restricted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b w:val="1"/>
                <w:bCs w:val="1"/>
                <w:color w:val="auto"/>
                <w:w w:val="95"/>
              </w:rPr>
              <w:t>Cash, Cash Equivalents and Restricted Cash at beginning of period</w:t>
            </w:r>
          </w:p>
        </w:tc>
        <w:tc>
          <w:tcPr>
            <w:tcW w:w="1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5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742" w:right="29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1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Energy LLC</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1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rPr>
              <w:t>Acquisition-related transaction and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integration costs</w:t>
            </w:r>
          </w:p>
        </w:tc>
        <w:tc>
          <w:tcPr>
            <w:tcW w:w="18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Equity in income of consolidated affiliates</w:t>
            </w:r>
          </w:p>
        </w:tc>
        <w:tc>
          <w:tcPr>
            <w:tcW w:w="180" w:type="dxa"/>
            <w:vAlign w:val="bottom"/>
          </w:tcPr>
          <w:p>
            <w:pPr>
              <w:spacing w:after="0"/>
              <w:rPr>
                <w:sz w:val="21"/>
                <w:szCs w:val="21"/>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of unconsolidated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affiliates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4"/>
              </w:rPr>
              <w:t>Net Income (Loss) Attributable to Clearway</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ind w:left="60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6"/>
        </w:trPr>
        <w:tc>
          <w:tcPr>
            <w:tcW w:w="3540" w:type="dxa"/>
            <w:vAlign w:val="bottom"/>
          </w:tcPr>
          <w:p>
            <w:pPr>
              <w:ind w:left="200"/>
              <w:spacing w:after="0"/>
              <w:rPr>
                <w:sz w:val="20"/>
                <w:szCs w:val="20"/>
                <w:color w:val="auto"/>
              </w:rPr>
            </w:pPr>
            <w:r>
              <w:rPr>
                <w:rFonts w:ascii="Arial" w:cs="Arial" w:eastAsia="Arial" w:hAnsi="Arial"/>
                <w:sz w:val="18"/>
                <w:szCs w:val="18"/>
                <w:b w:val="1"/>
                <w:bCs w:val="1"/>
                <w:color w:val="auto"/>
              </w:rPr>
              <w:t>Energy LLC</w:t>
            </w:r>
          </w:p>
        </w:tc>
        <w:tc>
          <w:tcPr>
            <w:tcW w:w="1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2"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Clearway</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20" w:type="dxa"/>
            <w:vAlign w:val="bottom"/>
          </w:tcPr>
          <w:p>
            <w:pPr>
              <w:spacing w:after="0"/>
              <w:rPr>
                <w:sz w:val="12"/>
                <w:szCs w:val="12"/>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200" w:type="dxa"/>
            <w:vAlign w:val="bottom"/>
          </w:tcPr>
          <w:p>
            <w:pPr>
              <w:spacing w:after="0"/>
              <w:rPr>
                <w:sz w:val="12"/>
                <w:szCs w:val="12"/>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Energy LLC</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1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Less: Comprehensive loss attributable to</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5"/>
        </w:trPr>
        <w:tc>
          <w:tcPr>
            <w:tcW w:w="32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6"/>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w w:val="97"/>
              </w:rPr>
              <w:t>Attributable to Clearway Energy LLC</w:t>
            </w: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72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11"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All significant intercompany transactions have been eliminated in consolidation.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6"/>
              </w:rPr>
              <w:t>Non-Guarantor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Energy LLC</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35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5,245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3"/>
        </w:trPr>
        <w:tc>
          <w:tcPr>
            <w:tcW w:w="35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5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7,413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Clearway</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Non-Guarantor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Energy LLC</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Subsidiaries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20" w:type="dxa"/>
            <w:vAlign w:val="bottom"/>
            <w:gridSpan w:val="5"/>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Current portion of long-term debt —</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external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560" w:type="dxa"/>
            <w:vAlign w:val="bottom"/>
          </w:tcPr>
          <w:p>
            <w:pPr>
              <w:ind w:left="180"/>
              <w:spacing w:after="0"/>
              <w:rPr>
                <w:sz w:val="20"/>
                <w:szCs w:val="20"/>
                <w:color w:val="auto"/>
              </w:rPr>
            </w:pPr>
            <w:r>
              <w:rPr>
                <w:rFonts w:ascii="Arial" w:cs="Arial" w:eastAsia="Arial" w:hAnsi="Arial"/>
                <w:sz w:val="18"/>
                <w:szCs w:val="18"/>
                <w:color w:val="auto"/>
              </w:rPr>
              <w:t>Accrued expenses and other current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37"/>
        </w:trPr>
        <w:tc>
          <w:tcPr>
            <w:tcW w:w="356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57"/>
        </w:trPr>
        <w:tc>
          <w:tcPr>
            <w:tcW w:w="35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Members’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CLEARWAY ENERGY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Clearway Energy</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Clearway Energy</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LLC</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w w:val="96"/>
              </w:rPr>
              <w:t>Intercompany transactions from Clearway Energy LLC to</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subsidiaries</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the Buckthorn Solar Drop Down Asset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receipts from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Return of investment from unconsolidated affiliates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investments in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Transfer of funds under intercompany cash management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arrangement</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Net contributions from noncontrolling interests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proceeds from distributions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Proceeds from the revolving credit facility</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Proceeds from the issuance of long-term debt - external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Payments for long-term debt — external</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5"/>
        </w:trPr>
        <w:tc>
          <w:tcPr>
            <w:tcW w:w="45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Net Decrease in Cash, Cash Equivalents and Restricted</w:t>
            </w: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Cash</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5"/>
        </w:trPr>
        <w:tc>
          <w:tcPr>
            <w:tcW w:w="45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7"/>
              </w:rPr>
              <w:t>Cash, Cash Equivalents and Restricted Cash at end of</w:t>
            </w:r>
          </w:p>
        </w:tc>
        <w:tc>
          <w:tcPr>
            <w:tcW w:w="32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6"/>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32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2018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The Company believes the allegations of NPPD are meritless and the Company is vigorously defending its rights under the PPAs.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Topic 842</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adopted ASU No. 2019-01, Leases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adoption of the standard resulted in the recording of operating lease liabilities of $174 million and related ROU assets of $168 million. There was no impact to the Company’s consolidated statement of operations or cash flows. The Company utilized its incremental borrowing rate at adoption date, ranging from 4.04% - 4.67%, to determine the amount of the lease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4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evaluates each arrangement at inception to determine if it contains a lease. All of the Company’s leases are operating leases as of March 31,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7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the three months ended March 31, 2019 was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186690</wp:posOffset>
            </wp:positionV>
            <wp:extent cx="703199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1990" cy="171450"/>
                    </a:xfrm>
                    <a:prstGeom prst="rect">
                      <a:avLst/>
                    </a:prstGeom>
                    <a:noFill/>
                  </pic:spPr>
                </pic:pic>
              </a:graphicData>
            </a:graphic>
          </wp:anchor>
        </w:drawing>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886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700" w:type="dxa"/>
            <w:vAlign w:val="bottom"/>
            <w:gridSpan w:val="2"/>
          </w:tcPr>
          <w:p>
            <w:pPr>
              <w:jc w:val="right"/>
              <w:ind w:right="4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80" w:type="dxa"/>
            <w:vAlign w:val="bottom"/>
          </w:tcPr>
          <w:p>
            <w:pPr>
              <w:spacing w:after="0"/>
              <w:rPr>
                <w:sz w:val="23"/>
                <w:szCs w:val="23"/>
                <w:color w:val="auto"/>
              </w:rPr>
            </w:pPr>
          </w:p>
        </w:tc>
        <w:tc>
          <w:tcPr>
            <w:tcW w:w="8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Variable lease cost</w:t>
            </w: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r>
      <w:tr>
        <w:trPr>
          <w:trHeight w:val="237"/>
        </w:trPr>
        <w:tc>
          <w:tcPr>
            <w:tcW w:w="180" w:type="dxa"/>
            <w:vAlign w:val="bottom"/>
          </w:tcPr>
          <w:p>
            <w:pPr>
              <w:spacing w:after="0"/>
              <w:rPr>
                <w:sz w:val="20"/>
                <w:szCs w:val="20"/>
                <w:color w:val="auto"/>
              </w:rPr>
            </w:pPr>
          </w:p>
        </w:tc>
        <w:tc>
          <w:tcPr>
            <w:tcW w:w="8860" w:type="dxa"/>
            <w:vAlign w:val="bottom"/>
          </w:tcPr>
          <w:p>
            <w:pPr>
              <w:ind w:left="920"/>
              <w:spacing w:after="0"/>
              <w:rPr>
                <w:sz w:val="20"/>
                <w:szCs w:val="20"/>
                <w:color w:val="auto"/>
              </w:rPr>
            </w:pPr>
            <w:r>
              <w:rPr>
                <w:rFonts w:ascii="Arial" w:cs="Arial" w:eastAsia="Arial" w:hAnsi="Arial"/>
                <w:sz w:val="18"/>
                <w:szCs w:val="18"/>
                <w:b w:val="1"/>
                <w:bCs w:val="1"/>
                <w:color w:val="auto"/>
              </w:rPr>
              <w:t>Total lease cost</w:t>
            </w:r>
          </w:p>
        </w:tc>
        <w:tc>
          <w:tcPr>
            <w:tcW w:w="70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r>
      <w:tr>
        <w:trPr>
          <w:trHeight w:val="378"/>
        </w:trPr>
        <w:tc>
          <w:tcPr>
            <w:tcW w:w="9040" w:type="dxa"/>
            <w:vAlign w:val="bottom"/>
            <w:gridSpan w:val="2"/>
          </w:tcPr>
          <w:p>
            <w:pPr>
              <w:spacing w:after="0"/>
              <w:rPr>
                <w:sz w:val="20"/>
                <w:szCs w:val="20"/>
                <w:color w:val="auto"/>
              </w:rPr>
            </w:pPr>
            <w:r>
              <w:rPr>
                <w:rFonts w:ascii="Arial" w:cs="Arial" w:eastAsia="Arial" w:hAnsi="Arial"/>
                <w:sz w:val="18"/>
                <w:szCs w:val="18"/>
                <w:color w:val="auto"/>
              </w:rPr>
              <w:t>Operating lease information as of March 31, 2019 was as follows:</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8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180" w:type="dxa"/>
            <w:vAlign w:val="bottom"/>
            <w:tcBorders>
              <w:right w:val="single" w:sz="8" w:color="CCEEFF"/>
            </w:tcBorders>
          </w:tcPr>
          <w:p>
            <w:pPr>
              <w:spacing w:after="0"/>
              <w:rPr>
                <w:sz w:val="21"/>
                <w:szCs w:val="21"/>
                <w:color w:val="auto"/>
              </w:rPr>
            </w:pPr>
          </w:p>
        </w:tc>
        <w:tc>
          <w:tcPr>
            <w:tcW w:w="8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 millions, except term and rate)</w:t>
            </w: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8860" w:type="dxa"/>
            <w:vAlign w:val="bottom"/>
          </w:tcPr>
          <w:p>
            <w:pPr>
              <w:ind w:left="240"/>
              <w:spacing w:after="0"/>
              <w:rPr>
                <w:sz w:val="20"/>
                <w:szCs w:val="20"/>
                <w:color w:val="auto"/>
              </w:rPr>
            </w:pPr>
            <w:r>
              <w:rPr>
                <w:rFonts w:ascii="Arial" w:cs="Arial" w:eastAsia="Arial" w:hAnsi="Arial"/>
                <w:sz w:val="18"/>
                <w:szCs w:val="18"/>
                <w:color w:val="auto"/>
              </w:rPr>
              <w:t>ROU Assets - operating leases</w:t>
            </w:r>
          </w:p>
        </w:tc>
        <w:tc>
          <w:tcPr>
            <w:tcW w:w="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180" w:type="dxa"/>
            <w:vAlign w:val="bottom"/>
            <w:tcBorders>
              <w:right w:val="single" w:sz="8" w:color="CCEEFF"/>
            </w:tcBorders>
          </w:tcPr>
          <w:p>
            <w:pPr>
              <w:spacing w:after="0"/>
              <w:rPr>
                <w:sz w:val="24"/>
                <w:szCs w:val="24"/>
                <w:color w:val="auto"/>
              </w:rPr>
            </w:pPr>
          </w:p>
        </w:tc>
        <w:tc>
          <w:tcPr>
            <w:tcW w:w="8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886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Short-term lease liability - operating leases </w:t>
            </w:r>
            <w:r>
              <w:rPr>
                <w:rFonts w:ascii="Arial" w:cs="Arial" w:eastAsia="Arial" w:hAnsi="Arial"/>
                <w:sz w:val="25"/>
                <w:szCs w:val="25"/>
                <w:color w:val="auto"/>
                <w:vertAlign w:val="superscript"/>
              </w:rPr>
              <w:t>(a)</w:t>
            </w: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r>
      <w:tr>
        <w:trPr>
          <w:trHeight w:val="270"/>
        </w:trPr>
        <w:tc>
          <w:tcPr>
            <w:tcW w:w="180" w:type="dxa"/>
            <w:vAlign w:val="bottom"/>
            <w:tcBorders>
              <w:right w:val="single" w:sz="8" w:color="CCEEFF"/>
            </w:tcBorders>
          </w:tcPr>
          <w:p>
            <w:pPr>
              <w:spacing w:after="0"/>
              <w:rPr>
                <w:sz w:val="23"/>
                <w:szCs w:val="23"/>
                <w:color w:val="auto"/>
              </w:rPr>
            </w:pPr>
          </w:p>
        </w:tc>
        <w:tc>
          <w:tcPr>
            <w:tcW w:w="8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Long-term lease liability - operating leases</w:t>
            </w:r>
          </w:p>
        </w:tc>
        <w:tc>
          <w:tcPr>
            <w:tcW w:w="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180" w:type="dxa"/>
            <w:vAlign w:val="bottom"/>
          </w:tcPr>
          <w:p>
            <w:pPr>
              <w:spacing w:after="0"/>
              <w:rPr>
                <w:sz w:val="20"/>
                <w:szCs w:val="20"/>
                <w:color w:val="auto"/>
              </w:rPr>
            </w:pPr>
          </w:p>
        </w:tc>
        <w:tc>
          <w:tcPr>
            <w:tcW w:w="8860" w:type="dxa"/>
            <w:vAlign w:val="bottom"/>
          </w:tcPr>
          <w:p>
            <w:pPr>
              <w:ind w:left="880"/>
              <w:spacing w:after="0"/>
              <w:rPr>
                <w:sz w:val="20"/>
                <w:szCs w:val="20"/>
                <w:color w:val="auto"/>
              </w:rPr>
            </w:pPr>
            <w:r>
              <w:rPr>
                <w:rFonts w:ascii="Arial" w:cs="Arial" w:eastAsia="Arial" w:hAnsi="Arial"/>
                <w:sz w:val="18"/>
                <w:szCs w:val="18"/>
                <w:b w:val="1"/>
                <w:bCs w:val="1"/>
                <w:color w:val="auto"/>
              </w:rPr>
              <w:t>Total lease liability</w:t>
            </w:r>
          </w:p>
        </w:tc>
        <w:tc>
          <w:tcPr>
            <w:tcW w:w="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 w:type="dxa"/>
            <w:vAlign w:val="bottom"/>
            <w:tcBorders>
              <w:top w:val="single" w:sz="8" w:color="auto"/>
            </w:tcBorders>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180" w:type="dxa"/>
            <w:vAlign w:val="bottom"/>
            <w:tcBorders>
              <w:right w:val="single" w:sz="8" w:color="CCEEFF"/>
            </w:tcBorders>
          </w:tcPr>
          <w:p>
            <w:pPr>
              <w:spacing w:after="0"/>
              <w:rPr>
                <w:sz w:val="24"/>
                <w:szCs w:val="24"/>
                <w:color w:val="auto"/>
              </w:rPr>
            </w:pPr>
          </w:p>
        </w:tc>
        <w:tc>
          <w:tcPr>
            <w:tcW w:w="8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8860" w:type="dxa"/>
            <w:vAlign w:val="bottom"/>
          </w:tcPr>
          <w:p>
            <w:pPr>
              <w:ind w:left="240"/>
              <w:spacing w:after="0"/>
              <w:rPr>
                <w:sz w:val="20"/>
                <w:szCs w:val="20"/>
                <w:color w:val="auto"/>
              </w:rPr>
            </w:pPr>
            <w:r>
              <w:rPr>
                <w:rFonts w:ascii="Arial" w:cs="Arial" w:eastAsia="Arial" w:hAnsi="Arial"/>
                <w:sz w:val="18"/>
                <w:szCs w:val="18"/>
                <w:color w:val="auto"/>
              </w:rPr>
              <w:t>Cash paid for operating leases</w:t>
            </w:r>
          </w:p>
        </w:tc>
        <w:tc>
          <w:tcPr>
            <w:tcW w:w="7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right w:val="single" w:sz="8" w:color="CCEEFF"/>
            </w:tcBorders>
          </w:tcPr>
          <w:p>
            <w:pPr>
              <w:spacing w:after="0"/>
              <w:rPr>
                <w:sz w:val="21"/>
                <w:szCs w:val="21"/>
                <w:color w:val="auto"/>
              </w:rPr>
            </w:pPr>
          </w:p>
        </w:tc>
        <w:tc>
          <w:tcPr>
            <w:tcW w:w="8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8860" w:type="dxa"/>
            <w:vAlign w:val="bottom"/>
          </w:tcPr>
          <w:p>
            <w:pPr>
              <w:ind w:left="240"/>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1"/>
                <w:szCs w:val="21"/>
                <w:color w:val="auto"/>
              </w:rPr>
            </w:pPr>
          </w:p>
        </w:tc>
      </w:tr>
    </w:tbl>
    <w:p>
      <w:pPr>
        <w:spacing w:after="0" w:line="278" w:lineRule="exact"/>
        <w:rPr>
          <w:sz w:val="20"/>
          <w:szCs w:val="20"/>
          <w:color w:val="auto"/>
        </w:rPr>
      </w:pPr>
    </w:p>
    <w:p>
      <w:pPr>
        <w:ind w:left="220" w:hanging="131"/>
        <w:spacing w:after="0"/>
        <w:tabs>
          <w:tab w:leader="none" w:pos="220" w:val="left"/>
        </w:tabs>
        <w:numPr>
          <w:ilvl w:val="0"/>
          <w:numId w:val="22"/>
        </w:numPr>
        <w:rPr>
          <w:rFonts w:ascii="Arial" w:cs="Arial" w:eastAsia="Arial" w:hAnsi="Arial"/>
          <w:sz w:val="9"/>
          <w:szCs w:val="9"/>
          <w:color w:val="auto"/>
        </w:rPr>
      </w:pPr>
      <w:r>
        <w:rPr>
          <w:rFonts w:ascii="Arial" w:cs="Arial" w:eastAsia="Arial" w:hAnsi="Arial"/>
          <w:sz w:val="14"/>
          <w:szCs w:val="14"/>
          <w:color w:val="auto"/>
        </w:rPr>
        <w:t>Short-term lease liability balances are included within the accrued expenses and other current liabilities line item of the consolidated balance sheets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Maturities of operating lease liabilities as of March 31,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203835</wp:posOffset>
            </wp:positionV>
            <wp:extent cx="70751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Arial" w:cs="Arial" w:eastAsia="Arial" w:hAnsi="Arial"/>
                <w:sz w:val="18"/>
                <w:szCs w:val="18"/>
                <w:color w:val="auto"/>
              </w:rPr>
              <w:t>Remainder of 2019</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Arial" w:cs="Arial" w:eastAsia="Arial" w:hAnsi="Arial"/>
                <w:sz w:val="18"/>
                <w:szCs w:val="18"/>
                <w:color w:val="auto"/>
              </w:rPr>
              <w:t>Total lease payments</w:t>
            </w:r>
          </w:p>
        </w:tc>
        <w:tc>
          <w:tcPr>
            <w:tcW w:w="9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Less imputed interest</w:t>
            </w:r>
          </w:p>
        </w:tc>
        <w:tc>
          <w:tcPr>
            <w:tcW w:w="9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920" w:type="dxa"/>
            <w:vAlign w:val="bottom"/>
          </w:tcPr>
          <w:p>
            <w:pPr>
              <w:ind w:left="280"/>
              <w:spacing w:after="0"/>
              <w:rPr>
                <w:sz w:val="20"/>
                <w:szCs w:val="20"/>
                <w:color w:val="auto"/>
              </w:rPr>
            </w:pPr>
            <w:r>
              <w:rPr>
                <w:rFonts w:ascii="Arial" w:cs="Arial" w:eastAsia="Arial" w:hAnsi="Arial"/>
                <w:sz w:val="18"/>
                <w:szCs w:val="18"/>
                <w:b w:val="1"/>
                <w:bCs w:val="1"/>
                <w:color w:val="auto"/>
              </w:rPr>
              <w:t>Total lease liability - operating leases</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color w:val="auto"/>
              </w:rPr>
              <w:t>Future minimum lease commitments under operating leases as of December 31, 2018 are as follows:</w:t>
            </w: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90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2019</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2021</w:t>
            </w:r>
          </w:p>
        </w:tc>
        <w:tc>
          <w:tcPr>
            <w:tcW w:w="9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9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20"/>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8920" w:type="dxa"/>
            <w:vAlign w:val="bottom"/>
          </w:tcPr>
          <w:p>
            <w:pPr>
              <w:ind w:left="920"/>
              <w:spacing w:after="0"/>
              <w:rPr>
                <w:sz w:val="20"/>
                <w:szCs w:val="20"/>
                <w:color w:val="auto"/>
              </w:rPr>
            </w:pPr>
            <w:r>
              <w:rPr>
                <w:rFonts w:ascii="Arial" w:cs="Arial" w:eastAsia="Arial" w:hAnsi="Arial"/>
                <w:sz w:val="18"/>
                <w:szCs w:val="18"/>
                <w:b w:val="1"/>
                <w:bCs w:val="1"/>
                <w:color w:val="auto"/>
              </w:rPr>
              <w:t>Total lease payments</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Arial" w:cs="Arial" w:eastAsia="Arial" w:hAnsi="Arial"/>
          <w:sz w:val="18"/>
          <w:szCs w:val="18"/>
          <w:i w:val="1"/>
          <w:iCs w:val="1"/>
          <w:color w:val="auto"/>
        </w:rPr>
        <w:t>Introduction, Environmental, Regulatory</w:t>
      </w:r>
      <w:r>
        <w:rPr>
          <w:rFonts w:ascii="Arial" w:cs="Arial" w:eastAsia="Arial" w:hAnsi="Arial"/>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following amounts of energy and capacity revenue are related to the Company’s leases: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 millions)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Conventional Generation</w:t>
            </w: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Renewables</w:t>
            </w: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Energy revenue</w:t>
            </w:r>
          </w:p>
        </w:tc>
        <w:tc>
          <w:tcPr>
            <w:tcW w:w="2320" w:type="dxa"/>
            <w:vAlign w:val="bottom"/>
          </w:tcPr>
          <w:p>
            <w:pPr>
              <w:jc w:val="right"/>
              <w:ind w:right="211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4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Capacity revenue</w:t>
            </w:r>
          </w:p>
        </w:tc>
        <w:tc>
          <w:tcPr>
            <w:tcW w:w="23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37"/>
        </w:trPr>
        <w:tc>
          <w:tcPr>
            <w:tcW w:w="4360" w:type="dxa"/>
            <w:vAlign w:val="bottom"/>
          </w:tcPr>
          <w:p>
            <w:pPr>
              <w:ind w:left="280"/>
              <w:spacing w:after="0"/>
              <w:rPr>
                <w:sz w:val="20"/>
                <w:szCs w:val="20"/>
                <w:color w:val="auto"/>
              </w:rPr>
            </w:pPr>
            <w:r>
              <w:rPr>
                <w:rFonts w:ascii="Arial" w:cs="Arial" w:eastAsia="Arial" w:hAnsi="Arial"/>
                <w:sz w:val="18"/>
                <w:szCs w:val="18"/>
                <w:color w:val="auto"/>
              </w:rPr>
              <w:t>Operating revenue</w:t>
            </w:r>
          </w:p>
        </w:tc>
        <w:tc>
          <w:tcPr>
            <w:tcW w:w="2320" w:type="dxa"/>
            <w:vAlign w:val="bottom"/>
            <w:tcBorders>
              <w:top w:val="single" w:sz="8" w:color="auto"/>
            </w:tcBorders>
          </w:tcPr>
          <w:p>
            <w:pPr>
              <w:jc w:val="right"/>
              <w:ind w:right="21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rent payments under the operating leases for the remaining periods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186690</wp:posOffset>
            </wp:positionV>
            <wp:extent cx="529971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00"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Remainder of 2019</w:t>
            </w:r>
          </w:p>
        </w:tc>
        <w:tc>
          <w:tcPr>
            <w:tcW w:w="4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2021</w:t>
            </w:r>
          </w:p>
        </w:tc>
        <w:tc>
          <w:tcPr>
            <w:tcW w:w="3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5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lease payments</w:t>
            </w:r>
          </w:p>
        </w:tc>
        <w:tc>
          <w:tcPr>
            <w:tcW w:w="4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Arial" w:cs="Arial" w:eastAsia="Arial" w:hAnsi="Arial"/>
                <w:sz w:val="18"/>
                <w:szCs w:val="18"/>
                <w:color w:val="auto"/>
              </w:rPr>
              <w:t>43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0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Property, plant and equipment, net related to the Company’s operating leases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186690</wp:posOffset>
            </wp:positionV>
            <wp:extent cx="529971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99710" cy="171450"/>
                    </a:xfrm>
                    <a:prstGeom prst="rect">
                      <a:avLst/>
                    </a:prstGeom>
                    <a:noFill/>
                  </pic:spPr>
                </pic:pic>
              </a:graphicData>
            </a:graphic>
          </wp:anchor>
        </w:drawing>
      </w:r>
    </w:p>
    <w:p>
      <w:pPr>
        <w:spacing w:after="0" w:line="300"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(In millions)</w:t>
      </w:r>
    </w:p>
    <w:p>
      <w:pPr>
        <w:spacing w:after="0" w:line="72"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6,073</w:t>
            </w:r>
          </w:p>
        </w:tc>
      </w:tr>
      <w:tr>
        <w:trPr>
          <w:trHeight w:val="27"/>
        </w:trPr>
        <w:tc>
          <w:tcPr>
            <w:tcW w:w="3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9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3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4,638</w:t>
            </w:r>
          </w:p>
        </w:tc>
      </w:tr>
      <w:tr>
        <w:trPr>
          <w:trHeight w:val="837"/>
        </w:trPr>
        <w:tc>
          <w:tcPr>
            <w:tcW w:w="3280" w:type="dxa"/>
            <w:vAlign w:val="bottom"/>
          </w:tcPr>
          <w:p>
            <w:pPr>
              <w:spacing w:after="0"/>
              <w:rPr>
                <w:sz w:val="24"/>
                <w:szCs w:val="24"/>
                <w:color w:val="auto"/>
              </w:rPr>
            </w:pPr>
          </w:p>
        </w:tc>
        <w:tc>
          <w:tcPr>
            <w:tcW w:w="3980" w:type="dxa"/>
            <w:vAlign w:val="bottom"/>
          </w:tcPr>
          <w:p>
            <w:pPr>
              <w:jc w:val="right"/>
              <w:ind w:right="2910"/>
              <w:spacing w:after="0"/>
              <w:rPr>
                <w:sz w:val="20"/>
                <w:szCs w:val="20"/>
                <w:color w:val="auto"/>
              </w:rPr>
            </w:pPr>
            <w:r>
              <w:rPr>
                <w:rFonts w:ascii="Arial" w:cs="Arial" w:eastAsia="Arial" w:hAnsi="Arial"/>
                <w:sz w:val="18"/>
                <w:szCs w:val="18"/>
                <w:color w:val="auto"/>
              </w:rPr>
              <w:t>44</w:t>
            </w:r>
          </w:p>
        </w:tc>
        <w:tc>
          <w:tcPr>
            <w:tcW w:w="1100" w:type="dxa"/>
            <w:vAlign w:val="bottom"/>
          </w:tcPr>
          <w:p>
            <w:pPr>
              <w:spacing w:after="0"/>
              <w:rPr>
                <w:sz w:val="24"/>
                <w:szCs w:val="24"/>
                <w:color w:val="auto"/>
              </w:rPr>
            </w:pPr>
          </w:p>
        </w:tc>
      </w:tr>
    </w:tbl>
    <w:p>
      <w:pPr>
        <w:sectPr>
          <w:pgSz w:w="11900" w:h="16838" w:orient="portrait"/>
          <w:cols w:equalWidth="0" w:num="1">
            <w:col w:w="10219"/>
          </w:cols>
          <w:pgMar w:left="240" w:top="1111"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discussion analyzes the Company's historical financial condition and results of operations.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months ended March 31, 2019 and 2018.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2018 Form 10-K, which includes detailed discussions of various items impacting the Company's business, results of operations and financial condition.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63"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Clearway Energy LLC (formerly NRG Yield LLC), together with its consolidated subsidiaries, or the Company, is an energy infrastructure investor in and owner of modern, sustainable and long-term contracted assets across North America. The Company is indirectly owned by Global Infrastructure Partners</w:t>
      </w:r>
    </w:p>
    <w:p>
      <w:pPr>
        <w:ind w:firstLine="8"/>
        <w:spacing w:after="0" w:line="290" w:lineRule="auto"/>
        <w:tabs>
          <w:tab w:leader="none" w:pos="276" w:val="left"/>
        </w:tabs>
        <w:numPr>
          <w:ilvl w:val="0"/>
          <w:numId w:val="24"/>
        </w:numPr>
        <w:rPr>
          <w:rFonts w:ascii="Arial" w:cs="Arial" w:eastAsia="Arial" w:hAnsi="Arial"/>
          <w:sz w:val="17"/>
          <w:szCs w:val="17"/>
          <w:color w:val="auto"/>
        </w:rPr>
      </w:pPr>
      <w:r>
        <w:rPr>
          <w:rFonts w:ascii="Arial" w:cs="Arial" w:eastAsia="Arial" w:hAnsi="Arial"/>
          <w:sz w:val="17"/>
          <w:szCs w:val="17"/>
          <w:color w:val="auto"/>
        </w:rPr>
        <w:t>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0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Company’s environmentally sound asset portfolio includes over </w:t>
      </w:r>
      <w:r>
        <w:rPr>
          <w:rFonts w:ascii="Arial" w:cs="Arial" w:eastAsia="Arial" w:hAnsi="Arial"/>
          <w:sz w:val="18"/>
          <w:szCs w:val="18"/>
          <w:color w:val="231F20"/>
        </w:rPr>
        <w:t>5,272</w:t>
      </w:r>
      <w:r>
        <w:rPr>
          <w:rFonts w:ascii="Arial" w:cs="Arial" w:eastAsia="Arial" w:hAnsi="Arial"/>
          <w:sz w:val="18"/>
          <w:szCs w:val="18"/>
          <w:color w:val="auto"/>
        </w:rPr>
        <w:t xml:space="preserve">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w:t>
      </w:r>
      <w:r>
        <w:rPr>
          <w:rFonts w:ascii="Arial" w:cs="Arial" w:eastAsia="Arial" w:hAnsi="Arial"/>
          <w:sz w:val="18"/>
          <w:szCs w:val="18"/>
          <w:color w:val="231F20"/>
        </w:rPr>
        <w:t>14 years as of March 31, 2019</w:t>
      </w:r>
      <w:r>
        <w:rPr>
          <w:rFonts w:ascii="Arial" w:cs="Arial" w:eastAsia="Arial" w:hAnsi="Arial"/>
          <w:sz w:val="18"/>
          <w:szCs w:val="18"/>
          <w:color w:val="auto"/>
        </w:rPr>
        <w:t xml:space="preserve"> based on CAFD</w:t>
      </w:r>
      <w:r>
        <w:rPr>
          <w:rFonts w:ascii="Arial" w:cs="Arial" w:eastAsia="Arial" w:hAnsi="Arial"/>
          <w:sz w:val="18"/>
          <w:szCs w:val="18"/>
          <w:color w:val="231F20"/>
        </w:rPr>
        <w:t>. The</w:t>
      </w:r>
      <w:r>
        <w:rPr>
          <w:rFonts w:ascii="Arial" w:cs="Arial" w:eastAsia="Arial" w:hAnsi="Arial"/>
          <w:sz w:val="18"/>
          <w:szCs w:val="18"/>
          <w:color w:val="auto"/>
        </w:rPr>
        <w:t xml:space="preserve"> </w:t>
      </w:r>
      <w:r>
        <w:rPr>
          <w:rFonts w:ascii="Arial" w:cs="Arial" w:eastAsia="Arial" w:hAnsi="Arial"/>
          <w:sz w:val="18"/>
          <w:szCs w:val="18"/>
          <w:color w:val="231F20"/>
        </w:rPr>
        <w:t>Company also owns thermal infrastructure assets with an aggregate steam and chilled water capacity of 1,385 net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2019, the Company's operating assets are comprised of the following projects: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Buckthorn Solar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City of Georgetown, TX</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 (e)</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SPP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2026 - 2037</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 DG Projects</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2023 - 2039</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977"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Hardin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Energy Center Dover LLC</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Power sold into PJM markets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5,405</w:t>
            </w:r>
          </w:p>
        </w:tc>
        <w:tc>
          <w:tcPr>
            <w:tcW w:w="100" w:type="dxa"/>
            <w:vAlign w:val="bottom"/>
            <w:tcBorders>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March 31, 2019.</w:t>
      </w:r>
    </w:p>
    <w:p>
      <w:pPr>
        <w:ind w:left="180" w:hanging="172"/>
        <w:spacing w:after="0" w:line="191" w:lineRule="auto"/>
        <w:tabs>
          <w:tab w:leader="none" w:pos="180"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p>
    <w:p>
      <w:pPr>
        <w:spacing w:after="0" w:line="10" w:lineRule="exact"/>
        <w:rPr>
          <w:rFonts w:ascii="Arial" w:cs="Arial" w:eastAsia="Arial" w:hAnsi="Arial"/>
          <w:sz w:val="21"/>
          <w:szCs w:val="21"/>
          <w:color w:val="auto"/>
          <w:vertAlign w:val="superscript"/>
        </w:rPr>
      </w:pPr>
    </w:p>
    <w:p>
      <w:pPr>
        <w:ind w:firstLine="8"/>
        <w:spacing w:after="0" w:line="219" w:lineRule="auto"/>
        <w:tabs>
          <w:tab w:leader="none" w:pos="174"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5,411 MWs.</w:t>
      </w:r>
    </w:p>
    <w:p>
      <w:pPr>
        <w:ind w:firstLine="8"/>
        <w:spacing w:after="0" w:line="232" w:lineRule="auto"/>
        <w:tabs>
          <w:tab w:leader="none" w:pos="167"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For thermal energy, net capacity represents MWt for steam or chilled water and excludes 112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40" w:hanging="132"/>
        <w:spacing w:after="0" w:line="223" w:lineRule="auto"/>
        <w:tabs>
          <w:tab w:leader="none" w:pos="140" w:val="left"/>
        </w:tabs>
        <w:numPr>
          <w:ilvl w:val="0"/>
          <w:numId w:val="25"/>
        </w:numPr>
        <w:rPr>
          <w:rFonts w:ascii="Arial" w:cs="Arial" w:eastAsia="Arial" w:hAnsi="Arial"/>
          <w:sz w:val="18"/>
          <w:szCs w:val="18"/>
          <w:color w:val="auto"/>
          <w:vertAlign w:val="superscript"/>
        </w:rPr>
      </w:pPr>
      <w:r>
        <w:rPr>
          <w:rFonts w:ascii="Arial" w:cs="Arial" w:eastAsia="Arial" w:hAnsi="Arial"/>
          <w:sz w:val="16"/>
          <w:szCs w:val="16"/>
          <w:color w:val="auto"/>
        </w:rPr>
        <w:t>Projects are part of Wind TE Holdco portfolio.</w:t>
      </w:r>
    </w:p>
    <w:p>
      <w:pPr>
        <w:spacing w:after="0" w:line="14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addition to the facilities owned or leased in the table above, the Company is party to partnerships the purpose of which is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pursuant to the partnership agreements as of March 31, 2019. For further discussions, see Item 15 — Note 4, </w:t>
      </w:r>
      <w:r>
        <w:rPr>
          <w:rFonts w:ascii="Arial" w:cs="Arial" w:eastAsia="Arial" w:hAnsi="Arial"/>
          <w:sz w:val="17"/>
          <w:szCs w:val="17"/>
          <w:i w:val="1"/>
          <w:iCs w:val="1"/>
          <w:color w:val="auto"/>
        </w:rPr>
        <w:t>Investments Accounted for by the Equity Method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Variable Interest Entities </w:t>
      </w:r>
      <w:r>
        <w:rPr>
          <w:rFonts w:ascii="Arial" w:cs="Arial" w:eastAsia="Arial" w:hAnsi="Arial"/>
          <w:sz w:val="17"/>
          <w:szCs w:val="17"/>
          <w:color w:val="auto"/>
        </w:rPr>
        <w:t>of this Form 10-Q and Item 1 — Note 5,</w:t>
      </w:r>
      <w:r>
        <w:rPr>
          <w:rFonts w:ascii="Arial" w:cs="Arial" w:eastAsia="Arial" w:hAnsi="Arial"/>
          <w:sz w:val="17"/>
          <w:szCs w:val="17"/>
          <w:i w:val="1"/>
          <w:iCs w:val="1"/>
          <w:color w:val="auto"/>
        </w:rPr>
        <w:t xml:space="preserve"> Investments Accounted for by the Equity Method and Variable Interest Entities </w:t>
      </w:r>
      <w:r>
        <w:rPr>
          <w:rFonts w:ascii="Arial" w:cs="Arial" w:eastAsia="Arial" w:hAnsi="Arial"/>
          <w:sz w:val="17"/>
          <w:szCs w:val="17"/>
          <w:color w:val="auto"/>
        </w:rPr>
        <w:t>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the Company's 2018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8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Significant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 Gas and Electric Company Bankruptcy</w:t>
      </w:r>
    </w:p>
    <w:p>
      <w:pPr>
        <w:spacing w:after="0" w:line="90" w:lineRule="exact"/>
        <w:rPr>
          <w:sz w:val="20"/>
          <w:szCs w:val="20"/>
          <w:color w:val="auto"/>
        </w:rPr>
      </w:pPr>
    </w:p>
    <w:p>
      <w:pPr>
        <w:jc w:val="both"/>
        <w:ind w:left="340" w:hanging="332"/>
        <w:spacing w:after="0" w:line="270"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On January 29, 2019, PG&amp;E filed for reorganization under Chapter 11 of the U.S. Bankruptcy Code in the U.S. Bankruptcy Court for the Northern District of California.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March 31, 2019, the Company had $1.4 billion of property, plant and equipment, net, $352 million investments in unconsolidated affiliates and $1.3 billion of borrowings with final maturity dates ranging from 2023 - 2038 related to these facilities. The related subsidiaries of the Company are parties to financing agreements consisting of non-recourse project level debt and, in certain cases, non-recourse holding company debt. The PG&amp;E Bankruptcy has triggered defaults under the PPAs with PG&amp;E and such related financing agreements, as further discussed in Item 1 —Note 7, </w:t>
      </w:r>
      <w:r>
        <w:rPr>
          <w:rFonts w:ascii="Arial" w:cs="Arial" w:eastAsia="Arial" w:hAnsi="Arial"/>
          <w:sz w:val="17"/>
          <w:szCs w:val="17"/>
          <w:i w:val="1"/>
          <w:iCs w:val="1"/>
          <w:color w:val="auto"/>
        </w:rPr>
        <w:t>Long-Term Debt</w:t>
      </w:r>
      <w:r>
        <w:rPr>
          <w:rFonts w:ascii="Arial" w:cs="Arial" w:eastAsia="Arial" w:hAnsi="Arial"/>
          <w:sz w:val="17"/>
          <w:szCs w:val="17"/>
          <w:color w:val="auto"/>
        </w:rPr>
        <w:t>. As a result, the Company recorded approximately $1.3 billion of principal, net of the related unamortized debt issuance costs, with final maturity dates ranging from 2023 - 2038, as short-term debt. The Company continues to assess the potential future impacts of the PG&amp;E bankruptcy filing as events occur.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2019 Convertible Notes</w:t>
      </w:r>
    </w:p>
    <w:p>
      <w:pPr>
        <w:spacing w:after="0" w:line="171" w:lineRule="exact"/>
        <w:rPr>
          <w:sz w:val="20"/>
          <w:szCs w:val="20"/>
          <w:color w:val="auto"/>
        </w:rPr>
      </w:pPr>
    </w:p>
    <w:p>
      <w:pPr>
        <w:jc w:val="both"/>
        <w:ind w:left="340" w:hanging="251"/>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2019, Clearway Energy, Inc. repurchased an aggregate principal amount of $50 million of the 2019 Convertible Notes in open market transactions. The repurchases were funded through a partial repayment of the intercompany note between Clearway Operating LLC and Clearway Energy, Inc. The 2019 Convertible Notes matured on February 1, 2019 and the Company paid off the remaining balance of an aggregate principal amount of $170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Carlsbad Project</w:t>
      </w:r>
    </w:p>
    <w:p>
      <w:pPr>
        <w:spacing w:after="0" w:line="171" w:lineRule="exact"/>
        <w:rPr>
          <w:sz w:val="20"/>
          <w:szCs w:val="20"/>
          <w:color w:val="auto"/>
        </w:rPr>
      </w:pPr>
    </w:p>
    <w:p>
      <w:pPr>
        <w:jc w:val="both"/>
        <w:ind w:left="340" w:hanging="332"/>
        <w:spacing w:after="0" w:line="25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February 6, 2018, the Company entered into an agreement with NRG to purchase 100% of the membership interests in Carlsbad Energy Holdings LLC, which indirectly owns the Carlsbad project, a 527 MW natural gas fired project in Carlsbad, CA, pursuant to the NRG ROFO Agreement. Following the COD of the project in December 2018, the Company elected to utilize the Carlsbad backstop facility provided by GIP; as such, GIP purchased 100% of the membership interest in Carlsbad Energy Holdings LLC on February 27, 2019. The purchase price for the transaction was $387 million in cash consideration, exclusive of working capital and other adjustments, as well as the assumption of non-recourse debt of $601 million at completion. The Company maintains the option to purchase Carlsbad from GIP at any time within 18 months after February 27, 2019 at the same economic terms at which it originally agreed to purchase the asset from NRG. Should the Company not acquire Carlsbad during such 18 months, the project will become a CEG ROFO Asset.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Reduction</w:t>
      </w:r>
    </w:p>
    <w:p>
      <w:pPr>
        <w:spacing w:after="0" w:line="171" w:lineRule="exact"/>
        <w:rPr>
          <w:sz w:val="20"/>
          <w:szCs w:val="20"/>
          <w:color w:val="auto"/>
        </w:rPr>
      </w:pPr>
    </w:p>
    <w:p>
      <w:pPr>
        <w:jc w:val="both"/>
        <w:ind w:left="340" w:hanging="332"/>
        <w:spacing w:after="0" w:line="29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February 12, 2019, and as a result of impacts related to the PG&amp;E Bankruptcy, Clearway Energy, Inc.'s Board of Directors declared a quarterly dividend on its Class A and Class C common stock of $0.20 per share paid on March 15, 2019, to stockholders of record as of March 1, 2019. This dividend was reduced from the prior quarterly dividend paid in December 2018 of $0.331 per share. A similar decrease was made to the Company's distributions to its unitholders. Again on May 1, 2019, the Company's Board of Directors declared a quarterly dividend on Class A and Class C common stock of $0.20 per share, payable on June 15, 2019 to stockholders of record as of June 1, 2019. The Company will continue to assess the level of the distribution pending developments in the PG&amp;E Bankruptcy, including the Company’s ability to receive unrestricted project distributions.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CEG ROFO Agreement Amendment</w:t>
      </w:r>
    </w:p>
    <w:p>
      <w:pPr>
        <w:spacing w:after="0" w:line="171"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On February 14, 2019, the CEG ROFO Agreement was amended to grant the Company a right of first offer for Hawaii Solar Phase II, which consists of the Mililani I and Waiawa solar and storage projects located in Oahu, Hawaii.</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Hawaii Solar Phase I ROFO Acquisition</w:t>
      </w:r>
    </w:p>
    <w:p>
      <w:pPr>
        <w:spacing w:after="0" w:line="171" w:lineRule="exact"/>
        <w:rPr>
          <w:sz w:val="20"/>
          <w:szCs w:val="20"/>
          <w:color w:val="auto"/>
        </w:rPr>
      </w:pPr>
    </w:p>
    <w:p>
      <w:pPr>
        <w:jc w:val="both"/>
        <w:ind w:left="340" w:hanging="332"/>
        <w:spacing w:after="0" w:line="290"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On March 8, 2019, the Company entered into a partnership with Clearway Renew LLC, a subsidiary of CEG, to own, finance, operate, and maintain the Oahu Solar projects, which consist of Lanikuhana and Waipio, utility-scale solar generation projects which represent 15 MW and 46 MW respectively, in Oahu, Hawaii. The Company made an original capital contribution in the amount of $4 million and recorded a payable in the amount of $16 million due to Clearway Renew LLC in the accounts payable - affiliate on the Company's consolidated balance sheets as of March 31, 2019. For further discussion, see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The Oahu Partnership is a component of the Hawaii Solar Phase I ROFO Acquisition which in aggregate totals 80 MW of utility-scale solar projects located in Kawailoa and Oahu, Hawaii and is being purchased from Clearway Group for a total cash consideration of $28 million plus the assumption of non-recourse debt of $169 million. The purchase price for the Hawaii Solar Phase I ROFO Acquisition projects will be funded with existing liquidity. The projects are expected to be completed in summer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 TE Holdco Buyout</w:t>
      </w:r>
    </w:p>
    <w:p>
      <w:pPr>
        <w:spacing w:after="0" w:line="171" w:lineRule="exact"/>
        <w:rPr>
          <w:sz w:val="20"/>
          <w:szCs w:val="20"/>
          <w:color w:val="auto"/>
        </w:rPr>
      </w:pPr>
    </w:p>
    <w:p>
      <w:pPr>
        <w:jc w:val="both"/>
        <w:ind w:left="340" w:hanging="332"/>
        <w:spacing w:after="0" w:line="286" w:lineRule="auto"/>
        <w:tabs>
          <w:tab w:leader="none" w:pos="340"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 xml:space="preserve">On August 30, 2018, Wind TE Holdco entered into a partnership with CEG in order to facilitate the repowering of the Elbow Creek and Wildorado facilities. As part of the repowering partnership, the Company bought out an existing tax equity partner of Wind TE Holdco for $19 million on January 2, 2019. For further discussion, see Note 4, </w:t>
      </w:r>
      <w:r>
        <w:rPr>
          <w:rFonts w:ascii="Arial" w:cs="Arial" w:eastAsia="Arial" w:hAnsi="Arial"/>
          <w:sz w:val="17"/>
          <w:szCs w:val="17"/>
          <w:i w:val="1"/>
          <w:iCs w:val="1"/>
          <w:color w:val="auto"/>
        </w:rPr>
        <w:t>Investments Accounted for by the Equity Method and Variable Interest Entities.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Duquesne Thermal</w:t>
      </w:r>
    </w:p>
    <w:p>
      <w:pPr>
        <w:spacing w:after="0" w:line="171" w:lineRule="exact"/>
        <w:rPr>
          <w:sz w:val="20"/>
          <w:szCs w:val="20"/>
          <w:color w:val="auto"/>
        </w:rPr>
      </w:pPr>
    </w:p>
    <w:p>
      <w:pPr>
        <w:jc w:val="both"/>
        <w:ind w:left="340" w:hanging="332"/>
        <w:spacing w:after="0" w:line="273" w:lineRule="auto"/>
        <w:tabs>
          <w:tab w:leader="none" w:pos="340" w:val="left"/>
        </w:tabs>
        <w:numPr>
          <w:ilvl w:val="0"/>
          <w:numId w:val="33"/>
        </w:numPr>
        <w:rPr>
          <w:rFonts w:ascii="Arial" w:cs="Arial" w:eastAsia="Arial" w:hAnsi="Arial"/>
          <w:sz w:val="17"/>
          <w:szCs w:val="17"/>
          <w:i w:val="1"/>
          <w:iCs w:val="1"/>
          <w:color w:val="auto"/>
        </w:rPr>
      </w:pPr>
      <w:r>
        <w:rPr>
          <w:rFonts w:ascii="Arial" w:cs="Arial" w:eastAsia="Arial" w:hAnsi="Arial"/>
          <w:sz w:val="17"/>
          <w:szCs w:val="17"/>
          <w:color w:val="auto"/>
        </w:rPr>
        <w:t>On May 1, 2019, the Company, through its indirect subsidiary ECP Uptown Campus LLC, acquired the Duquesne University district energy system, totaling 87 combined MWt, located in Pittsburgh, PA. The total investment for the project, including capital expenditures required to interconnect the project to the Company's existing system, is approximately $107 million. In connection with the transaction, ECP Uptown Campus LLC issued non-recourse project debt of $95 million. The Company used proceeds from debt, in combination with cash on hand to purchase the project from the University.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Tapestry Refinancing</w:t>
      </w:r>
    </w:p>
    <w:p>
      <w:pPr>
        <w:spacing w:after="0" w:line="171" w:lineRule="exact"/>
        <w:rPr>
          <w:sz w:val="20"/>
          <w:szCs w:val="20"/>
          <w:color w:val="auto"/>
        </w:rPr>
      </w:pPr>
    </w:p>
    <w:p>
      <w:pPr>
        <w:jc w:val="both"/>
        <w:ind w:left="340" w:hanging="332"/>
        <w:spacing w:after="0" w:line="264" w:lineRule="auto"/>
        <w:tabs>
          <w:tab w:leader="none" w:pos="340" w:val="left"/>
        </w:tabs>
        <w:numPr>
          <w:ilvl w:val="0"/>
          <w:numId w:val="34"/>
        </w:numPr>
        <w:rPr>
          <w:rFonts w:ascii="Arial" w:cs="Arial" w:eastAsia="Arial" w:hAnsi="Arial"/>
          <w:sz w:val="18"/>
          <w:szCs w:val="18"/>
          <w:i w:val="1"/>
          <w:iCs w:val="1"/>
          <w:color w:val="auto"/>
        </w:rPr>
      </w:pPr>
      <w:r>
        <w:rPr>
          <w:rFonts w:ascii="Arial" w:cs="Arial" w:eastAsia="Arial" w:hAnsi="Arial"/>
          <w:sz w:val="18"/>
          <w:szCs w:val="18"/>
          <w:color w:val="auto"/>
        </w:rPr>
        <w:t>On April 29, 2019, the Company, through Tapestry Wind LLC, refinanced $147 million of non-recourse debt due 2021 by issuing $164 million of new non-recourse financing due 2031 at an interest rate of LIBOR plus 1.375%. As a result of this refinancing, the Company received $11 million, net of fees and financing costs.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The Company’s environmental matters and regulatory matters are described in the Company’s 2018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w:t>
      </w:r>
      <w:r>
        <w:rPr>
          <w:rFonts w:ascii="Arial" w:cs="Arial" w:eastAsia="Arial" w:hAnsi="Arial"/>
          <w:sz w:val="18"/>
          <w:szCs w:val="18"/>
          <w:color w:val="auto"/>
        </w:rPr>
        <w:t>and Item 1A,</w:t>
      </w:r>
      <w:r>
        <w:rPr>
          <w:rFonts w:ascii="Arial" w:cs="Arial" w:eastAsia="Arial" w:hAnsi="Arial"/>
          <w:sz w:val="18"/>
          <w:szCs w:val="18"/>
          <w:i w:val="1"/>
          <w:iCs w:val="1"/>
          <w:color w:val="auto"/>
        </w:rPr>
        <w:t xml:space="preserv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2018 Form 10-K in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Trends Affecting Results of Operations and Future Business Performance.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jc w:val="center"/>
              <w:ind w:left="233"/>
              <w:spacing w:after="0"/>
              <w:rPr>
                <w:sz w:val="20"/>
                <w:szCs w:val="20"/>
                <w:color w:val="auto"/>
              </w:rPr>
            </w:pPr>
            <w:r>
              <w:rPr>
                <w:rFonts w:ascii="Arial" w:cs="Arial" w:eastAsia="Arial" w:hAnsi="Arial"/>
                <w:sz w:val="14"/>
                <w:szCs w:val="14"/>
                <w:b w:val="1"/>
                <w:bCs w:val="1"/>
                <w:color w:val="auto"/>
                <w:w w:val="93"/>
              </w:rPr>
              <w:t>Three months ended March 31,</w:t>
            </w:r>
          </w:p>
        </w:tc>
        <w:tc>
          <w:tcPr>
            <w:tcW w:w="500" w:type="dxa"/>
            <w:vAlign w:val="bottom"/>
            <w:tcBorders>
              <w:bottom w:val="single" w:sz="8" w:color="auto"/>
            </w:tcBorders>
          </w:tcPr>
          <w:p>
            <w:pPr>
              <w:spacing w:after="0"/>
              <w:rPr>
                <w:sz w:val="16"/>
                <w:szCs w:val="16"/>
                <w:color w:val="auto"/>
              </w:rPr>
            </w:pPr>
          </w:p>
        </w:tc>
      </w:tr>
      <w:tr>
        <w:trPr>
          <w:trHeight w:val="229"/>
        </w:trPr>
        <w:tc>
          <w:tcPr>
            <w:tcW w:w="846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9"/>
                <w:szCs w:val="19"/>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Other revenues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40" w:type="dxa"/>
            <w:vAlign w:val="bottom"/>
          </w:tcPr>
          <w:p>
            <w:pPr>
              <w:spacing w:after="0"/>
              <w:rPr>
                <w:sz w:val="20"/>
                <w:szCs w:val="20"/>
                <w:color w:val="auto"/>
              </w:rPr>
            </w:pPr>
          </w:p>
        </w:tc>
        <w:tc>
          <w:tcPr>
            <w:tcW w:w="8420" w:type="dxa"/>
            <w:vAlign w:val="bottom"/>
            <w:gridSpan w:val="3"/>
          </w:tcPr>
          <w:p>
            <w:pPr>
              <w:ind w:left="2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8"/>
                <w:szCs w:val="18"/>
                <w:color w:val="auto"/>
              </w:rPr>
              <w:t>Other costs of operations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Transaction and integration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8"/>
                <w:szCs w:val="18"/>
                <w:color w:val="auto"/>
              </w:rPr>
              <w:t>Development costs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gridSpan w:val="4"/>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846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Less: Loss attributable to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57"/>
        </w:trPr>
        <w:tc>
          <w:tcPr>
            <w:tcW w:w="8460" w:type="dxa"/>
            <w:vAlign w:val="bottom"/>
            <w:gridSpan w:val="4"/>
          </w:tcPr>
          <w:p>
            <w:pPr>
              <w:ind w:left="40"/>
              <w:spacing w:after="0"/>
              <w:rPr>
                <w:sz w:val="20"/>
                <w:szCs w:val="20"/>
                <w:color w:val="auto"/>
              </w:rPr>
            </w:pPr>
            <w:r>
              <w:rPr>
                <w:rFonts w:ascii="Arial" w:cs="Arial" w:eastAsia="Arial" w:hAnsi="Arial"/>
                <w:sz w:val="18"/>
                <w:szCs w:val="18"/>
                <w:b w:val="1"/>
                <w:bCs w:val="1"/>
                <w:color w:val="auto"/>
              </w:rPr>
              <w:t>Net (Loss) Income Attributable to Clearway Energy LLC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center"/>
              <w:ind w:left="213"/>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24"/>
                <w:szCs w:val="24"/>
                <w:color w:val="auto"/>
              </w:rPr>
            </w:pPr>
          </w:p>
        </w:tc>
      </w:tr>
      <w:tr>
        <w:trPr>
          <w:trHeight w:val="264"/>
        </w:trPr>
        <w:tc>
          <w:tcPr>
            <w:tcW w:w="84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70"/>
        </w:trPr>
        <w:tc>
          <w:tcPr>
            <w:tcW w:w="846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1,616</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Thermal MWt sold (in thousands)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617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46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70"/>
        </w:trPr>
        <w:tc>
          <w:tcPr>
            <w:tcW w:w="846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(a)(c)</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438</w:t>
            </w:r>
          </w:p>
        </w:tc>
      </w:tr>
      <w:tr>
        <w:trPr>
          <w:trHeight w:val="243"/>
        </w:trPr>
        <w:tc>
          <w:tcPr>
            <w:tcW w:w="84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Conventional equivalent availability factor</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89.0%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85.0%</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8"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ind w:firstLine="8"/>
        <w:spacing w:after="0" w:line="260" w:lineRule="auto"/>
        <w:tabs>
          <w:tab w:leader="none" w:pos="153" w:val="left"/>
        </w:tabs>
        <w:numPr>
          <w:ilvl w:val="0"/>
          <w:numId w:val="35"/>
        </w:numPr>
        <w:rPr>
          <w:rFonts w:ascii="Arial" w:cs="Arial" w:eastAsia="Arial" w:hAnsi="Arial"/>
          <w:sz w:val="17"/>
          <w:szCs w:val="17"/>
          <w:color w:val="auto"/>
          <w:vertAlign w:val="superscript"/>
        </w:rPr>
      </w:pPr>
      <w:r>
        <w:rPr>
          <w:rFonts w:ascii="Arial" w:cs="Arial" w:eastAsia="Arial" w:hAnsi="Arial"/>
          <w:sz w:val="12"/>
          <w:szCs w:val="12"/>
          <w:color w:val="auto"/>
        </w:rPr>
        <w:t xml:space="preserve">MWh sold do not include 1 MWh and 10 MWh during the three months ended March 31, 2019 and 2018, respectively, generated by Dover, a subsidiary of the Company, under the PPA with NRG Power Marketing, as further described in Note 9,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w:t>
      </w:r>
    </w:p>
    <w:p>
      <w:pPr>
        <w:ind w:left="160" w:hanging="152"/>
        <w:spacing w:after="0" w:line="207" w:lineRule="auto"/>
        <w:tabs>
          <w:tab w:leader="none" w:pos="160"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March 31, 2019 and 2018</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three months ended March 31, 2019 and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500" w:type="dxa"/>
            <w:vAlign w:val="bottom"/>
          </w:tcPr>
          <w:p>
            <w:pPr>
              <w:ind w:left="40"/>
              <w:spacing w:after="0"/>
              <w:rPr>
                <w:sz w:val="20"/>
                <w:szCs w:val="20"/>
                <w:color w:val="auto"/>
              </w:rPr>
            </w:pPr>
            <w:r>
              <w:rPr>
                <w:rFonts w:ascii="Arial" w:cs="Arial" w:eastAsia="Arial" w:hAnsi="Arial"/>
                <w:sz w:val="18"/>
                <w:szCs w:val="18"/>
                <w:color w:val="auto"/>
              </w:rPr>
              <w:t>Three months ended March 31, 2019</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for economic hedges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Mark-to-market for economic hedges</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1112"/>
              <w:spacing w:after="0"/>
              <w:rPr>
                <w:sz w:val="20"/>
                <w:szCs w:val="20"/>
                <w:color w:val="auto"/>
              </w:rPr>
            </w:pPr>
            <w:r>
              <w:rPr>
                <w:rFonts w:ascii="Arial" w:cs="Arial" w:eastAsia="Arial" w:hAnsi="Arial"/>
                <w:sz w:val="18"/>
                <w:szCs w:val="18"/>
                <w:color w:val="auto"/>
                <w:w w:val="79"/>
              </w:rPr>
              <w:t>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51" w:name="page52"/>
    <w:bookmarkEnd w:id="51"/>
    <w:p>
      <w:pPr>
        <w:jc w:val="both"/>
        <w:ind w:right="20" w:firstLine="405"/>
        <w:spacing w:after="0" w:line="277" w:lineRule="auto"/>
        <w:rPr>
          <w:sz w:val="20"/>
          <w:szCs w:val="20"/>
          <w:color w:val="auto"/>
        </w:rPr>
      </w:pPr>
      <w:r>
        <w:rPr>
          <w:rFonts w:ascii="Arial" w:cs="Arial" w:eastAsia="Arial" w:hAnsi="Arial"/>
          <w:sz w:val="18"/>
          <w:szCs w:val="18"/>
          <w:color w:val="auto"/>
        </w:rPr>
        <w:t>Gross margin decreased by $7 million during the three months ended March 31, 2019, compared to the same period in 2018 primarily due to a combination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Increase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w:t>
            </w:r>
          </w:p>
        </w:tc>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(Decrease)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ind w:left="40"/>
              <w:spacing w:after="0"/>
              <w:rPr>
                <w:sz w:val="20"/>
                <w:szCs w:val="20"/>
                <w:color w:val="auto"/>
              </w:rPr>
            </w:pPr>
            <w:r>
              <w:rPr>
                <w:rFonts w:ascii="Arial" w:cs="Arial" w:eastAsia="Arial" w:hAnsi="Arial"/>
                <w:sz w:val="18"/>
                <w:szCs w:val="18"/>
                <w:b w:val="1"/>
                <w:bCs w:val="1"/>
                <w:color w:val="auto"/>
              </w:rPr>
              <w:t>Reason for Increase</w:t>
            </w:r>
          </w:p>
        </w:tc>
        <w:tc>
          <w:tcPr>
            <w:tcW w:w="0" w:type="dxa"/>
            <w:vAlign w:val="bottom"/>
          </w:tcPr>
          <w:p>
            <w:pPr>
              <w:spacing w:after="0"/>
              <w:rPr>
                <w:sz w:val="1"/>
                <w:szCs w:val="1"/>
                <w:color w:val="auto"/>
              </w:rPr>
            </w:pP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millions)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20" w:type="dxa"/>
            <w:vAlign w:val="bottom"/>
          </w:tcPr>
          <w:p>
            <w:pPr>
              <w:ind w:left="40"/>
              <w:spacing w:after="0"/>
              <w:rPr>
                <w:sz w:val="20"/>
                <w:szCs w:val="20"/>
                <w:color w:val="auto"/>
              </w:rPr>
            </w:pPr>
            <w:r>
              <w:rPr>
                <w:rFonts w:ascii="Arial" w:cs="Arial" w:eastAsia="Arial" w:hAnsi="Arial"/>
                <w:sz w:val="18"/>
                <w:szCs w:val="18"/>
                <w:color w:val="auto"/>
                <w:w w:val="96"/>
              </w:rPr>
              <w:t>$7 million mark-to-market loss on the Elbow Creek forward power sale contract entered into during the first</w:t>
            </w:r>
          </w:p>
        </w:tc>
        <w:tc>
          <w:tcPr>
            <w:tcW w:w="0" w:type="dxa"/>
            <w:vAlign w:val="bottom"/>
          </w:tcPr>
          <w:p>
            <w:pPr>
              <w:spacing w:after="0"/>
              <w:rPr>
                <w:sz w:val="1"/>
                <w:szCs w:val="1"/>
                <w:color w:val="auto"/>
              </w:rPr>
            </w:pPr>
          </w:p>
        </w:tc>
      </w:tr>
      <w:tr>
        <w:trPr>
          <w:trHeight w:val="216"/>
        </w:trPr>
        <w:tc>
          <w:tcPr>
            <w:tcW w:w="1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Renewables: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20" w:type="dxa"/>
            <w:vAlign w:val="bottom"/>
          </w:tcPr>
          <w:p>
            <w:pPr>
              <w:ind w:left="40"/>
              <w:spacing w:after="0"/>
              <w:rPr>
                <w:sz w:val="20"/>
                <w:szCs w:val="20"/>
                <w:color w:val="auto"/>
              </w:rPr>
            </w:pPr>
            <w:r>
              <w:rPr>
                <w:rFonts w:ascii="Arial" w:cs="Arial" w:eastAsia="Arial" w:hAnsi="Arial"/>
                <w:sz w:val="18"/>
                <w:szCs w:val="18"/>
                <w:color w:val="auto"/>
                <w:w w:val="94"/>
              </w:rPr>
              <w:t>quarter of 2019, as well as a decrease of $3 million due to lower wind and solar resources, partially offset by</w:t>
            </w:r>
          </w:p>
        </w:tc>
        <w:tc>
          <w:tcPr>
            <w:tcW w:w="0" w:type="dxa"/>
            <w:vAlign w:val="bottom"/>
          </w:tcPr>
          <w:p>
            <w:pPr>
              <w:spacing w:after="0"/>
              <w:rPr>
                <w:sz w:val="1"/>
                <w:szCs w:val="1"/>
                <w:color w:val="auto"/>
              </w:rPr>
            </w:pPr>
          </w:p>
        </w:tc>
      </w:tr>
      <w:tr>
        <w:trPr>
          <w:trHeight w:val="230"/>
        </w:trPr>
        <w:tc>
          <w:tcPr>
            <w:tcW w:w="1620" w:type="dxa"/>
            <w:vAlign w:val="bottom"/>
            <w:gridSpan w:val="2"/>
            <w:vMerge w:val="continue"/>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8220" w:type="dxa"/>
            <w:vAlign w:val="bottom"/>
          </w:tcPr>
          <w:p>
            <w:pPr>
              <w:ind w:left="40"/>
              <w:spacing w:after="0"/>
              <w:rPr>
                <w:sz w:val="20"/>
                <w:szCs w:val="20"/>
                <w:color w:val="auto"/>
              </w:rPr>
            </w:pPr>
            <w:r>
              <w:rPr>
                <w:rFonts w:ascii="Arial" w:cs="Arial" w:eastAsia="Arial" w:hAnsi="Arial"/>
                <w:sz w:val="18"/>
                <w:szCs w:val="18"/>
                <w:color w:val="auto"/>
              </w:rPr>
              <w:t>revenue generated at the Buckthorn Solar facility which went COD in July 2018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Thermal:</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Revenues generated at the UPMC Thermal Project, which was completed in the second quarter of 2018</w:t>
            </w:r>
          </w:p>
        </w:tc>
        <w:tc>
          <w:tcPr>
            <w:tcW w:w="0" w:type="dxa"/>
            <w:vAlign w:val="bottom"/>
          </w:tcPr>
          <w:p>
            <w:pPr>
              <w:spacing w:after="0"/>
              <w:rPr>
                <w:sz w:val="1"/>
                <w:szCs w:val="1"/>
                <w:color w:val="auto"/>
              </w:rPr>
            </w:pPr>
          </w:p>
        </w:tc>
      </w:tr>
      <w:tr>
        <w:trPr>
          <w:trHeight w:val="243"/>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Conventional:</w:t>
            </w: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220" w:type="dxa"/>
            <w:vAlign w:val="bottom"/>
          </w:tcPr>
          <w:p>
            <w:pPr>
              <w:ind w:left="40"/>
              <w:spacing w:after="0"/>
              <w:rPr>
                <w:sz w:val="20"/>
                <w:szCs w:val="20"/>
                <w:color w:val="auto"/>
              </w:rPr>
            </w:pPr>
            <w:r>
              <w:rPr>
                <w:rFonts w:ascii="Arial" w:cs="Arial" w:eastAsia="Arial" w:hAnsi="Arial"/>
                <w:sz w:val="18"/>
                <w:szCs w:val="18"/>
                <w:color w:val="auto"/>
              </w:rPr>
              <w:t>Fewer outages in 2019 compared to 2018</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8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Operations and maintenance expense decreased by $5 million during the three months ended March 31, 2019, compared to the same period in 2018, primarily due to reduced outages and general maintenance costs at El Segundo and Walnut Creek projects of the Conventional segment.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Costs</w:t>
      </w:r>
    </w:p>
    <w:p>
      <w:pPr>
        <w:spacing w:after="0" w:line="17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incurred $1 million of development cost expense during the three months ended March 31, 2019, which primarily related to business development, personnel and benefits costs within the Company's Thermal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decreased by $1 million during the three months ended March 31, 2019, compared to the same period in 2018, primarily driven by lower income allocated to the Company's interests in DGPV Holdco entities partially offset by higher income allocated to the Company's interests in the Utah Solar Portfolio.</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expense increased by $49 million during the three months ended March 31, 2019, compared to the same period in 2018, primarily due to the following:</w:t>
      </w:r>
    </w:p>
    <w:p>
      <w:pPr>
        <w:spacing w:after="0" w:line="275"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9120" w:type="dxa"/>
            <w:vAlign w:val="bottom"/>
          </w:tcPr>
          <w:p>
            <w:pPr>
              <w:ind w:left="40"/>
              <w:spacing w:after="0"/>
              <w:rPr>
                <w:sz w:val="20"/>
                <w:szCs w:val="20"/>
                <w:color w:val="auto"/>
              </w:rPr>
            </w:pPr>
            <w:r>
              <w:rPr>
                <w:rFonts w:ascii="Arial" w:cs="Arial" w:eastAsia="Arial" w:hAnsi="Arial"/>
                <w:sz w:val="18"/>
                <w:szCs w:val="18"/>
                <w:b w:val="1"/>
                <w:bCs w:val="1"/>
                <w:color w:val="auto"/>
              </w:rPr>
              <w:t>(In millions)</w:t>
            </w: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Increase (Decrease)</w:t>
            </w:r>
          </w:p>
        </w:tc>
      </w:tr>
      <w:tr>
        <w:trPr>
          <w:trHeight w:val="27"/>
        </w:trPr>
        <w:tc>
          <w:tcPr>
            <w:tcW w:w="9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interest rate swaps</w:t>
            </w:r>
          </w:p>
        </w:tc>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w:t>
            </w:r>
          </w:p>
        </w:tc>
      </w:tr>
      <w:tr>
        <w:trPr>
          <w:trHeight w:val="229"/>
        </w:trPr>
        <w:tc>
          <w:tcPr>
            <w:tcW w:w="9120" w:type="dxa"/>
            <w:vAlign w:val="bottom"/>
          </w:tcPr>
          <w:p>
            <w:pPr>
              <w:ind w:left="40"/>
              <w:spacing w:after="0"/>
              <w:rPr>
                <w:sz w:val="20"/>
                <w:szCs w:val="20"/>
                <w:color w:val="auto"/>
              </w:rPr>
            </w:pPr>
            <w:r>
              <w:rPr>
                <w:rFonts w:ascii="Arial" w:cs="Arial" w:eastAsia="Arial" w:hAnsi="Arial"/>
                <w:sz w:val="18"/>
                <w:szCs w:val="18"/>
                <w:color w:val="auto"/>
                <w:w w:val="97"/>
              </w:rPr>
              <w:t>Issuance of Energy Center Minneapolis Series E, F, G, H Notes in June 2018 and additional interest expense for the</w:t>
            </w: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9120" w:type="dxa"/>
            <w:vAlign w:val="bottom"/>
          </w:tcPr>
          <w:p>
            <w:pPr>
              <w:ind w:left="40"/>
              <w:spacing w:after="0"/>
              <w:rPr>
                <w:sz w:val="20"/>
                <w:szCs w:val="20"/>
                <w:color w:val="auto"/>
              </w:rPr>
            </w:pPr>
            <w:r>
              <w:rPr>
                <w:rFonts w:ascii="Arial" w:cs="Arial" w:eastAsia="Arial" w:hAnsi="Arial"/>
                <w:sz w:val="18"/>
                <w:szCs w:val="18"/>
                <w:color w:val="auto"/>
              </w:rPr>
              <w:t>Buckthorn Solar project-level debt</w:t>
            </w:r>
          </w:p>
        </w:tc>
        <w:tc>
          <w:tcPr>
            <w:tcW w:w="76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9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Issuance of the 2025 Senior Notes in October 2018, partially offset by lower interest expense due to lower outstanding</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9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balances on Clearway Energy Operating LLC's intercompany notes with Clearway Energy, Inc.</w:t>
            </w:r>
          </w:p>
        </w:tc>
        <w:tc>
          <w:tcPr>
            <w:tcW w:w="7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color w:val="auto"/>
              </w:rPr>
              <w:t>Normal amortization for project-level debt</w:t>
            </w:r>
          </w:p>
        </w:tc>
        <w:tc>
          <w:tcPr>
            <w:tcW w:w="7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9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91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49</w:t>
            </w:r>
          </w:p>
        </w:tc>
      </w:tr>
      <w:tr>
        <w:trPr>
          <w:trHeight w:val="27"/>
        </w:trPr>
        <w:tc>
          <w:tcPr>
            <w:tcW w:w="9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the three months ended March 31, 2019, the Company had a loss of $2 million attributable to CEG's economic interest in Repowering Partnership LLC and a loss of $4 million attributable to noncontrolling interests with respect to its tax equity financing arrangements and the application of the HLBV method. For the three months ended March 31, 2018, the Company had a loss of $37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2019</w:t>
      </w:r>
      <w:r>
        <w:rPr>
          <w:rFonts w:ascii="Arial" w:cs="Arial" w:eastAsia="Arial" w:hAnsi="Arial"/>
          <w:sz w:val="18"/>
          <w:szCs w:val="18"/>
          <w:color w:val="231F20"/>
        </w:rPr>
        <w:t xml:space="preserve">, the Company had $454 million of available borrowings under its revolving credit facility. As of </w:t>
      </w:r>
      <w:r>
        <w:rPr>
          <w:rFonts w:ascii="Arial" w:cs="Arial" w:eastAsia="Arial" w:hAnsi="Arial"/>
          <w:sz w:val="18"/>
          <w:szCs w:val="18"/>
          <w:color w:val="000000"/>
        </w:rPr>
        <w:t>March 31, 2019</w:t>
      </w:r>
      <w:r>
        <w:rPr>
          <w:rFonts w:ascii="Arial" w:cs="Arial" w:eastAsia="Arial" w:hAnsi="Arial"/>
          <w:sz w:val="18"/>
          <w:szCs w:val="18"/>
          <w:color w:val="231F20"/>
        </w:rPr>
        <w:t xml:space="preserve">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r>
        <w:rPr>
          <w:rFonts w:ascii="Arial" w:cs="Arial" w:eastAsia="Arial" w:hAnsi="Arial"/>
          <w:sz w:val="18"/>
          <w:szCs w:val="18"/>
          <w:color w:val="231F20"/>
        </w:rPr>
        <w:t>, the Company's liquidity was $750 million and $1,037 million, respectively, comprised of the following: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6"/>
                <w:szCs w:val="16"/>
                <w:color w:val="auto"/>
              </w:rPr>
            </w:pPr>
          </w:p>
        </w:tc>
        <w:tc>
          <w:tcPr>
            <w:tcW w:w="1680" w:type="dxa"/>
            <w:vAlign w:val="bottom"/>
          </w:tcPr>
          <w:p>
            <w:pPr>
              <w:jc w:val="right"/>
              <w:ind w:right="292"/>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Clearway Energy LLC, excluding subsidiaries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298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accounts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w w:val="98"/>
              </w:rPr>
              <w:t>Reserves, including debt service, distributions, performance obligations and other reserves</w:t>
            </w:r>
          </w:p>
        </w:tc>
        <w:tc>
          <w:tcPr>
            <w:tcW w:w="30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92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Revolving credit facility availability</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liquidity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w:t>
            </w:r>
          </w:p>
        </w:tc>
      </w:tr>
      <w:tr>
        <w:trPr>
          <w:trHeight w:val="20"/>
        </w:trPr>
        <w:tc>
          <w:tcPr>
            <w:tcW w:w="7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231F20"/>
        </w:rPr>
        <w:t xml:space="preserve">The Company's liquidity includes $181 million and $176 million of restricted cash balances as of March 31, 2019 and December 31, </w:t>
      </w:r>
      <w:r>
        <w:rPr>
          <w:rFonts w:ascii="Arial" w:cs="Arial" w:eastAsia="Arial" w:hAnsi="Arial"/>
          <w:sz w:val="16"/>
          <w:szCs w:val="16"/>
          <w:color w:val="000000"/>
        </w:rPr>
        <w:t>2018</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March 31, 2019, these restricted funds were comprised of $57 million designated to fund operating expenses, $43 million</w:t>
      </w:r>
      <w:r>
        <w:rPr>
          <w:rFonts w:ascii="Arial" w:cs="Arial" w:eastAsia="Arial" w:hAnsi="Arial"/>
          <w:sz w:val="16"/>
          <w:szCs w:val="16"/>
          <w:color w:val="231F20"/>
        </w:rPr>
        <w:t xml:space="preserve"> </w:t>
      </w:r>
      <w:r>
        <w:rPr>
          <w:rFonts w:ascii="Arial" w:cs="Arial" w:eastAsia="Arial" w:hAnsi="Arial"/>
          <w:sz w:val="16"/>
          <w:szCs w:val="16"/>
          <w:color w:val="000000"/>
        </w:rPr>
        <w:t>designated for current debt service payments, and $39 million restricted for reserves including debt service, performance obligations and other reserves, as well as capital expenditures. The remaining $42 million is held in distribution reserve accounts, of which $36 million related to subsidiaries affected by the PG&amp;E Bankruptcy as discussed further below and may not be distributed during the pendency of the PG&amp;E Bankruptcy.</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2019</w:t>
      </w:r>
      <w:r>
        <w:rPr>
          <w:rFonts w:ascii="Arial" w:cs="Arial" w:eastAsia="Arial" w:hAnsi="Arial"/>
          <w:sz w:val="18"/>
          <w:szCs w:val="18"/>
          <w:color w:val="231F20"/>
        </w:rPr>
        <w:t>, there were no outstanding borrowings and $41 million of letters of credit outstanding under the Company's revolving credit facility.</w:t>
      </w:r>
    </w:p>
    <w:p>
      <w:pPr>
        <w:spacing w:after="0" w:line="116"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triggered defaults under the related financing agreements which caused uncertainty around the timing of when certain project-level cash distributions will be available to the Company. As of March 31, 2019, all project level cash balances for these subsidiaries were classified as restricted cash.</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2" w:right="23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March 31,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Clearway Energy, Inc.</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5.375% Senior Notes, due 2024</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Ba2</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5.750% Senior Notes, due 2025</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5.000% Senior Notes, due 2026</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Ba2</w:t>
            </w:r>
          </w:p>
        </w:tc>
      </w:tr>
    </w:tbl>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7, </w:t>
      </w:r>
      <w:r>
        <w:rPr>
          <w:rFonts w:ascii="Arial" w:cs="Arial" w:eastAsia="Arial" w:hAnsi="Arial"/>
          <w:sz w:val="18"/>
          <w:szCs w:val="18"/>
          <w:i w:val="1"/>
          <w:iCs w:val="1"/>
          <w:color w:val="231F20"/>
        </w:rPr>
        <w:t>Long-term</w:t>
      </w:r>
      <w:r>
        <w:rPr>
          <w:rFonts w:ascii="Arial" w:cs="Arial" w:eastAsia="Arial" w:hAnsi="Arial"/>
          <w:sz w:val="18"/>
          <w:szCs w:val="18"/>
          <w:color w:val="231F20"/>
        </w:rPr>
        <w:t xml:space="preserve"> </w:t>
      </w:r>
      <w:r>
        <w:rPr>
          <w:rFonts w:ascii="Arial" w:cs="Arial" w:eastAsia="Arial" w:hAnsi="Arial"/>
          <w:sz w:val="18"/>
          <w:szCs w:val="18"/>
          <w:i w:val="1"/>
          <w:iCs w:val="1"/>
          <w:color w:val="231F20"/>
        </w:rPr>
        <w:t>Debt</w:t>
      </w:r>
      <w:r>
        <w:rPr>
          <w:rFonts w:ascii="Arial" w:cs="Arial" w:eastAsia="Arial" w:hAnsi="Arial"/>
          <w:sz w:val="18"/>
          <w:szCs w:val="18"/>
          <w:color w:val="231F20"/>
        </w:rPr>
        <w:t>, to this Form 10-Q and Note 10,</w:t>
      </w:r>
      <w:r>
        <w:rPr>
          <w:rFonts w:ascii="Arial" w:cs="Arial" w:eastAsia="Arial" w:hAnsi="Arial"/>
          <w:sz w:val="18"/>
          <w:szCs w:val="18"/>
          <w:i w:val="1"/>
          <w:iCs w:val="1"/>
          <w:color w:val="231F20"/>
        </w:rPr>
        <w:t xml:space="preserve"> Long-term Debt</w:t>
      </w:r>
      <w:r>
        <w:rPr>
          <w:rFonts w:ascii="Arial" w:cs="Arial" w:eastAsia="Arial" w:hAnsi="Arial"/>
          <w:sz w:val="18"/>
          <w:szCs w:val="18"/>
          <w:color w:val="231F20"/>
        </w:rPr>
        <w:t>, to the consolidated financial statements included in the Company's</w:t>
      </w:r>
      <w:r>
        <w:rPr>
          <w:rFonts w:ascii="Arial" w:cs="Arial" w:eastAsia="Arial" w:hAnsi="Arial"/>
          <w:sz w:val="18"/>
          <w:szCs w:val="18"/>
          <w:i w:val="1"/>
          <w:iCs w:val="1"/>
          <w:color w:val="231F20"/>
        </w:rPr>
        <w:t xml:space="preserve"> </w:t>
      </w:r>
      <w:r>
        <w:rPr>
          <w:rFonts w:ascii="Arial" w:cs="Arial" w:eastAsia="Arial" w:hAnsi="Arial"/>
          <w:sz w:val="18"/>
          <w:szCs w:val="18"/>
          <w:color w:val="000000"/>
        </w:rPr>
        <w:t>2018 Form 10-K</w:t>
      </w:r>
      <w:r>
        <w:rPr>
          <w:rFonts w:ascii="Arial" w:cs="Arial" w:eastAsia="Arial" w:hAnsi="Arial"/>
          <w:sz w:val="18"/>
          <w:szCs w:val="18"/>
          <w:color w:val="231F20"/>
        </w:rPr>
        <w:t>, the Company's</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financing arrangements consist of </w:t>
      </w:r>
      <w:r>
        <w:rPr>
          <w:rFonts w:ascii="Arial" w:cs="Arial" w:eastAsia="Arial" w:hAnsi="Arial"/>
          <w:sz w:val="18"/>
          <w:szCs w:val="18"/>
          <w:color w:val="000000"/>
        </w:rPr>
        <w:t>corporate level debt, which includes Senior Notes, 2020 Convertible Notes, and the revolving credit facility; the ATM</w:t>
      </w:r>
      <w:r>
        <w:rPr>
          <w:rFonts w:ascii="Arial" w:cs="Arial" w:eastAsia="Arial" w:hAnsi="Arial"/>
          <w:sz w:val="18"/>
          <w:szCs w:val="18"/>
          <w:color w:val="231F20"/>
        </w:rPr>
        <w:t xml:space="preserve"> </w:t>
      </w:r>
      <w:r>
        <w:rPr>
          <w:rFonts w:ascii="Arial" w:cs="Arial" w:eastAsia="Arial" w:hAnsi="Arial"/>
          <w:sz w:val="18"/>
          <w:szCs w:val="18"/>
          <w:color w:val="000000"/>
        </w:rPr>
        <w:t>Program; and project-level financings for its various assets.</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ATM Sales </w:t>
      </w:r>
      <w:r>
        <w:rPr>
          <w:rFonts w:ascii="Arial" w:cs="Arial" w:eastAsia="Arial" w:hAnsi="Arial"/>
          <w:sz w:val="18"/>
          <w:szCs w:val="18"/>
          <w:color w:val="auto"/>
        </w:rPr>
        <w:t>— Clearway Energy, Inc. did not sell any shares of Class C common stock during the three months ended March 31, 2019.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approximately $36 million of Class C common stock remains available for issuance under the ATM Program.</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distributions.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three months ended </w:t>
      </w:r>
      <w:r>
        <w:rPr>
          <w:rFonts w:ascii="Arial" w:cs="Arial" w:eastAsia="Arial" w:hAnsi="Arial"/>
          <w:sz w:val="17"/>
          <w:szCs w:val="17"/>
          <w:color w:val="000000"/>
        </w:rPr>
        <w:t>March 31, 2019</w:t>
      </w:r>
      <w:r>
        <w:rPr>
          <w:rFonts w:ascii="Arial" w:cs="Arial" w:eastAsia="Arial" w:hAnsi="Arial"/>
          <w:sz w:val="17"/>
          <w:szCs w:val="17"/>
          <w:color w:val="231F20"/>
        </w:rPr>
        <w:t>, the Company used approximately $16 million to fund capital expenditures, including growth</w:t>
      </w:r>
      <w:r>
        <w:rPr>
          <w:rFonts w:ascii="Arial" w:cs="Arial" w:eastAsia="Arial" w:hAnsi="Arial"/>
          <w:sz w:val="17"/>
          <w:szCs w:val="17"/>
          <w:color w:val="000000"/>
        </w:rPr>
        <w:t xml:space="preserve"> expenditures of $12 million, primarily in the Renewables segment in connection with the Oahu Partnership entered by the Company on March 8, 2019, and to a lesser extent in the Thermal segment in connection with the Mylan development project. </w:t>
      </w:r>
      <w:r>
        <w:rPr>
          <w:rFonts w:ascii="Arial" w:cs="Arial" w:eastAsia="Arial" w:hAnsi="Arial"/>
          <w:sz w:val="17"/>
          <w:szCs w:val="17"/>
          <w:color w:val="231F20"/>
        </w:rPr>
        <w:t>For the three months ended March 31, 2018, the Company used approximately $18 million to fund capital</w:t>
      </w:r>
      <w:r>
        <w:rPr>
          <w:rFonts w:ascii="Arial" w:cs="Arial" w:eastAsia="Arial" w:hAnsi="Arial"/>
          <w:sz w:val="17"/>
          <w:szCs w:val="17"/>
          <w:color w:val="000000"/>
        </w:rPr>
        <w:t xml:space="preserve"> </w:t>
      </w:r>
      <w:r>
        <w:rPr>
          <w:rFonts w:ascii="Arial" w:cs="Arial" w:eastAsia="Arial" w:hAnsi="Arial"/>
          <w:sz w:val="17"/>
          <w:szCs w:val="17"/>
          <w:color w:val="231F20"/>
        </w:rPr>
        <w:t xml:space="preserve">expenditures, of which </w:t>
      </w:r>
      <w:r>
        <w:rPr>
          <w:rFonts w:ascii="Arial" w:cs="Arial" w:eastAsia="Arial" w:hAnsi="Arial"/>
          <w:sz w:val="17"/>
          <w:szCs w:val="17"/>
          <w:color w:val="000000"/>
        </w:rPr>
        <w:t>$10 million related to growth expenditures in the Renewables segment paid by NRG in connection with the construction of Buckthorn</w:t>
      </w:r>
      <w:r>
        <w:rPr>
          <w:rFonts w:ascii="Arial" w:cs="Arial" w:eastAsia="Arial" w:hAnsi="Arial"/>
          <w:sz w:val="17"/>
          <w:szCs w:val="17"/>
          <w:color w:val="231F20"/>
        </w:rPr>
        <w:t xml:space="preserve"> </w:t>
      </w:r>
      <w:r>
        <w:rPr>
          <w:rFonts w:ascii="Arial" w:cs="Arial" w:eastAsia="Arial" w:hAnsi="Arial"/>
          <w:sz w:val="17"/>
          <w:szCs w:val="17"/>
          <w:color w:val="000000"/>
        </w:rPr>
        <w:t xml:space="preserve">Solar. </w:t>
      </w:r>
      <w:r>
        <w:rPr>
          <w:rFonts w:ascii="Arial" w:cs="Arial" w:eastAsia="Arial" w:hAnsi="Arial"/>
          <w:sz w:val="17"/>
          <w:szCs w:val="17"/>
          <w:color w:val="231F20"/>
        </w:rPr>
        <w:t>The Company develops annual capital spending plans based on projected requirements for maintenance and growth capital. The Company estimates</w:t>
      </w:r>
      <w:r>
        <w:rPr>
          <w:rFonts w:ascii="Arial" w:cs="Arial" w:eastAsia="Arial" w:hAnsi="Arial"/>
          <w:sz w:val="17"/>
          <w:szCs w:val="17"/>
          <w:color w:val="000000"/>
        </w:rPr>
        <w:t xml:space="preserve"> </w:t>
      </w:r>
      <w:r>
        <w:rPr>
          <w:rFonts w:ascii="Arial" w:cs="Arial" w:eastAsia="Arial" w:hAnsi="Arial"/>
          <w:sz w:val="17"/>
          <w:szCs w:val="17"/>
          <w:color w:val="231F20"/>
        </w:rPr>
        <w:t xml:space="preserve">$30 million of maintenance expenditures for 2019. </w:t>
      </w:r>
      <w:r>
        <w:rPr>
          <w:rFonts w:ascii="Arial" w:cs="Arial" w:eastAsia="Arial" w:hAnsi="Arial"/>
          <w:sz w:val="17"/>
          <w:szCs w:val="17"/>
          <w:color w:val="000000"/>
        </w:rPr>
        <w:t>These estimates are subject to continuing review and adjustment and actual capital expenditures may vary</w:t>
      </w:r>
      <w:r>
        <w:rPr>
          <w:rFonts w:ascii="Arial" w:cs="Arial" w:eastAsia="Arial" w:hAnsi="Arial"/>
          <w:sz w:val="17"/>
          <w:szCs w:val="17"/>
          <w:color w:val="231F20"/>
        </w:rPr>
        <w:t xml:space="preserve"> </w:t>
      </w:r>
      <w:r>
        <w:rPr>
          <w:rFonts w:ascii="Arial" w:cs="Arial" w:eastAsia="Arial" w:hAnsi="Arial"/>
          <w:sz w:val="17"/>
          <w:szCs w:val="17"/>
          <w:color w:val="000000"/>
        </w:rPr>
        <w:t>from these estimates.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3" w:lineRule="exact"/>
        <w:rPr>
          <w:sz w:val="20"/>
          <w:szCs w:val="20"/>
          <w:color w:val="auto"/>
        </w:rPr>
      </w:pPr>
    </w:p>
    <w:p>
      <w:pPr>
        <w:jc w:val="both"/>
        <w:ind w:right="20" w:firstLine="405"/>
        <w:spacing w:after="0" w:line="313" w:lineRule="auto"/>
        <w:rPr>
          <w:sz w:val="20"/>
          <w:szCs w:val="20"/>
          <w:color w:val="auto"/>
        </w:rPr>
      </w:pPr>
      <w:r>
        <w:rPr>
          <w:rFonts w:ascii="Arial" w:cs="Arial" w:eastAsia="Arial" w:hAnsi="Arial"/>
          <w:sz w:val="17"/>
          <w:szCs w:val="17"/>
          <w:i w:val="1"/>
          <w:iCs w:val="1"/>
          <w:color w:val="auto"/>
        </w:rPr>
        <w:t xml:space="preserve">Wind TE Holdco Buyout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January 2, 2019, the Company bought out 100% of Class A membership interest from the TE Investor, for cash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 of $19 million, as further described in Item 1 — Note 4,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i w:val="1"/>
          <w:iCs w:val="1"/>
          <w:color w:val="auto"/>
        </w:rPr>
        <w:t xml:space="preserve">Oahu Partnership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March 8, 2019, the Company entered into a partnership with Clearway Renew LLC, a subsidiary of CEG, to own,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operate, and maintain the Oahu Solar projects, which consist of Lanikuhana and Waipio, utility-scale solar generation projects which represent 15 MW and 46 MW respectively, in Oahu, Hawaii. The Company made an original capital contribution in the amount of $4 million and recorded a payable in the amount of $16 million due to Clearway Renew in accounts payable </w:t>
      </w:r>
      <w:r>
        <w:rPr>
          <w:rFonts w:ascii="Arial" w:cs="Arial" w:eastAsia="Arial" w:hAnsi="Arial"/>
          <w:sz w:val="17"/>
          <w:szCs w:val="17"/>
          <w:b w:val="1"/>
          <w:bCs w:val="1"/>
          <w:color w:val="auto"/>
        </w:rPr>
        <w:t>—</w:t>
      </w:r>
      <w:r>
        <w:rPr>
          <w:rFonts w:ascii="Arial" w:cs="Arial" w:eastAsia="Arial" w:hAnsi="Arial"/>
          <w:sz w:val="17"/>
          <w:szCs w:val="17"/>
          <w:color w:val="auto"/>
        </w:rPr>
        <w:t xml:space="preserve"> affiliate on the Company's consolidated balance sheets as of March 31, 2019. For further discussion, see Note 4, </w:t>
      </w:r>
      <w:r>
        <w:rPr>
          <w:rFonts w:ascii="Arial" w:cs="Arial" w:eastAsia="Arial" w:hAnsi="Arial"/>
          <w:sz w:val="17"/>
          <w:szCs w:val="17"/>
          <w:i w:val="1"/>
          <w:iCs w:val="1"/>
          <w:color w:val="auto"/>
        </w:rPr>
        <w:t>Investments Accounted for by the Equity Method and Variable Interest Entities.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4" w:name="page55"/>
    <w:bookmarkEnd w:id="54"/>
    <w:p>
      <w:pPr>
        <w:jc w:val="both"/>
        <w:ind w:firstLine="405"/>
        <w:spacing w:after="0" w:line="291" w:lineRule="auto"/>
        <w:rPr>
          <w:sz w:val="20"/>
          <w:szCs w:val="20"/>
          <w:color w:val="auto"/>
        </w:rPr>
      </w:pPr>
      <w:r>
        <w:rPr>
          <w:rFonts w:ascii="Arial" w:cs="Arial" w:eastAsia="Arial" w:hAnsi="Arial"/>
          <w:sz w:val="17"/>
          <w:szCs w:val="17"/>
          <w:i w:val="1"/>
          <w:iCs w:val="1"/>
          <w:color w:val="auto"/>
        </w:rPr>
        <w:t xml:space="preserve">Duquesne Thermal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May 1, 2019, the Company, through its indirect subsidiary ECP Uptown Campus LLC, acquired the Duquesne University</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energy system, totaling 87 combined MWt, located in Pittsburgh, PA. The total investment for the project, including capital expenditures required to interconnect the project to the Company's existing system, is approximately $107 million. In connection with the transaction, ECP Uptown Campus LLC issued non-recourse project debt of $95 million. The Company used proceeds from debt, in combination with cash on hand to purchase the project from the University.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CEG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March 31, 2019, the Company invested $4 million in distributed generation partnerships with CEG.</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Open Market Repurchases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January 2019, Clearway Energy, Inc. repurchased an aggregate principal amount of $50 million of the 2019 Convertible Notes in open market transactions. The repurchases were funded through a partial repayment of the intercompany note between Clearway Operating LLC and Clearway Energy, Inc.</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Distributions to Clearway Energy, Inc. and CEG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w:t>
      </w:r>
      <w:r>
        <w:rPr>
          <w:rFonts w:ascii="Arial" w:cs="Arial" w:eastAsia="Arial" w:hAnsi="Arial"/>
          <w:sz w:val="18"/>
          <w:szCs w:val="18"/>
          <w:color w:val="000000"/>
        </w:rPr>
        <w:t>he units are subject to available capital, market conditions, and compliance with associated laws, regulations and other contractual obligations. The</w:t>
      </w:r>
      <w:r>
        <w:rPr>
          <w:rFonts w:ascii="Arial" w:cs="Arial" w:eastAsia="Arial" w:hAnsi="Arial"/>
          <w:sz w:val="18"/>
          <w:szCs w:val="18"/>
          <w:color w:val="231F20"/>
        </w:rPr>
        <w:t xml:space="preserve"> </w:t>
      </w:r>
      <w:r>
        <w:rPr>
          <w:rFonts w:ascii="Arial" w:cs="Arial" w:eastAsia="Arial" w:hAnsi="Arial"/>
          <w:sz w:val="18"/>
          <w:szCs w:val="18"/>
          <w:color w:val="000000"/>
        </w:rPr>
        <w:t>Company expects that, based on current circumstances, comparable cash distributions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three months ended March 31, 2019:</w:t>
      </w:r>
    </w:p>
    <w:p>
      <w:pPr>
        <w:spacing w:after="0" w:line="23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First Quarter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23495</wp:posOffset>
            </wp:positionV>
            <wp:extent cx="551434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14340" cy="180340"/>
                    </a:xfrm>
                    <a:prstGeom prst="rect">
                      <a:avLst/>
                    </a:prstGeom>
                    <a:noFill/>
                  </pic:spPr>
                </pic:pic>
              </a:graphicData>
            </a:graphic>
          </wp:anchor>
        </w:drawing>
      </w:r>
    </w:p>
    <w:p>
      <w:pPr>
        <w:spacing w:after="0" w:line="39" w:lineRule="exact"/>
        <w:rPr>
          <w:sz w:val="20"/>
          <w:szCs w:val="20"/>
          <w:color w:val="auto"/>
        </w:rPr>
      </w:pPr>
    </w:p>
    <w:p>
      <w:pPr>
        <w:ind w:left="1400"/>
        <w:spacing w:after="0"/>
        <w:tabs>
          <w:tab w:leader="none" w:pos="8640" w:val="left"/>
          <w:tab w:leader="none" w:pos="9640" w:val="left"/>
        </w:tabs>
        <w:rPr>
          <w:sz w:val="20"/>
          <w:szCs w:val="20"/>
          <w:color w:val="auto"/>
        </w:rPr>
      </w:pPr>
      <w:r>
        <w:rPr>
          <w:rFonts w:ascii="Arial" w:cs="Arial" w:eastAsia="Arial" w:hAnsi="Arial"/>
          <w:sz w:val="18"/>
          <w:szCs w:val="18"/>
          <w:b w:val="1"/>
          <w:bCs w:val="1"/>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0.20</w:t>
      </w:r>
    </w:p>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1, 2019, the Company declared a distribution on its Class A, Class B, Class C and Class D units of $0.20 per unit payable on June 17, 2019 to unit holders of record as of June 3, 2019.</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5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reflects the changes in cash flows for the three months ended March 31, 2019, compared to the three months ended March 31,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432"/>
        </w:trPr>
        <w:tc>
          <w:tcPr>
            <w:tcW w:w="74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440" w:type="dxa"/>
            <w:vAlign w:val="bottom"/>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operating income adjusted for non-cash items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0180" w:type="dxa"/>
            <w:vAlign w:val="bottom"/>
            <w:gridSpan w:val="6"/>
          </w:tcPr>
          <w:p>
            <w:pPr>
              <w:ind w:left="40"/>
              <w:spacing w:after="0"/>
              <w:rPr>
                <w:sz w:val="20"/>
                <w:szCs w:val="20"/>
                <w:color w:val="auto"/>
              </w:rPr>
            </w:pPr>
            <w:r>
              <w:rPr>
                <w:rFonts w:ascii="Arial" w:cs="Arial" w:eastAsia="Arial" w:hAnsi="Arial"/>
                <w:sz w:val="18"/>
                <w:szCs w:val="18"/>
                <w:color w:val="auto"/>
              </w:rPr>
              <w:t>Decrease in working capital driven primarily by the timing of accounts receivable collections and payment of accounts payable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distributions from unconsolidated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2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for the Buckthorn Solar Drop Down Asset in 2018</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Payment to acquire the Class A interest in the Oahu Partnership</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to buy out an existing tax equity partner of Wind TE Holdco on January 2, 2019</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740" w:type="dxa"/>
            <w:vAlign w:val="bottom"/>
            <w:gridSpan w:val="3"/>
          </w:tcPr>
          <w:p>
            <w:pPr>
              <w:ind w:left="40"/>
              <w:spacing w:after="0"/>
              <w:rPr>
                <w:sz w:val="20"/>
                <w:szCs w:val="20"/>
                <w:color w:val="auto"/>
              </w:rPr>
            </w:pPr>
            <w:r>
              <w:rPr>
                <w:rFonts w:ascii="Arial" w:cs="Arial" w:eastAsia="Arial" w:hAnsi="Arial"/>
                <w:sz w:val="18"/>
                <w:szCs w:val="18"/>
                <w:color w:val="auto"/>
              </w:rPr>
              <w:t>Lower net investment in unconsolidated affiliates primarily in the DGPV partnerships with CEG during 2019</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2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5"/>
        </w:trPr>
        <w:tc>
          <w:tcPr>
            <w:tcW w:w="101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3"/>
              </w:rPr>
              <w:t>Higher net repayments of long-term debt in 2019 compared to 2018, primarily driven by the maturity and repayment of the intercompany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color w:val="auto"/>
                <w:w w:val="93"/>
              </w:rPr>
              <w:t>note - due 2019 between Clearway Energy, Inc. and Clearway Operating LLC</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Lower net contributions from noncontrolling interests in 2019 compared to 2018</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revolving credit facility in 2018</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Decrease in distributions paid to unit holders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March 31, 2019, the Company has several investments with an ownership interest percentage of 50% or</w:t>
      </w:r>
      <w:r>
        <w:rPr>
          <w:rFonts w:ascii="Arial" w:cs="Arial" w:eastAsia="Arial" w:hAnsi="Arial"/>
          <w:sz w:val="17"/>
          <w:szCs w:val="17"/>
          <w:i w:val="1"/>
          <w:iCs w:val="1"/>
          <w:color w:val="auto"/>
        </w:rPr>
        <w:t xml:space="preserve"> </w:t>
      </w:r>
      <w:r>
        <w:rPr>
          <w:rFonts w:ascii="Arial" w:cs="Arial" w:eastAsia="Arial" w:hAnsi="Arial"/>
          <w:sz w:val="17"/>
          <w:szCs w:val="17"/>
          <w:color w:val="auto"/>
        </w:rPr>
        <w:t>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pro-rata share of non-recourse debt held by unconsolidated affiliates was approximately $926 million as of March 31, 2019. This indebtedness may restrict the ability of these subsidiaries to issue dividends or distributions to the Company.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2018 Form 10-K. See also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this Form 10-Q for a discussion of additional contingencies that occurred during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March 31, 2019</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March 31, 2019</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00" w:type="dxa"/>
            <w:vAlign w:val="bottom"/>
            <w:gridSpan w:val="3"/>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Fair value of contracts as of March 31, 2019</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gridSpan w:val="8"/>
            <w:vMerge w:val="restart"/>
          </w:tcPr>
          <w:p>
            <w:pPr>
              <w:jc w:val="center"/>
              <w:ind w:right="360"/>
              <w:spacing w:after="0"/>
              <w:rPr>
                <w:sz w:val="20"/>
                <w:szCs w:val="20"/>
                <w:color w:val="auto"/>
              </w:rPr>
            </w:pPr>
            <w:r>
              <w:rPr>
                <w:rFonts w:ascii="Arial" w:cs="Arial" w:eastAsia="Arial" w:hAnsi="Arial"/>
                <w:sz w:val="14"/>
                <w:szCs w:val="14"/>
                <w:b w:val="1"/>
                <w:bCs w:val="1"/>
                <w:color w:val="auto"/>
                <w:w w:val="92"/>
              </w:rPr>
              <w:t>Fair value of contracts as of March 31, 2019</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8"/>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Greater Than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Greater Than</w:t>
            </w:r>
          </w:p>
        </w:tc>
        <w:tc>
          <w:tcPr>
            <w:tcW w:w="160" w:type="dxa"/>
            <w:vAlign w:val="bottom"/>
          </w:tcPr>
          <w:p>
            <w:pPr>
              <w:spacing w:after="0"/>
              <w:rPr>
                <w:sz w:val="13"/>
                <w:szCs w:val="13"/>
                <w:color w:val="auto"/>
              </w:rPr>
            </w:pPr>
          </w:p>
        </w:tc>
        <w:tc>
          <w:tcPr>
            <w:tcW w:w="9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Hierarchy (Losses)/Gains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1 Year to 3 Years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3"/>
                <w:szCs w:val="13"/>
                <w:color w:val="auto"/>
              </w:rPr>
            </w:pPr>
          </w:p>
        </w:tc>
        <w:tc>
          <w:tcPr>
            <w:tcW w:w="98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040" w:type="dxa"/>
            <w:vAlign w:val="bottom"/>
            <w:gridSpan w:val="4"/>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Level 3</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00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4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Item 3 has been omitted from this report pursuant to the reduced disclosure format permitted by General Instruction H(2) to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the GIP Transaction, the Company entered into a TSA pursuant to which NRG Energy, Inc. provided information technology, systems, applications, and business processes to the Company. Under the TSA with NRG Energy, Inc., the Company continues to review, document and evaluate the internal controls over financial reporting through March 31, 2019. There were no changes in the Company’s internal control over financial reporting (as such term is defined in Rule 13a-15(f) under the Exchange Act) during the quarter ended March 31, 2019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42"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March 31, 2019, see Note 11,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 to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2018 Form 10-K. There have been no material changes in the Company's risk factors since those reported in its 2018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2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3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4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780" w:type="dxa"/>
            <w:vAlign w:val="bottom"/>
            <w:gridSpan w:val="7"/>
          </w:tcPr>
          <w:p>
            <w:pPr>
              <w:spacing w:after="0"/>
              <w:rPr>
                <w:sz w:val="20"/>
                <w:szCs w:val="20"/>
                <w:color w:val="auto"/>
              </w:rPr>
            </w:pPr>
            <w:r>
              <w:rPr>
                <w:rFonts w:ascii="Arial" w:cs="Arial" w:eastAsia="Arial" w:hAnsi="Arial"/>
                <w:sz w:val="16"/>
                <w:szCs w:val="16"/>
                <w:b w:val="1"/>
                <w:bCs w:val="1"/>
                <w:color w:val="auto"/>
              </w:rPr>
              <w:t>Description</w:t>
            </w:r>
          </w:p>
        </w:tc>
        <w:tc>
          <w:tcPr>
            <w:tcW w:w="4320" w:type="dxa"/>
            <w:vAlign w:val="bottom"/>
          </w:tcPr>
          <w:p>
            <w:pPr>
              <w:ind w:left="260"/>
              <w:spacing w:after="0"/>
              <w:rPr>
                <w:sz w:val="20"/>
                <w:szCs w:val="20"/>
                <w:color w:val="auto"/>
              </w:rPr>
            </w:pPr>
            <w:r>
              <w:rPr>
                <w:rFonts w:ascii="Arial" w:cs="Arial" w:eastAsia="Arial" w:hAnsi="Arial"/>
                <w:sz w:val="16"/>
                <w:szCs w:val="16"/>
                <w:b w:val="1"/>
                <w:bCs w:val="1"/>
                <w:color w:val="auto"/>
              </w:rPr>
              <w:t>Method of Filing</w:t>
            </w:r>
          </w:p>
        </w:tc>
      </w:tr>
      <w:tr>
        <w:trPr>
          <w:trHeight w:val="253"/>
        </w:trPr>
        <w:tc>
          <w:tcPr>
            <w:tcW w:w="280" w:type="dxa"/>
            <w:vAlign w:val="bottom"/>
          </w:tcPr>
          <w:p>
            <w:pPr>
              <w:spacing w:after="0"/>
              <w:rPr>
                <w:sz w:val="20"/>
                <w:szCs w:val="20"/>
                <w:color w:val="auto"/>
              </w:rPr>
            </w:pPr>
            <w:r>
              <w:rPr>
                <w:rFonts w:ascii="Arial" w:cs="Arial" w:eastAsia="Arial" w:hAnsi="Arial"/>
                <w:sz w:val="16"/>
                <w:szCs w:val="16"/>
                <w:color w:val="auto"/>
                <w:w w:val="83"/>
              </w:rPr>
              <w:t>10.1</w:t>
            </w: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20" w:type="dxa"/>
            <w:vAlign w:val="bottom"/>
          </w:tcPr>
          <w:p>
            <w:pPr>
              <w:ind w:left="260"/>
              <w:spacing w:after="0"/>
              <w:rPr>
                <w:sz w:val="20"/>
                <w:szCs w:val="20"/>
                <w:color w:val="auto"/>
              </w:rPr>
            </w:pPr>
            <w:r>
              <w:rPr>
                <w:rFonts w:ascii="Arial" w:cs="Arial" w:eastAsia="Arial" w:hAnsi="Arial"/>
                <w:sz w:val="16"/>
                <w:szCs w:val="16"/>
                <w:color w:val="auto"/>
              </w:rPr>
              <w:t>Incorporated herein by reference to Exhibit 10.1 to the</w:t>
            </w:r>
          </w:p>
        </w:tc>
      </w:tr>
      <w:tr>
        <w:trPr>
          <w:trHeight w:val="172"/>
        </w:trPr>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780" w:type="dxa"/>
            <w:vAlign w:val="bottom"/>
            <w:gridSpan w:val="7"/>
          </w:tcPr>
          <w:p>
            <w:pPr>
              <w:spacing w:after="0" w:line="172" w:lineRule="exact"/>
              <w:rPr>
                <w:rFonts w:ascii="Arial" w:cs="Arial" w:eastAsia="Arial" w:hAnsi="Arial"/>
                <w:sz w:val="16"/>
                <w:szCs w:val="16"/>
                <w:color w:val="0000FF"/>
                <w:w w:val="96"/>
              </w:rPr>
            </w:pPr>
            <w:hyperlink r:id="rId42">
              <w:r>
                <w:rPr>
                  <w:rFonts w:ascii="Arial" w:cs="Arial" w:eastAsia="Arial" w:hAnsi="Arial"/>
                  <w:sz w:val="16"/>
                  <w:szCs w:val="16"/>
                  <w:color w:val="0000FF"/>
                  <w:w w:val="96"/>
                </w:rPr>
                <w:t>First Amendment to Right of First Offer Agreement, dated February 14, 2019, by and</w:t>
              </w:r>
            </w:hyperlink>
          </w:p>
        </w:tc>
        <w:tc>
          <w:tcPr>
            <w:tcW w:w="4320" w:type="dxa"/>
            <w:vAlign w:val="bottom"/>
          </w:tcPr>
          <w:p>
            <w:pPr>
              <w:ind w:left="260"/>
              <w:spacing w:after="0" w:line="172" w:lineRule="exact"/>
              <w:rPr>
                <w:sz w:val="20"/>
                <w:szCs w:val="20"/>
                <w:color w:val="auto"/>
              </w:rPr>
            </w:pPr>
            <w:r>
              <w:rPr>
                <w:rFonts w:ascii="Arial" w:cs="Arial" w:eastAsia="Arial" w:hAnsi="Arial"/>
                <w:sz w:val="16"/>
                <w:szCs w:val="16"/>
                <w:color w:val="auto"/>
                <w:w w:val="92"/>
              </w:rPr>
              <w:t>Registrant's Current Report on Form 8-K filed on February 14,</w:t>
            </w: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540" w:type="dxa"/>
            <w:vAlign w:val="bottom"/>
            <w:tcBorders>
              <w:top w:val="single" w:sz="8" w:color="0000FF"/>
            </w:tcBorders>
            <w:gridSpan w:val="6"/>
          </w:tcPr>
          <w:p>
            <w:pPr>
              <w:spacing w:after="0" w:line="183" w:lineRule="exact"/>
              <w:rPr>
                <w:rFonts w:ascii="Arial" w:cs="Arial" w:eastAsia="Arial" w:hAnsi="Arial"/>
                <w:sz w:val="16"/>
                <w:szCs w:val="16"/>
                <w:color w:val="0000FF"/>
              </w:rPr>
            </w:pPr>
            <w:hyperlink r:id="rId42">
              <w:r>
                <w:rPr>
                  <w:rFonts w:ascii="Arial" w:cs="Arial" w:eastAsia="Arial" w:hAnsi="Arial"/>
                  <w:sz w:val="16"/>
                  <w:szCs w:val="16"/>
                  <w:color w:val="0000FF"/>
                </w:rPr>
                <w:t>between Clearway Energy Group LLC and Clearway Energy, Inc.</w:t>
              </w:r>
            </w:hyperlink>
          </w:p>
        </w:tc>
        <w:tc>
          <w:tcPr>
            <w:tcW w:w="240" w:type="dxa"/>
            <w:vAlign w:val="bottom"/>
          </w:tcPr>
          <w:p>
            <w:pPr>
              <w:spacing w:after="0"/>
              <w:rPr>
                <w:sz w:val="15"/>
                <w:szCs w:val="15"/>
                <w:color w:val="auto"/>
              </w:rPr>
            </w:pPr>
          </w:p>
        </w:tc>
        <w:tc>
          <w:tcPr>
            <w:tcW w:w="4320" w:type="dxa"/>
            <w:vAlign w:val="bottom"/>
          </w:tcPr>
          <w:p>
            <w:pPr>
              <w:ind w:left="260"/>
              <w:spacing w:after="0" w:line="183" w:lineRule="exact"/>
              <w:rPr>
                <w:sz w:val="20"/>
                <w:szCs w:val="20"/>
                <w:color w:val="auto"/>
              </w:rPr>
            </w:pPr>
            <w:r>
              <w:rPr>
                <w:rFonts w:ascii="Arial" w:cs="Arial" w:eastAsia="Arial" w:hAnsi="Arial"/>
                <w:sz w:val="16"/>
                <w:szCs w:val="16"/>
                <w:color w:val="auto"/>
              </w:rPr>
              <w:t>2019.</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60" w:type="dxa"/>
            <w:vAlign w:val="bottom"/>
          </w:tcPr>
          <w:p>
            <w:pPr>
              <w:spacing w:after="0"/>
              <w:rPr>
                <w:sz w:val="21"/>
                <w:szCs w:val="21"/>
                <w:color w:val="auto"/>
              </w:rPr>
            </w:pPr>
          </w:p>
        </w:tc>
        <w:tc>
          <w:tcPr>
            <w:tcW w:w="408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2"/>
              </w:rPr>
            </w:pPr>
            <w:hyperlink w:anchor="page63">
              <w:r>
                <w:rPr>
                  <w:rFonts w:ascii="Arial" w:cs="Arial" w:eastAsia="Arial" w:hAnsi="Arial"/>
                  <w:sz w:val="16"/>
                  <w:szCs w:val="16"/>
                  <w:color w:val="0000FF"/>
                  <w:w w:val="92"/>
                </w:rPr>
                <w:t>Rule 13a-14(a)/15d-14(a) certification of Christopher S. Sotos.</w:t>
              </w:r>
            </w:hyperlink>
          </w:p>
        </w:tc>
        <w:tc>
          <w:tcPr>
            <w:tcW w:w="180" w:type="dxa"/>
            <w:vAlign w:val="bottom"/>
            <w:tcBorders>
              <w:top w:val="single" w:sz="8" w:color="0000FF"/>
            </w:tcBorders>
          </w:tcPr>
          <w:p>
            <w:pPr>
              <w:spacing w:after="0"/>
              <w:rPr>
                <w:sz w:val="21"/>
                <w:szCs w:val="21"/>
                <w:color w:val="auto"/>
              </w:rPr>
            </w:pPr>
          </w:p>
        </w:tc>
        <w:tc>
          <w:tcPr>
            <w:tcW w:w="1520" w:type="dxa"/>
            <w:vAlign w:val="bottom"/>
            <w:gridSpan w:val="2"/>
          </w:tcPr>
          <w:p>
            <w:pPr>
              <w:spacing w:after="0"/>
              <w:rPr>
                <w:sz w:val="21"/>
                <w:szCs w:val="21"/>
                <w:color w:val="auto"/>
              </w:rPr>
            </w:pPr>
          </w:p>
        </w:tc>
        <w:tc>
          <w:tcPr>
            <w:tcW w:w="43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60" w:type="dxa"/>
            <w:vAlign w:val="bottom"/>
          </w:tcPr>
          <w:p>
            <w:pPr>
              <w:spacing w:after="0"/>
              <w:rPr>
                <w:sz w:val="21"/>
                <w:szCs w:val="21"/>
                <w:color w:val="auto"/>
              </w:rPr>
            </w:pPr>
          </w:p>
        </w:tc>
        <w:tc>
          <w:tcPr>
            <w:tcW w:w="5780" w:type="dxa"/>
            <w:vAlign w:val="bottom"/>
            <w:gridSpan w:val="7"/>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Rule 13a-14(a)/15d-14(a) certification of Chad Plotkin.</w:t>
              </w:r>
            </w:hyperlink>
          </w:p>
        </w:tc>
        <w:tc>
          <w:tcPr>
            <w:tcW w:w="43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760" w:type="dxa"/>
            <w:vAlign w:val="bottom"/>
          </w:tcPr>
          <w:p>
            <w:pPr>
              <w:spacing w:after="0"/>
              <w:rPr>
                <w:sz w:val="21"/>
                <w:szCs w:val="21"/>
                <w:color w:val="auto"/>
              </w:rPr>
            </w:pPr>
          </w:p>
        </w:tc>
        <w:tc>
          <w:tcPr>
            <w:tcW w:w="3980" w:type="dxa"/>
            <w:vAlign w:val="bottom"/>
            <w:tcBorders>
              <w:bottom w:val="single" w:sz="8" w:color="0000FF"/>
            </w:tcBorders>
            <w:gridSpan w:val="3"/>
          </w:tcPr>
          <w:p>
            <w:pPr>
              <w:spacing w:after="0"/>
              <w:rPr>
                <w:rFonts w:ascii="Arial" w:cs="Arial" w:eastAsia="Arial" w:hAnsi="Arial"/>
                <w:sz w:val="16"/>
                <w:szCs w:val="16"/>
                <w:color w:val="0000FF"/>
                <w:w w:val="94"/>
              </w:rPr>
            </w:pPr>
            <w:hyperlink w:anchor="page65">
              <w:r>
                <w:rPr>
                  <w:rFonts w:ascii="Arial" w:cs="Arial" w:eastAsia="Arial" w:hAnsi="Arial"/>
                  <w:sz w:val="16"/>
                  <w:szCs w:val="16"/>
                  <w:color w:val="0000FF"/>
                  <w:w w:val="94"/>
                </w:rPr>
                <w:t>Rule 13a-14(a)/15d-14(a) certification of Mary-Lee Stillwell.</w:t>
              </w:r>
            </w:hyperlink>
          </w:p>
        </w:tc>
        <w:tc>
          <w:tcPr>
            <w:tcW w:w="1800" w:type="dxa"/>
            <w:vAlign w:val="bottom"/>
            <w:gridSpan w:val="4"/>
          </w:tcPr>
          <w:p>
            <w:pPr>
              <w:spacing w:after="0"/>
              <w:rPr>
                <w:sz w:val="21"/>
                <w:szCs w:val="21"/>
                <w:color w:val="auto"/>
              </w:rPr>
            </w:pPr>
          </w:p>
        </w:tc>
        <w:tc>
          <w:tcPr>
            <w:tcW w:w="43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5780" w:type="dxa"/>
            <w:vAlign w:val="bottom"/>
            <w:gridSpan w:val="7"/>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Section 1350 Certification.</w:t>
              </w:r>
            </w:hyperlink>
          </w:p>
        </w:tc>
        <w:tc>
          <w:tcPr>
            <w:tcW w:w="4320" w:type="dxa"/>
            <w:vAlign w:val="bottom"/>
          </w:tcPr>
          <w:p>
            <w:pPr>
              <w:ind w:left="260"/>
              <w:spacing w:after="0"/>
              <w:rPr>
                <w:sz w:val="20"/>
                <w:szCs w:val="20"/>
                <w:color w:val="auto"/>
              </w:rPr>
            </w:pPr>
            <w:r>
              <w:rPr>
                <w:rFonts w:ascii="Arial" w:cs="Arial" w:eastAsia="Arial" w:hAnsi="Arial"/>
                <w:sz w:val="16"/>
                <w:szCs w:val="16"/>
                <w:color w:val="auto"/>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85"/>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INS</w:t>
            </w:r>
          </w:p>
        </w:tc>
        <w:tc>
          <w:tcPr>
            <w:tcW w:w="5780" w:type="dxa"/>
            <w:vAlign w:val="bottom"/>
            <w:gridSpan w:val="7"/>
          </w:tcPr>
          <w:p>
            <w:pPr>
              <w:spacing w:after="0"/>
              <w:rPr>
                <w:sz w:val="20"/>
                <w:szCs w:val="20"/>
                <w:color w:val="auto"/>
              </w:rPr>
            </w:pPr>
            <w:r>
              <w:rPr>
                <w:rFonts w:ascii="Arial" w:cs="Arial" w:eastAsia="Arial" w:hAnsi="Arial"/>
                <w:sz w:val="16"/>
                <w:szCs w:val="16"/>
                <w:color w:val="auto"/>
              </w:rPr>
              <w:t>XBRL Instance Document.</w:t>
            </w:r>
          </w:p>
        </w:tc>
        <w:tc>
          <w:tcPr>
            <w:tcW w:w="43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SCH</w:t>
            </w:r>
          </w:p>
        </w:tc>
        <w:tc>
          <w:tcPr>
            <w:tcW w:w="5780" w:type="dxa"/>
            <w:vAlign w:val="bottom"/>
            <w:gridSpan w:val="7"/>
          </w:tcPr>
          <w:p>
            <w:pPr>
              <w:spacing w:after="0"/>
              <w:rPr>
                <w:sz w:val="20"/>
                <w:szCs w:val="20"/>
                <w:color w:val="auto"/>
              </w:rPr>
            </w:pPr>
            <w:r>
              <w:rPr>
                <w:rFonts w:ascii="Arial" w:cs="Arial" w:eastAsia="Arial" w:hAnsi="Arial"/>
                <w:sz w:val="16"/>
                <w:szCs w:val="16"/>
                <w:color w:val="auto"/>
              </w:rPr>
              <w:t>XBRL Taxonomy Extension Schema.</w:t>
            </w:r>
          </w:p>
        </w:tc>
        <w:tc>
          <w:tcPr>
            <w:tcW w:w="43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78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w:t>
            </w:r>
          </w:p>
        </w:tc>
        <w:tc>
          <w:tcPr>
            <w:tcW w:w="43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78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w:t>
            </w:r>
          </w:p>
        </w:tc>
        <w:tc>
          <w:tcPr>
            <w:tcW w:w="43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LAB</w:t>
            </w:r>
          </w:p>
        </w:tc>
        <w:tc>
          <w:tcPr>
            <w:tcW w:w="578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w:t>
            </w:r>
          </w:p>
        </w:tc>
        <w:tc>
          <w:tcPr>
            <w:tcW w:w="4320" w:type="dxa"/>
            <w:vAlign w:val="bottom"/>
          </w:tcPr>
          <w:p>
            <w:pPr>
              <w:ind w:left="2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PRE</w:t>
            </w:r>
          </w:p>
        </w:tc>
        <w:tc>
          <w:tcPr>
            <w:tcW w:w="578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w:t>
            </w:r>
          </w:p>
        </w:tc>
        <w:tc>
          <w:tcPr>
            <w:tcW w:w="4320" w:type="dxa"/>
            <w:vAlign w:val="bottom"/>
          </w:tcPr>
          <w:p>
            <w:pPr>
              <w:ind w:left="26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742" w:right="4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CLEARWAY ENERGY LLC</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MARY-LEE STILLWELL</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Mary-Lee Stillwell</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7, 2019</w:t>
            </w: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460" w:type="dxa"/>
            <w:vAlign w:val="bottom"/>
          </w:tcPr>
          <w:p>
            <w:pPr>
              <w:spacing w:after="0"/>
              <w:rPr>
                <w:sz w:val="24"/>
                <w:szCs w:val="24"/>
                <w:color w:val="auto"/>
              </w:rPr>
            </w:pPr>
          </w:p>
        </w:tc>
        <w:tc>
          <w:tcPr>
            <w:tcW w:w="3220" w:type="dxa"/>
            <w:vAlign w:val="bottom"/>
          </w:tcPr>
          <w:p>
            <w:pPr>
              <w:jc w:val="right"/>
              <w:ind w:right="850"/>
              <w:spacing w:after="0"/>
              <w:rPr>
                <w:sz w:val="20"/>
                <w:szCs w:val="20"/>
                <w:color w:val="auto"/>
              </w:rPr>
            </w:pPr>
            <w:r>
              <w:rPr>
                <w:rFonts w:ascii="Arial" w:cs="Arial" w:eastAsia="Arial" w:hAnsi="Arial"/>
                <w:sz w:val="18"/>
                <w:szCs w:val="18"/>
                <w:color w:val="auto"/>
              </w:rPr>
              <w:t>62</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2" w:name="page63"/>
    <w:bookmarkEnd w:id="62"/>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ectPr>
          <w:pgSz w:w="11900" w:h="16838" w:orient="portrait"/>
          <w:cols w:equalWidth="0" w:num="1">
            <w:col w:w="11420"/>
          </w:cols>
          <w:pgMar w:left="240" w:top="661" w:right="239" w:bottom="1440" w:gutter="0" w:footer="0" w:header="0"/>
        </w:sectPr>
      </w:pPr>
    </w:p>
    <w:bookmarkStart w:id="63" w:name="page64"/>
    <w:bookmarkEnd w:id="63"/>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ectPr>
          <w:pgSz w:w="11900" w:h="16838" w:orient="portrait"/>
          <w:cols w:equalWidth="0" w:num="1">
            <w:col w:w="11420"/>
          </w:cols>
          <w:pgMar w:left="240" w:top="661" w:right="239" w:bottom="1440" w:gutter="0" w:footer="0" w:header="0"/>
        </w:sectPr>
      </w:pPr>
    </w:p>
    <w:bookmarkStart w:id="64" w:name="page65"/>
    <w:bookmarkEnd w:id="64"/>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Clearway Energy LLC on Form 10-Q for the quarter ended March 31, 2019,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Roman"/>
      <w:start w:val="5"/>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upperLetter"/>
      <w:start w:val="6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2" Type="http://schemas.openxmlformats.org/officeDocument/2006/relationships/hyperlink" Target="http://www.sec.gov/Archives/edgar/data/1567683/000110465919008742/a19-4739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2019-12-28T12:53:54Z</dcterms:created>
  <dcterms:modified xsi:type="dcterms:W3CDTF">2019-12-28T12:53:54Z</dcterms:modified>
</cp:coreProperties>
</file>