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18539C105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June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 w:lineRule="exact"/>
        <w:rPr>
          <w:sz w:val="24"/>
          <w:szCs w:val="24"/>
          <w:color w:val="auto"/>
        </w:rPr>
      </w:pPr>
    </w:p>
    <w:p>
      <w:pPr>
        <w:ind w:left="800" w:hanging="792"/>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9" w:lineRule="exact"/>
        <w:rPr>
          <w:sz w:val="24"/>
          <w:szCs w:val="24"/>
          <w:color w:val="auto"/>
        </w:rPr>
      </w:pPr>
    </w:p>
    <w:p>
      <w:pPr>
        <w:ind w:left="800" w:hanging="792"/>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firstLine="8"/>
        <w:spacing w:after="0" w:line="195"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1" w:name="page2"/>
    <w:bookmarkEnd w:id="1"/>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5"/>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Atlas Master Fund,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Cayman Islands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169,670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169,670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169,670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0.5%</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8"/>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Atlas Management,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169,670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169,670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169,670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0.5%</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 w:name="page4"/>
    <w:bookmarkEnd w:id="3"/>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11"/>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PPF Credit Strategies,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117,468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117,468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117,468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0.3%</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 w:name="page5"/>
    <w:bookmarkEnd w:id="4"/>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14"/>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Credit Strategies Master Fund Ltd.</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Cayman Islands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1,509,589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1,509,589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1,509,589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4.4%</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 w:name="page6"/>
    <w:bookmarkEnd w:id="5"/>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17"/>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ST Fund Management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1,509,589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1,509,589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1,509,589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4.4%</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 w:name="page7"/>
    <w:bookmarkEnd w:id="6"/>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20"/>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ST Operating LP</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1,509,589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1,509,589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1,509,589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4.4%</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23"/>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ST Capital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1,509,589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1,509,589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1,509,589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4.4%</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 w:name="page9"/>
    <w:bookmarkEnd w:id="8"/>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26"/>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ST Management Holdings,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Cayman Islands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1,509,589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1,509,589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1,509,589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4.4%</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 w:name="page10"/>
    <w:bookmarkEnd w:id="9"/>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29"/>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 Kent Credit Master Fund, L.P.</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Cayman Islands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6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6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gridSpan w:val="3"/>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10,396 shares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694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9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gridSpan w:val="3"/>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694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gridSpan w:val="3"/>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69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640" w:type="dxa"/>
            <w:vAlign w:val="bottom"/>
          </w:tcPr>
          <w:p>
            <w:pPr>
              <w:spacing w:after="0"/>
              <w:rPr>
                <w:sz w:val="9"/>
                <w:szCs w:val="9"/>
                <w:color w:val="auto"/>
              </w:rPr>
            </w:pPr>
          </w:p>
        </w:tc>
        <w:tc>
          <w:tcPr>
            <w:tcW w:w="138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6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1380" w:type="dxa"/>
            <w:vAlign w:val="bottom"/>
            <w:tcBorders>
              <w:right w:val="single" w:sz="8" w:color="auto"/>
            </w:tcBorders>
            <w:gridSpan w:val="2"/>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10,396 shares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9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Borders>
              <w:right w:val="single" w:sz="8" w:color="auto"/>
            </w:tcBorders>
          </w:tcPr>
          <w:p>
            <w:pPr>
              <w:spacing w:after="0"/>
              <w:rPr>
                <w:sz w:val="20"/>
                <w:szCs w:val="20"/>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10,396 shares</w:t>
            </w:r>
          </w:p>
        </w:tc>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8920" w:type="dxa"/>
            <w:vAlign w:val="bottom"/>
            <w:tcBorders>
              <w:bottom w:val="single" w:sz="8" w:color="auto"/>
            </w:tcBorders>
            <w:gridSpan w:val="3"/>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80" w:type="dxa"/>
            <w:vAlign w:val="bottom"/>
            <w:tcBorders>
              <w:right w:val="single" w:sz="8" w:color="auto"/>
            </w:tcBorders>
          </w:tcPr>
          <w:p>
            <w:pPr>
              <w:spacing w:after="0"/>
              <w:rPr>
                <w:sz w:val="24"/>
                <w:szCs w:val="24"/>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1500" w:type="dxa"/>
            <w:vAlign w:val="bottom"/>
          </w:tcPr>
          <w:p>
            <w:pPr>
              <w:ind w:left="460"/>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8920" w:type="dxa"/>
            <w:vAlign w:val="bottom"/>
            <w:tcBorders>
              <w:bottom w:val="single" w:sz="8" w:color="auto"/>
            </w:tcBorders>
            <w:gridSpan w:val="3"/>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80" w:type="dxa"/>
            <w:vAlign w:val="bottom"/>
            <w:tcBorders>
              <w:right w:val="single" w:sz="8" w:color="auto"/>
            </w:tcBorders>
          </w:tcPr>
          <w:p>
            <w:pPr>
              <w:spacing w:after="0"/>
              <w:rPr>
                <w:sz w:val="20"/>
                <w:szCs w:val="20"/>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w:t>
            </w:r>
          </w:p>
        </w:tc>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8920" w:type="dxa"/>
            <w:vAlign w:val="bottom"/>
            <w:tcBorders>
              <w:bottom w:val="single" w:sz="8" w:color="auto"/>
            </w:tcBorders>
            <w:gridSpan w:val="3"/>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80" w:type="dxa"/>
            <w:vAlign w:val="bottom"/>
            <w:tcBorders>
              <w:right w:val="single" w:sz="8" w:color="auto"/>
            </w:tcBorders>
          </w:tcPr>
          <w:p>
            <w:pPr>
              <w:spacing w:after="0"/>
              <w:rPr>
                <w:sz w:val="20"/>
                <w:szCs w:val="20"/>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0" w:type="dxa"/>
            <w:vAlign w:val="bottom"/>
            <w:tcBorders>
              <w:bottom w:val="single" w:sz="8" w:color="auto"/>
              <w:right w:val="single" w:sz="8" w:color="auto"/>
            </w:tcBorders>
            <w:gridSpan w:val="2"/>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9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Rounds to less than 0.1%.</w:t>
            </w:r>
          </w:p>
        </w:tc>
        <w:tc>
          <w:tcPr>
            <w:tcW w:w="78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Page 10 of 34</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2" w:right="339" w:bottom="1440" w:gutter="0" w:footer="0" w:header="0"/>
        </w:sectPr>
      </w:pPr>
    </w:p>
    <w:bookmarkStart w:id="10" w:name="page11"/>
    <w:bookmarkEnd w:id="10"/>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32"/>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 Kent Management,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6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6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gridSpan w:val="3"/>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10,396 shares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694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9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gridSpan w:val="3"/>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694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gridSpan w:val="3"/>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69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640" w:type="dxa"/>
            <w:vAlign w:val="bottom"/>
          </w:tcPr>
          <w:p>
            <w:pPr>
              <w:spacing w:after="0"/>
              <w:rPr>
                <w:sz w:val="9"/>
                <w:szCs w:val="9"/>
                <w:color w:val="auto"/>
              </w:rPr>
            </w:pPr>
          </w:p>
        </w:tc>
        <w:tc>
          <w:tcPr>
            <w:tcW w:w="138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6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40" w:type="dxa"/>
            <w:vAlign w:val="bottom"/>
          </w:tcPr>
          <w:p>
            <w:pPr>
              <w:spacing w:after="0"/>
              <w:rPr>
                <w:sz w:val="10"/>
                <w:szCs w:val="10"/>
                <w:color w:val="auto"/>
              </w:rPr>
            </w:pPr>
          </w:p>
        </w:tc>
        <w:tc>
          <w:tcPr>
            <w:tcW w:w="1380" w:type="dxa"/>
            <w:vAlign w:val="bottom"/>
            <w:tcBorders>
              <w:right w:val="single" w:sz="8" w:color="auto"/>
            </w:tcBorders>
            <w:gridSpan w:val="2"/>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10,396 shares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9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Borders>
              <w:right w:val="single" w:sz="8" w:color="auto"/>
            </w:tcBorders>
          </w:tcPr>
          <w:p>
            <w:pPr>
              <w:spacing w:after="0"/>
              <w:rPr>
                <w:sz w:val="20"/>
                <w:szCs w:val="20"/>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10,396 shares</w:t>
            </w:r>
          </w:p>
        </w:tc>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8920" w:type="dxa"/>
            <w:vAlign w:val="bottom"/>
            <w:tcBorders>
              <w:bottom w:val="single" w:sz="8" w:color="auto"/>
            </w:tcBorders>
            <w:gridSpan w:val="3"/>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80" w:type="dxa"/>
            <w:vAlign w:val="bottom"/>
            <w:tcBorders>
              <w:right w:val="single" w:sz="8" w:color="auto"/>
            </w:tcBorders>
          </w:tcPr>
          <w:p>
            <w:pPr>
              <w:spacing w:after="0"/>
              <w:rPr>
                <w:sz w:val="24"/>
                <w:szCs w:val="24"/>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1500" w:type="dxa"/>
            <w:vAlign w:val="bottom"/>
          </w:tcPr>
          <w:p>
            <w:pPr>
              <w:ind w:left="460"/>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8920" w:type="dxa"/>
            <w:vAlign w:val="bottom"/>
            <w:tcBorders>
              <w:bottom w:val="single" w:sz="8" w:color="auto"/>
            </w:tcBorders>
            <w:gridSpan w:val="3"/>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80" w:type="dxa"/>
            <w:vAlign w:val="bottom"/>
            <w:tcBorders>
              <w:right w:val="single" w:sz="8" w:color="auto"/>
            </w:tcBorders>
          </w:tcPr>
          <w:p>
            <w:pPr>
              <w:spacing w:after="0"/>
              <w:rPr>
                <w:sz w:val="20"/>
                <w:szCs w:val="20"/>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w:t>
            </w:r>
          </w:p>
        </w:tc>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8920" w:type="dxa"/>
            <w:vAlign w:val="bottom"/>
            <w:tcBorders>
              <w:bottom w:val="single" w:sz="8" w:color="auto"/>
            </w:tcBorders>
            <w:gridSpan w:val="3"/>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80" w:type="dxa"/>
            <w:vAlign w:val="bottom"/>
            <w:tcBorders>
              <w:right w:val="single" w:sz="8" w:color="auto"/>
            </w:tcBorders>
          </w:tcPr>
          <w:p>
            <w:pPr>
              <w:spacing w:after="0"/>
              <w:rPr>
                <w:sz w:val="20"/>
                <w:szCs w:val="20"/>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0" w:type="dxa"/>
            <w:vAlign w:val="bottom"/>
            <w:tcBorders>
              <w:bottom w:val="single" w:sz="8" w:color="auto"/>
              <w:right w:val="single" w:sz="8" w:color="auto"/>
            </w:tcBorders>
            <w:gridSpan w:val="2"/>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9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Rounds to less than 0.1%.</w:t>
            </w:r>
          </w:p>
        </w:tc>
        <w:tc>
          <w:tcPr>
            <w:tcW w:w="78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Page 11 of 34</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2" w:right="339" w:bottom="1440" w:gutter="0" w:footer="0" w:header="0"/>
        </w:sectPr>
      </w:pPr>
    </w:p>
    <w:bookmarkStart w:id="11" w:name="page12"/>
    <w:bookmarkEnd w:id="11"/>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35"/>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TR Opportunistic Ltd.</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Cayman Islands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121,636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121,636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121,636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0.4%</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2" w:name="page13"/>
    <w:bookmarkEnd w:id="12"/>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38"/>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Total Return Master Fund LP</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Cayman Islands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121,636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121,636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121,636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0.4%</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3" w:name="page14"/>
    <w:bookmarkEnd w:id="13"/>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41"/>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Total Return Management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121,636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121,636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121,636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0.4%</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4" w:name="page15"/>
    <w:bookmarkEnd w:id="14"/>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44"/>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Total Return Master Fund Enhanced LP</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Cayman Islands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121,636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121,636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121,636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0.4%</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5" w:name="page16"/>
    <w:bookmarkEnd w:id="15"/>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47"/>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Total Return Enhanced Management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121,636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121,636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121,636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0.4%</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6" w:name="page17"/>
    <w:bookmarkEnd w:id="16"/>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50"/>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Credit Management,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6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6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gridSpan w:val="3"/>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7,095 shares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694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9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gridSpan w:val="3"/>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694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gridSpan w:val="3"/>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69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640" w:type="dxa"/>
            <w:vAlign w:val="bottom"/>
          </w:tcPr>
          <w:p>
            <w:pPr>
              <w:spacing w:after="0"/>
              <w:rPr>
                <w:sz w:val="9"/>
                <w:szCs w:val="9"/>
                <w:color w:val="auto"/>
              </w:rPr>
            </w:pPr>
          </w:p>
        </w:tc>
        <w:tc>
          <w:tcPr>
            <w:tcW w:w="138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6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1380" w:type="dxa"/>
            <w:vAlign w:val="bottom"/>
            <w:tcBorders>
              <w:right w:val="single" w:sz="8" w:color="auto"/>
            </w:tcBorders>
            <w:gridSpan w:val="2"/>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7,095 shares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9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Borders>
              <w:right w:val="single" w:sz="8" w:color="auto"/>
            </w:tcBorders>
          </w:tcPr>
          <w:p>
            <w:pPr>
              <w:spacing w:after="0"/>
              <w:rPr>
                <w:sz w:val="20"/>
                <w:szCs w:val="20"/>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7,095 shares</w:t>
            </w:r>
          </w:p>
        </w:tc>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8920" w:type="dxa"/>
            <w:vAlign w:val="bottom"/>
            <w:tcBorders>
              <w:bottom w:val="single" w:sz="8" w:color="auto"/>
            </w:tcBorders>
            <w:gridSpan w:val="3"/>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80" w:type="dxa"/>
            <w:vAlign w:val="bottom"/>
            <w:tcBorders>
              <w:right w:val="single" w:sz="8" w:color="auto"/>
            </w:tcBorders>
          </w:tcPr>
          <w:p>
            <w:pPr>
              <w:spacing w:after="0"/>
              <w:rPr>
                <w:sz w:val="24"/>
                <w:szCs w:val="24"/>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1500" w:type="dxa"/>
            <w:vAlign w:val="bottom"/>
          </w:tcPr>
          <w:p>
            <w:pPr>
              <w:ind w:left="460"/>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8920" w:type="dxa"/>
            <w:vAlign w:val="bottom"/>
            <w:tcBorders>
              <w:bottom w:val="single" w:sz="8" w:color="auto"/>
            </w:tcBorders>
            <w:gridSpan w:val="3"/>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80" w:type="dxa"/>
            <w:vAlign w:val="bottom"/>
            <w:tcBorders>
              <w:right w:val="single" w:sz="8" w:color="auto"/>
            </w:tcBorders>
          </w:tcPr>
          <w:p>
            <w:pPr>
              <w:spacing w:after="0"/>
              <w:rPr>
                <w:sz w:val="20"/>
                <w:szCs w:val="20"/>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w:t>
            </w:r>
          </w:p>
        </w:tc>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8920" w:type="dxa"/>
            <w:vAlign w:val="bottom"/>
            <w:tcBorders>
              <w:bottom w:val="single" w:sz="8" w:color="auto"/>
            </w:tcBorders>
            <w:gridSpan w:val="3"/>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80" w:type="dxa"/>
            <w:vAlign w:val="bottom"/>
            <w:tcBorders>
              <w:right w:val="single" w:sz="8" w:color="auto"/>
            </w:tcBorders>
          </w:tcPr>
          <w:p>
            <w:pPr>
              <w:spacing w:after="0"/>
              <w:rPr>
                <w:sz w:val="20"/>
                <w:szCs w:val="20"/>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0" w:type="dxa"/>
            <w:vAlign w:val="bottom"/>
            <w:tcBorders>
              <w:bottom w:val="single" w:sz="8" w:color="auto"/>
              <w:right w:val="single" w:sz="8" w:color="auto"/>
            </w:tcBorders>
            <w:gridSpan w:val="2"/>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9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Rounds to less than 0.1%.</w:t>
            </w:r>
          </w:p>
        </w:tc>
        <w:tc>
          <w:tcPr>
            <w:tcW w:w="78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Page 17 of 34</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2" w:right="339" w:bottom="1440" w:gutter="0" w:footer="0" w:header="0"/>
        </w:sectPr>
      </w:pPr>
    </w:p>
    <w:bookmarkStart w:id="17" w:name="page18"/>
    <w:bookmarkEnd w:id="17"/>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53"/>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Capital Credit Management,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6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6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gridSpan w:val="3"/>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7,095 shares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694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gridSpan w:val="3"/>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9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gridSpan w:val="3"/>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694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gridSpan w:val="3"/>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69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640" w:type="dxa"/>
            <w:vAlign w:val="bottom"/>
          </w:tcPr>
          <w:p>
            <w:pPr>
              <w:spacing w:after="0"/>
              <w:rPr>
                <w:sz w:val="9"/>
                <w:szCs w:val="9"/>
                <w:color w:val="auto"/>
              </w:rPr>
            </w:pPr>
          </w:p>
        </w:tc>
        <w:tc>
          <w:tcPr>
            <w:tcW w:w="138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6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1380" w:type="dxa"/>
            <w:vAlign w:val="bottom"/>
            <w:tcBorders>
              <w:right w:val="single" w:sz="8" w:color="auto"/>
            </w:tcBorders>
            <w:gridSpan w:val="2"/>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7,095 shares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9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Borders>
              <w:right w:val="single" w:sz="8" w:color="auto"/>
            </w:tcBorders>
          </w:tcPr>
          <w:p>
            <w:pPr>
              <w:spacing w:after="0"/>
              <w:rPr>
                <w:sz w:val="20"/>
                <w:szCs w:val="20"/>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7,095 shares</w:t>
            </w:r>
          </w:p>
        </w:tc>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8920" w:type="dxa"/>
            <w:vAlign w:val="bottom"/>
            <w:tcBorders>
              <w:bottom w:val="single" w:sz="8" w:color="auto"/>
            </w:tcBorders>
            <w:gridSpan w:val="3"/>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80" w:type="dxa"/>
            <w:vAlign w:val="bottom"/>
            <w:tcBorders>
              <w:right w:val="single" w:sz="8" w:color="auto"/>
            </w:tcBorders>
          </w:tcPr>
          <w:p>
            <w:pPr>
              <w:spacing w:after="0"/>
              <w:rPr>
                <w:sz w:val="24"/>
                <w:szCs w:val="24"/>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1500" w:type="dxa"/>
            <w:vAlign w:val="bottom"/>
          </w:tcPr>
          <w:p>
            <w:pPr>
              <w:ind w:left="460"/>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8920" w:type="dxa"/>
            <w:vAlign w:val="bottom"/>
            <w:tcBorders>
              <w:bottom w:val="single" w:sz="8" w:color="auto"/>
            </w:tcBorders>
            <w:gridSpan w:val="3"/>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80" w:type="dxa"/>
            <w:vAlign w:val="bottom"/>
            <w:tcBorders>
              <w:right w:val="single" w:sz="8" w:color="auto"/>
            </w:tcBorders>
          </w:tcPr>
          <w:p>
            <w:pPr>
              <w:spacing w:after="0"/>
              <w:rPr>
                <w:sz w:val="20"/>
                <w:szCs w:val="20"/>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w:t>
            </w:r>
          </w:p>
        </w:tc>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8920" w:type="dxa"/>
            <w:vAlign w:val="bottom"/>
            <w:tcBorders>
              <w:bottom w:val="single" w:sz="8" w:color="auto"/>
            </w:tcBorders>
            <w:gridSpan w:val="3"/>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80" w:type="dxa"/>
            <w:vAlign w:val="bottom"/>
            <w:tcBorders>
              <w:right w:val="single" w:sz="8" w:color="auto"/>
            </w:tcBorders>
          </w:tcPr>
          <w:p>
            <w:pPr>
              <w:spacing w:after="0"/>
              <w:rPr>
                <w:sz w:val="20"/>
                <w:szCs w:val="20"/>
                <w:color w:val="auto"/>
              </w:rPr>
            </w:pPr>
          </w:p>
        </w:tc>
        <w:tc>
          <w:tcPr>
            <w:tcW w:w="8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7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0" w:type="dxa"/>
            <w:vAlign w:val="bottom"/>
            <w:tcBorders>
              <w:bottom w:val="single" w:sz="8" w:color="auto"/>
              <w:right w:val="single" w:sz="8" w:color="auto"/>
            </w:tcBorders>
            <w:gridSpan w:val="2"/>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9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Rounds to less than 0.1%.</w:t>
            </w:r>
          </w:p>
        </w:tc>
        <w:tc>
          <w:tcPr>
            <w:tcW w:w="78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Page 18 of 34</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2" w:right="339" w:bottom="1440" w:gutter="0" w:footer="0" w:header="0"/>
        </w:sectPr>
      </w:pPr>
    </w:p>
    <w:bookmarkStart w:id="18" w:name="page19"/>
    <w:bookmarkEnd w:id="18"/>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56"/>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SA Management,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19,435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19,435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19,435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0.1%</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9" w:name="page20"/>
    <w:bookmarkEnd w:id="19"/>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59"/>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Capital Management, L.P.</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1,983,801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1,983,801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1,983,801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5.7%</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0" w:name="page21"/>
    <w:bookmarkEnd w:id="20"/>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62"/>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Capital Management GP,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1,983,801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1,983,801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1,983,801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5.7%</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1" w:name="page22"/>
    <w:bookmarkEnd w:id="21"/>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65"/>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Management Holdings, L.P.</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1,983,801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1,983,801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1,983,801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5.7%</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2" w:name="page23"/>
    <w:bookmarkEnd w:id="22"/>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91335" cy="29146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6506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6506210"/>
                    </a:xfrm>
                    <a:prstGeom prst="rect">
                      <a:avLst/>
                    </a:prstGeom>
                    <a:noFill/>
                  </pic:spPr>
                </pic:pic>
              </a:graphicData>
            </a:graphic>
          </wp:anchor>
        </w:drawing>
      </w:r>
    </w:p>
    <w:p>
      <w:pPr>
        <w:spacing w:after="0" w:line="3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7" w:lineRule="exact"/>
        <w:rPr>
          <w:sz w:val="20"/>
          <w:szCs w:val="20"/>
          <w:color w:val="auto"/>
        </w:rPr>
      </w:pPr>
    </w:p>
    <w:p>
      <w:pPr>
        <w:ind w:left="900" w:right="4740" w:hanging="474"/>
        <w:spacing w:after="0" w:line="224" w:lineRule="auto"/>
        <w:tabs>
          <w:tab w:leader="none" w:pos="900" w:val="left"/>
        </w:tabs>
        <w:numPr>
          <w:ilvl w:val="0"/>
          <w:numId w:val="68"/>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I.R.S. IDENTIFICATION NOS. OF ABOVE PERSONS (ENTITIES ONLY) Apollo Management Holdings GP, LLC</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920" w:type="dxa"/>
            <w:vAlign w:val="bottom"/>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240" w:type="dxa"/>
            <w:vAlign w:val="bottom"/>
          </w:tcPr>
          <w:p>
            <w:pPr>
              <w:ind w:left="4840"/>
              <w:spacing w:after="0" w:line="207" w:lineRule="exact"/>
              <w:rPr>
                <w:sz w:val="20"/>
                <w:szCs w:val="20"/>
                <w:color w:val="auto"/>
              </w:rPr>
            </w:pPr>
            <w:r>
              <w:rPr>
                <w:rFonts w:ascii="Times New Roman" w:cs="Times New Roman" w:eastAsia="Times New Roman" w:hAnsi="Times New Roman"/>
                <w:sz w:val="18"/>
                <w:szCs w:val="18"/>
                <w:color w:val="auto"/>
                <w:w w:val="89"/>
              </w:rPr>
              <w:t xml:space="preserve">(a) </w:t>
            </w:r>
            <w:r>
              <w:rPr>
                <w:rFonts w:ascii="MS PGothic" w:cs="MS PGothic" w:eastAsia="MS PGothic" w:hAnsi="MS PGothic"/>
                <w:sz w:val="18"/>
                <w:szCs w:val="18"/>
                <w:color w:val="auto"/>
                <w:w w:val="89"/>
              </w:rPr>
              <w:t>☐</w:t>
            </w:r>
          </w:p>
        </w:tc>
      </w:tr>
    </w:tbl>
    <w:p>
      <w:pPr>
        <w:spacing w:after="0" w:line="41" w:lineRule="exact"/>
        <w:rPr>
          <w:sz w:val="20"/>
          <w:szCs w:val="20"/>
          <w:color w:val="auto"/>
        </w:rPr>
      </w:pPr>
    </w:p>
    <w:p>
      <w:pPr>
        <w:ind w:left="102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59" w:lineRule="exact"/>
        <w:rPr>
          <w:sz w:val="20"/>
          <w:szCs w:val="20"/>
          <w:color w:val="auto"/>
        </w:rPr>
      </w:pPr>
    </w:p>
    <w:p>
      <w:pPr>
        <w:ind w:left="900" w:hanging="474"/>
        <w:spacing w:after="0"/>
        <w:tabs>
          <w:tab w:leader="none" w:pos="9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900" w:right="6660" w:hanging="474"/>
        <w:spacing w:after="0" w:line="407" w:lineRule="auto"/>
        <w:tabs>
          <w:tab w:leader="none" w:pos="9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w:t>
            </w:r>
          </w:p>
        </w:tc>
        <w:tc>
          <w:tcPr>
            <w:tcW w:w="8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1,983,801 shares</w:t>
            </w:r>
          </w:p>
        </w:tc>
        <w:tc>
          <w:tcPr>
            <w:tcW w:w="0" w:type="dxa"/>
            <w:vAlign w:val="bottom"/>
          </w:tcPr>
          <w:p>
            <w:pPr>
              <w:spacing w:after="0"/>
              <w:rPr>
                <w:sz w:val="1"/>
                <w:szCs w:val="1"/>
                <w:color w:val="auto"/>
              </w:rPr>
            </w:pPr>
          </w:p>
        </w:tc>
      </w:tr>
      <w:tr>
        <w:trPr>
          <w:trHeight w:val="140"/>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 PERSON</w:t>
            </w: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780" w:type="dxa"/>
            <w:vAlign w:val="bottom"/>
            <w:tcBorders>
              <w:right w:val="single" w:sz="8" w:color="auto"/>
            </w:tcBorders>
            <w:vMerge w:val="continue"/>
          </w:tcPr>
          <w:p>
            <w:pPr>
              <w:spacing w:after="0"/>
              <w:rPr>
                <w:sz w:val="9"/>
                <w:szCs w:val="9"/>
                <w:color w:val="auto"/>
              </w:rPr>
            </w:pPr>
          </w:p>
        </w:tc>
        <w:tc>
          <w:tcPr>
            <w:tcW w:w="8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2020" w:type="dxa"/>
            <w:vAlign w:val="bottom"/>
            <w:tcBorders>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8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1,983,801 shares</w:t>
            </w:r>
          </w:p>
        </w:tc>
        <w:tc>
          <w:tcPr>
            <w:tcW w:w="0" w:type="dxa"/>
            <w:vAlign w:val="bottom"/>
          </w:tcPr>
          <w:p>
            <w:pPr>
              <w:spacing w:after="0"/>
              <w:rPr>
                <w:sz w:val="1"/>
                <w:szCs w:val="1"/>
                <w:color w:val="auto"/>
              </w:rPr>
            </w:pPr>
          </w:p>
        </w:tc>
      </w:tr>
      <w:tr>
        <w:trPr>
          <w:trHeight w:val="175"/>
        </w:trPr>
        <w:tc>
          <w:tcPr>
            <w:tcW w:w="20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1,983,801 shares</w:t>
      </w:r>
    </w:p>
    <w:p>
      <w:pPr>
        <w:spacing w:after="0" w:line="196" w:lineRule="exact"/>
        <w:rPr>
          <w:sz w:val="20"/>
          <w:szCs w:val="20"/>
          <w:color w:val="auto"/>
        </w:rPr>
      </w:pPr>
    </w:p>
    <w:p>
      <w:pPr>
        <w:ind w:left="340"/>
        <w:spacing w:after="0" w:line="207" w:lineRule="exact"/>
        <w:tabs>
          <w:tab w:leader="none" w:pos="880" w:val="left"/>
          <w:tab w:leader="none" w:pos="101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3"/>
          <w:szCs w:val="13"/>
          <w:color w:val="auto"/>
        </w:rPr>
        <w:t>      </w:t>
      </w:r>
      <w:r>
        <w:rPr>
          <w:rFonts w:ascii="MS PGothic" w:cs="MS PGothic" w:eastAsia="MS PGothic" w:hAnsi="MS PGothic"/>
          <w:sz w:val="13"/>
          <w:szCs w:val="13"/>
          <w:color w:val="auto"/>
        </w:rPr>
        <w:t>☐</w:t>
      </w:r>
    </w:p>
    <w:p>
      <w:pPr>
        <w:spacing w:after="0" w:line="2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5.7%</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3" w:name="page24"/>
    <w:bookmarkEnd w:id="23"/>
    <w:p>
      <w:pPr>
        <w:spacing w:after="0"/>
        <w:tabs>
          <w:tab w:leader="none" w:pos="1280" w:val="left"/>
          <w:tab w:leader="none" w:pos="1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21" w:lineRule="exact"/>
        <w:rPr>
          <w:sz w:val="20"/>
          <w:szCs w:val="20"/>
          <w:color w:val="auto"/>
        </w:rPr>
      </w:pPr>
    </w:p>
    <w:p>
      <w:pPr>
        <w:ind w:left="1960" w:hanging="656"/>
        <w:spacing w:after="0"/>
        <w:tabs>
          <w:tab w:leader="none" w:pos="19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804 Carnegie Center</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203" w:lineRule="exact"/>
        <w:rPr>
          <w:sz w:val="20"/>
          <w:szCs w:val="20"/>
          <w:color w:val="auto"/>
        </w:rPr>
      </w:pPr>
    </w:p>
    <w:p>
      <w:pPr>
        <w:spacing w:after="0"/>
        <w:tabs>
          <w:tab w:leader="none" w:pos="1280" w:val="left"/>
          <w:tab w:leader="none" w:pos="1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229" w:lineRule="exact"/>
        <w:rPr>
          <w:sz w:val="20"/>
          <w:szCs w:val="20"/>
          <w:color w:val="auto"/>
        </w:rPr>
      </w:pPr>
    </w:p>
    <w:p>
      <w:pPr>
        <w:jc w:val="both"/>
        <w:ind w:left="1960"/>
        <w:spacing w:after="0" w:line="255" w:lineRule="auto"/>
        <w:rPr>
          <w:sz w:val="20"/>
          <w:szCs w:val="20"/>
          <w:color w:val="auto"/>
        </w:rPr>
      </w:pPr>
      <w:r>
        <w:rPr>
          <w:rFonts w:ascii="Times New Roman" w:cs="Times New Roman" w:eastAsia="Times New Roman" w:hAnsi="Times New Roman"/>
          <w:sz w:val="18"/>
          <w:szCs w:val="18"/>
          <w:color w:val="auto"/>
        </w:rPr>
        <w:t>This statement is filed by (i) Apollo Atlas Master Fund, LLC (“Atlas”), (ii) Apollo Atlas Management, LLC (“Atlas Management”), (iii) Apollo PPF Credit Strategies, LLC (“PPF Credit Strategies”), (iv) Apollo Credit Strategies Master Fund Ltd. (“Credit Strategies”), (v) Apollo ST Fund Management LLC (“ST Management”), (vi) Apollo ST Operating LP (“ST Operating”), (vii) Apollo ST Capital LLC (“ST Capital”), (viii) ST Management Holdings, LLC (“ST Management Holdings”),</w:t>
      </w:r>
    </w:p>
    <w:p>
      <w:pPr>
        <w:spacing w:after="0" w:line="3" w:lineRule="exact"/>
        <w:rPr>
          <w:sz w:val="20"/>
          <w:szCs w:val="20"/>
          <w:color w:val="auto"/>
        </w:rPr>
      </w:pPr>
    </w:p>
    <w:p>
      <w:pPr>
        <w:jc w:val="both"/>
        <w:ind w:left="1960" w:hanging="8"/>
        <w:spacing w:after="0" w:line="251" w:lineRule="auto"/>
        <w:tabs>
          <w:tab w:leader="none" w:pos="225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 Kent Credit Master Fund, L.P. (“Kent Credit”), (x) AP Kent Management LLC (“Kent Management”), (xi) Apollo Credit Management, LLC (“ACM LLC”), (xii) Apollo Capital Credit Management, LLC (“ACCM LLC”), (xiii) Apollo SA Management, LLC (“SA Management”), (xiv) Apollo TR Opportunistic Ltd. (“TR Opportunistic”), (xv) Apollo Total Return Master Fund LP (“TR Master Fund”), (xvi) Apollo Total Return Management LLC (“TR Management”), (xvii) Apollo Total Return Master Fund Enhanced LP (“TR Enhanced”), (xviii) Apollo Total Return Enhanced Management LLC (“TR Enhanced Management”), (xix) Apollo Capital Management, L.P. (“Capital Management”), (xx) Apollo Capital Management GP, LLC (“Capital Management GP”), (xxi) Apollo Management Holdings, L.P. (“Management Holdings”), and (xxii) Apollo Management Holdings GP, LLC (“Management Holdings GP”). The foregoing are collectively referred to herein as the “Reporting Persons.”</w:t>
      </w:r>
    </w:p>
    <w:p>
      <w:pPr>
        <w:spacing w:after="0" w:line="193" w:lineRule="exact"/>
        <w:rPr>
          <w:sz w:val="20"/>
          <w:szCs w:val="20"/>
          <w:color w:val="auto"/>
        </w:rPr>
      </w:pPr>
    </w:p>
    <w:p>
      <w:pPr>
        <w:jc w:val="both"/>
        <w:ind w:left="1960"/>
        <w:spacing w:after="0" w:line="282" w:lineRule="auto"/>
        <w:rPr>
          <w:sz w:val="20"/>
          <w:szCs w:val="20"/>
          <w:color w:val="auto"/>
        </w:rPr>
      </w:pPr>
      <w:r>
        <w:rPr>
          <w:rFonts w:ascii="Times New Roman" w:cs="Times New Roman" w:eastAsia="Times New Roman" w:hAnsi="Times New Roman"/>
          <w:sz w:val="18"/>
          <w:szCs w:val="18"/>
          <w:color w:val="auto"/>
        </w:rPr>
        <w:t>Atlas, PPF Credit Strategies, Credit Strategies, Kent Credit and TR Opportunistic each hold shares of Common Stock of the Issuer.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Atlas Management serves as the investment manager of Atlas.</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Credit Strategies is the sole member of PPF Credit Strategies. ST Management serves as the investment manager for Credit Strategies. ST Operating is the sole member of ST Management. The general partner of ST Operating is ST Capital. ST Management Holdings is the sole member of ST Capital.</w:t>
      </w:r>
    </w:p>
    <w:p>
      <w:pPr>
        <w:spacing w:after="0" w:line="176" w:lineRule="exact"/>
        <w:rPr>
          <w:sz w:val="20"/>
          <w:szCs w:val="20"/>
          <w:color w:val="auto"/>
        </w:rPr>
      </w:pPr>
    </w:p>
    <w:p>
      <w:pPr>
        <w:jc w:val="both"/>
        <w:ind w:left="1960" w:right="20"/>
        <w:spacing w:after="0" w:line="282" w:lineRule="auto"/>
        <w:rPr>
          <w:sz w:val="20"/>
          <w:szCs w:val="20"/>
          <w:color w:val="auto"/>
        </w:rPr>
      </w:pPr>
      <w:r>
        <w:rPr>
          <w:rFonts w:ascii="Times New Roman" w:cs="Times New Roman" w:eastAsia="Times New Roman" w:hAnsi="Times New Roman"/>
          <w:sz w:val="18"/>
          <w:szCs w:val="18"/>
          <w:color w:val="auto"/>
        </w:rPr>
        <w:t>Kent Management serves as the investment manager of Kent Credit. PPF Management serves as the investment management of PPF Credit Strategies.</w:t>
      </w:r>
    </w:p>
    <w:p>
      <w:pPr>
        <w:spacing w:after="0" w:line="162" w:lineRule="exact"/>
        <w:rPr>
          <w:sz w:val="20"/>
          <w:szCs w:val="20"/>
          <w:color w:val="auto"/>
        </w:rPr>
      </w:pPr>
    </w:p>
    <w:p>
      <w:pPr>
        <w:jc w:val="both"/>
        <w:ind w:left="1960"/>
        <w:spacing w:after="0" w:line="282" w:lineRule="auto"/>
        <w:rPr>
          <w:sz w:val="20"/>
          <w:szCs w:val="20"/>
          <w:color w:val="auto"/>
        </w:rPr>
      </w:pPr>
      <w:r>
        <w:rPr>
          <w:rFonts w:ascii="Times New Roman" w:cs="Times New Roman" w:eastAsia="Times New Roman" w:hAnsi="Times New Roman"/>
          <w:sz w:val="18"/>
          <w:szCs w:val="18"/>
          <w:color w:val="auto"/>
        </w:rPr>
        <w:t>TR Master Fund and TR Enhanced are the shareholders of TR Opportunistic. TR Management serves as the investment manager for TR Master Fund and TR Enhanced Management serves as the investment manager for TR Enhanced.</w:t>
      </w:r>
    </w:p>
    <w:p>
      <w:pPr>
        <w:spacing w:after="0" w:line="162" w:lineRule="exact"/>
        <w:rPr>
          <w:sz w:val="20"/>
          <w:szCs w:val="20"/>
          <w:color w:val="auto"/>
        </w:rPr>
      </w:pPr>
    </w:p>
    <w:p>
      <w:pPr>
        <w:jc w:val="both"/>
        <w:ind w:left="1960" w:right="20"/>
        <w:spacing w:after="0" w:line="266" w:lineRule="auto"/>
        <w:rPr>
          <w:sz w:val="20"/>
          <w:szCs w:val="20"/>
          <w:color w:val="auto"/>
        </w:rPr>
      </w:pPr>
      <w:r>
        <w:rPr>
          <w:rFonts w:ascii="Times New Roman" w:cs="Times New Roman" w:eastAsia="Times New Roman" w:hAnsi="Times New Roman"/>
          <w:sz w:val="18"/>
          <w:szCs w:val="18"/>
          <w:color w:val="auto"/>
        </w:rPr>
        <w:t>ACM LLC provides investment management services for Franklin K2 Long Short Credit Fund (“Franklin K2”). ACCM LLC is the sole member of ACM LLC. SA Management provides investment management services for Franklin Templeton Investment Funds (“FTIF Franklin”) and Franklin Alternative Strategies Fund (“FASF Franklin”).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left="1960"/>
        <w:spacing w:after="0" w:line="258" w:lineRule="auto"/>
        <w:rPr>
          <w:sz w:val="20"/>
          <w:szCs w:val="20"/>
          <w:color w:val="auto"/>
        </w:rPr>
      </w:pPr>
      <w:r>
        <w:rPr>
          <w:rFonts w:ascii="Times New Roman" w:cs="Times New Roman" w:eastAsia="Times New Roman" w:hAnsi="Times New Roman"/>
          <w:sz w:val="18"/>
          <w:szCs w:val="18"/>
          <w:color w:val="auto"/>
        </w:rPr>
        <w:t>Capital Management serves as the sole member of Atlas Management, Kent Management, ACCM LLC and SA Management, and the sole member and manager of ST Management Holdings, TR Management and TR Enhanced Management, and provides investment management services for K2 Apollo Credit Master Fund Ltd (“K2 Apollo”). Capital Management GP serves as the general partner of Capital Management. Management Holdings serves as the sole member and manager of Capital Management GP, and Management Holdings GP serves as the general partner of Management Holdings.</w:t>
      </w:r>
    </w:p>
    <w:p>
      <w:pPr>
        <w:spacing w:after="0" w:line="179" w:lineRule="exact"/>
        <w:rPr>
          <w:sz w:val="20"/>
          <w:szCs w:val="20"/>
          <w:color w:val="auto"/>
        </w:rPr>
      </w:pPr>
    </w:p>
    <w:p>
      <w:pPr>
        <w:ind w:left="1960" w:hanging="656"/>
        <w:spacing w:after="0"/>
        <w:tabs>
          <w:tab w:leader="none" w:pos="19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address of the principal business office of each of Credit Strategies, TR Management, TR Opportunistic, TR Master Fund and TR Enhanced is c/o Walkers Corporate Limited, Cayman Corporate Centre, 27 Hospital Road, George Town, Grand Cayman, KY-9008, Cayman Islands.</w:t>
      </w:r>
    </w:p>
    <w:p>
      <w:pPr>
        <w:spacing w:after="0" w:line="175" w:lineRule="exact"/>
        <w:rPr>
          <w:rFonts w:ascii="Times New Roman" w:cs="Times New Roman" w:eastAsia="Times New Roman" w:hAnsi="Times New Roman"/>
          <w:sz w:val="18"/>
          <w:szCs w:val="18"/>
          <w:b w:val="1"/>
          <w:bCs w:val="1"/>
          <w:color w:val="auto"/>
        </w:rPr>
      </w:pPr>
    </w:p>
    <w:p>
      <w:pPr>
        <w:ind w:left="1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address of the principal business office of each of PPF Credit Strategies, Kent Credit and Atlas is One Manhattanville Road, Suite 201, Purchase, New York 10577.</w:t>
      </w:r>
    </w:p>
    <w:p>
      <w:pPr>
        <w:spacing w:after="0" w:line="161" w:lineRule="exact"/>
        <w:rPr>
          <w:rFonts w:ascii="Times New Roman" w:cs="Times New Roman" w:eastAsia="Times New Roman" w:hAnsi="Times New Roman"/>
          <w:sz w:val="18"/>
          <w:szCs w:val="18"/>
          <w:b w:val="1"/>
          <w:bCs w:val="1"/>
          <w:color w:val="auto"/>
        </w:rPr>
      </w:pPr>
    </w:p>
    <w:p>
      <w:pPr>
        <w:jc w:val="both"/>
        <w:ind w:left="1960"/>
        <w:spacing w:after="0" w:line="2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address of the principal business office of each of ST Management, ST Operating, ST Capital, ST Management Holdings, Kent Management, Atlas Management, TR Enhanced Management, ACM LLC, ACCM LLC, SA Management, Capital Management, Capital Management GP, Management Holdings and Management Holdings GP is 9 W. 57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New York, New York 10019.</w:t>
      </w:r>
    </w:p>
    <w:p>
      <w:pPr>
        <w:spacing w:after="0" w:line="193"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29" w:lineRule="exact"/>
        <w:rPr>
          <w:rFonts w:ascii="Times New Roman" w:cs="Times New Roman" w:eastAsia="Times New Roman" w:hAnsi="Times New Roman"/>
          <w:sz w:val="18"/>
          <w:szCs w:val="18"/>
          <w:b w:val="1"/>
          <w:bCs w:val="1"/>
          <w:color w:val="auto"/>
        </w:rPr>
      </w:pPr>
    </w:p>
    <w:p>
      <w:pPr>
        <w:jc w:val="both"/>
        <w:ind w:left="19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Credit Strategies, ST Management Holdings and TR Opportunistic are exempted companies incorporated in the Cayman Islands with limited liability. ST Operating, Capital Management and Management Holdings are each Delaware limited partnerships. Kent Credit, Atlas, TR Master Fund and TR Enhanced are each exempted limited partnerships registered in the Cayman Islands. PPF Credit Strategies, ST Management, ST Capital, TR Management, TR Enhanced Management, ACM LLC, ACCM LLC, SA Management, Kent Management, Atlas Management, Capital Management GP, and Management Holdings GP are each Delaware limited liability companies.</w:t>
      </w:r>
    </w:p>
    <w:p>
      <w:pPr>
        <w:spacing w:after="0" w:line="183"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Class A Common Stock, par value $0.01 per share (the “Common Stock”)</w:t>
      </w:r>
    </w:p>
    <w:p>
      <w:pPr>
        <w:spacing w:after="0" w:line="221" w:lineRule="exact"/>
        <w:rPr>
          <w:rFonts w:ascii="Times New Roman" w:cs="Times New Roman" w:eastAsia="Times New Roman" w:hAnsi="Times New Roman"/>
          <w:sz w:val="18"/>
          <w:szCs w:val="18"/>
          <w:b w:val="1"/>
          <w:bCs w:val="1"/>
          <w:color w:val="auto"/>
        </w:rPr>
      </w:pPr>
    </w:p>
    <w:p>
      <w:pPr>
        <w:ind w:left="1960" w:right="8060" w:hanging="656"/>
        <w:spacing w:after="0" w:line="530" w:lineRule="auto"/>
        <w:tabs>
          <w:tab w:leader="none" w:pos="196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18539C105</w:t>
      </w:r>
    </w:p>
    <w:p>
      <w:pPr>
        <w:spacing w:after="0" w:line="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Atlas Management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PPF Credit Strategies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Credit Strategies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 Management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 Operating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 Capital</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 Management Holdings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 Credit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Kent Management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 Opportunistic</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 Master Fund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 Management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 Enhanced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 Enhanced Management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ACM LLC</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ACCM LLC</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SA Management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Management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Capital Management GP</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Holdings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Management Holdings GP</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1,983,801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Unless indicated otherwise, the number of shares of Common Stock reported as beneficially owned in this Schedule 13G is as of the date hereof. As of June 9, 2022, the reporting persons beneficially owned an aggregate of 2,256,369 shares of Common Stock.</w:t>
      </w:r>
    </w:p>
    <w:p>
      <w:pPr>
        <w:spacing w:after="0" w:line="176" w:lineRule="exact"/>
        <w:rPr>
          <w:sz w:val="20"/>
          <w:szCs w:val="20"/>
          <w:color w:val="auto"/>
        </w:rPr>
      </w:pPr>
    </w:p>
    <w:p>
      <w:pPr>
        <w:jc w:val="both"/>
        <w:ind w:left="196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reported as beneficially owned by ACM LLC and ACCM LLC are held by Franklin K2, for which ACM LLC has the authority to vote and to make investment decisions.</w:t>
      </w:r>
    </w:p>
    <w:p>
      <w:pPr>
        <w:spacing w:after="0" w:line="162" w:lineRule="exact"/>
        <w:rPr>
          <w:sz w:val="20"/>
          <w:szCs w:val="20"/>
          <w:color w:val="auto"/>
        </w:rPr>
      </w:pPr>
    </w:p>
    <w:p>
      <w:pPr>
        <w:jc w:val="both"/>
        <w:ind w:left="196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reported as beneficially owned by SA Management are held by FTIF Franklin and FASF Franklin, for which SA Management has the authority to vote and to make investment decisions.</w:t>
      </w:r>
    </w:p>
    <w:p>
      <w:pPr>
        <w:spacing w:after="0" w:line="162" w:lineRule="exact"/>
        <w:rPr>
          <w:sz w:val="20"/>
          <w:szCs w:val="20"/>
          <w:color w:val="auto"/>
        </w:rPr>
      </w:pPr>
    </w:p>
    <w:p>
      <w:pPr>
        <w:jc w:val="both"/>
        <w:ind w:left="1960"/>
        <w:spacing w:after="0" w:line="282" w:lineRule="auto"/>
        <w:rPr>
          <w:sz w:val="20"/>
          <w:szCs w:val="20"/>
          <w:color w:val="auto"/>
        </w:rPr>
      </w:pPr>
      <w:r>
        <w:rPr>
          <w:rFonts w:ascii="Times New Roman" w:cs="Times New Roman" w:eastAsia="Times New Roman" w:hAnsi="Times New Roman"/>
          <w:sz w:val="18"/>
          <w:szCs w:val="18"/>
          <w:color w:val="auto"/>
        </w:rPr>
        <w:t>The number of shares reported as beneficially owned by Capital Management include, among others, 145,980 shares of Common Stock held by K2 Apollo, for which Capital Management has the authority to vote and to make investment decisions.</w:t>
      </w:r>
    </w:p>
    <w:p>
      <w:pPr>
        <w:spacing w:after="0" w:line="162"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18"/>
          <w:szCs w:val="18"/>
          <w:color w:val="auto"/>
        </w:rPr>
        <w:t>The shares of Common Stock reported as beneficially owned by Atlas Management, ST Management Holdings, Kent Management, TR Management, TR Enhanced Management, ACCM LLC and SA Management are also included in the shares reported as beneficially owned by Capital Management, Capital Management GP, Management Holdings and Management Holdings GP.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Atlas, PPF Credit Strategies, Credit Strategies, Kent Credit, and TR Opportunistic each disclaim beneficial ownership of all shares of the Common Stock included in this report other than the shares of Common Stock held of record by such Reporting Person, and the filing of this report shall not be construed as an admission that any such person or entity is the beneficial owner of any such securities for purposes of Section 13(d) or 13(g) of the Securities Exchange Act of 1934, as amended, or for any other purpose. The other Reporting Persons, and Messrs. Marc Rowan, Scott Kleinman and James Zelter, the managers, as well as executive officers, of Management Holdings GP, each disclaim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210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w:t>
            </w:r>
          </w:p>
        </w:tc>
        <w:tc>
          <w:tcPr>
            <w:tcW w:w="21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Atlas Management</w:t>
            </w:r>
          </w:p>
        </w:tc>
        <w:tc>
          <w:tcPr>
            <w:tcW w:w="2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PPF Credit Strategies</w:t>
            </w:r>
          </w:p>
        </w:tc>
        <w:tc>
          <w:tcPr>
            <w:tcW w:w="21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Credit Strategies</w:t>
            </w:r>
          </w:p>
        </w:tc>
        <w:tc>
          <w:tcPr>
            <w:tcW w:w="2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 Management</w:t>
            </w:r>
          </w:p>
        </w:tc>
        <w:tc>
          <w:tcPr>
            <w:tcW w:w="21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 Operating</w:t>
            </w:r>
          </w:p>
        </w:tc>
        <w:tc>
          <w:tcPr>
            <w:tcW w:w="2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 Capital</w:t>
            </w:r>
          </w:p>
        </w:tc>
        <w:tc>
          <w:tcPr>
            <w:tcW w:w="21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 Management Holdings</w:t>
            </w:r>
          </w:p>
        </w:tc>
        <w:tc>
          <w:tcPr>
            <w:tcW w:w="2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 Credit</w:t>
            </w:r>
          </w:p>
        </w:tc>
        <w:tc>
          <w:tcPr>
            <w:tcW w:w="21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w w:val="94"/>
              </w:rPr>
              <w:t>0.0%*</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Kent Management</w:t>
            </w:r>
          </w:p>
        </w:tc>
        <w:tc>
          <w:tcPr>
            <w:tcW w:w="21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4"/>
              </w:rPr>
              <w:t>0.0%*</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 Opportunistic</w:t>
            </w:r>
          </w:p>
        </w:tc>
        <w:tc>
          <w:tcPr>
            <w:tcW w:w="21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TR Master Fund</w:t>
            </w:r>
          </w:p>
        </w:tc>
        <w:tc>
          <w:tcPr>
            <w:tcW w:w="2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 Management</w:t>
            </w:r>
          </w:p>
        </w:tc>
        <w:tc>
          <w:tcPr>
            <w:tcW w:w="21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TR Enhanced</w:t>
            </w:r>
          </w:p>
        </w:tc>
        <w:tc>
          <w:tcPr>
            <w:tcW w:w="2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 Enhanced Management</w:t>
            </w:r>
          </w:p>
        </w:tc>
        <w:tc>
          <w:tcPr>
            <w:tcW w:w="21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ACM LLC</w:t>
            </w:r>
          </w:p>
        </w:tc>
        <w:tc>
          <w:tcPr>
            <w:tcW w:w="21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4"/>
              </w:rPr>
              <w:t>0.0%*</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ACCM LLC</w:t>
            </w:r>
          </w:p>
        </w:tc>
        <w:tc>
          <w:tcPr>
            <w:tcW w:w="21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w w:val="94"/>
              </w:rPr>
              <w:t>0.0%*</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SA Management</w:t>
            </w:r>
          </w:p>
        </w:tc>
        <w:tc>
          <w:tcPr>
            <w:tcW w:w="2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Management</w:t>
            </w:r>
          </w:p>
        </w:tc>
        <w:tc>
          <w:tcPr>
            <w:tcW w:w="21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Capital Management GP</w:t>
            </w:r>
          </w:p>
        </w:tc>
        <w:tc>
          <w:tcPr>
            <w:tcW w:w="2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Holdings</w:t>
            </w:r>
          </w:p>
        </w:tc>
        <w:tc>
          <w:tcPr>
            <w:tcW w:w="21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Management Holdings GP</w:t>
            </w:r>
          </w:p>
        </w:tc>
        <w:tc>
          <w:tcPr>
            <w:tcW w:w="2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5.7%</w:t>
            </w:r>
          </w:p>
        </w:tc>
      </w:tr>
    </w:tbl>
    <w:p>
      <w:pPr>
        <w:spacing w:after="0" w:line="179" w:lineRule="exact"/>
        <w:rPr>
          <w:sz w:val="20"/>
          <w:szCs w:val="20"/>
          <w:color w:val="auto"/>
        </w:rPr>
      </w:pPr>
    </w:p>
    <w:p>
      <w:pPr>
        <w:ind w:left="1020" w:right="3660" w:firstLine="51"/>
        <w:spacing w:after="0" w:line="282" w:lineRule="auto"/>
        <w:tabs>
          <w:tab w:leader="none" w:pos="12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amounts to less than one-tenth of a percent of the outstanding class of common stock.</w:t>
      </w:r>
    </w:p>
    <w:p>
      <w:pPr>
        <w:spacing w:after="0" w:line="162" w:lineRule="exact"/>
        <w:rPr>
          <w:sz w:val="20"/>
          <w:szCs w:val="20"/>
          <w:color w:val="auto"/>
        </w:rPr>
      </w:pPr>
    </w:p>
    <w:p>
      <w:pPr>
        <w:ind w:left="840" w:right="20"/>
        <w:spacing w:after="0" w:line="282" w:lineRule="auto"/>
        <w:rPr>
          <w:sz w:val="20"/>
          <w:szCs w:val="20"/>
          <w:color w:val="auto"/>
        </w:rPr>
      </w:pPr>
      <w:r>
        <w:rPr>
          <w:rFonts w:ascii="Times New Roman" w:cs="Times New Roman" w:eastAsia="Times New Roman" w:hAnsi="Times New Roman"/>
          <w:sz w:val="18"/>
          <w:szCs w:val="18"/>
          <w:color w:val="auto"/>
        </w:rPr>
        <w:t>The percentages are based on 34,599,645 shares of Common Stock outstanding as of July 29, 2022, as reported in the Issuer’s Form 10-Q filed with the Securities and Exchange Commission on August 2, 2022.</w:t>
      </w:r>
    </w:p>
    <w:p>
      <w:pPr>
        <w:spacing w:after="0" w:line="37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Page 27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7" w:name="page28"/>
    <w:bookmarkEnd w:id="27"/>
    <w:p>
      <w:pPr>
        <w:ind w:left="840" w:hanging="656"/>
        <w:spacing w:after="0"/>
        <w:tabs>
          <w:tab w:leader="none" w:pos="8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person has:</w:t>
      </w:r>
    </w:p>
    <w:p>
      <w:pPr>
        <w:spacing w:after="0" w:line="229" w:lineRule="exact"/>
        <w:rPr>
          <w:rFonts w:ascii="Times New Roman" w:cs="Times New Roman" w:eastAsia="Times New Roman" w:hAnsi="Times New Roman"/>
          <w:sz w:val="18"/>
          <w:szCs w:val="18"/>
          <w:b w:val="1"/>
          <w:bCs w:val="1"/>
          <w:color w:val="auto"/>
        </w:rPr>
      </w:pPr>
    </w:p>
    <w:p>
      <w:pPr>
        <w:ind w:left="1480" w:hanging="648"/>
        <w:spacing w:after="0"/>
        <w:tabs>
          <w:tab w:leader="none" w:pos="14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7"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for all Reporting Persons</w:t>
      </w:r>
    </w:p>
    <w:p>
      <w:pPr>
        <w:spacing w:after="0" w:line="206"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43"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169,670</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Atlas Management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169,670</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PPF Credit Strategies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117,468</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Credit Strategies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 Management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 Operating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 Capital</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 Management Holdings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 Credit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Kent Management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 Opportunistic</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 Master Fund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 Management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 Enhanced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 Enhanced Management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ACM LLC</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ACCM LLC</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SA Management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Management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1,983,801</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Capital Management GP</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1,983,801</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Holdings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1,983,801</w:t>
            </w:r>
          </w:p>
        </w:tc>
        <w:tc>
          <w:tcPr>
            <w:tcW w:w="2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Management Holdings GP</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1,983,801</w:t>
            </w:r>
          </w:p>
        </w:tc>
        <w:tc>
          <w:tcPr>
            <w:tcW w:w="20" w:type="dxa"/>
            <w:vAlign w:val="bottom"/>
          </w:tcPr>
          <w:p>
            <w:pPr>
              <w:spacing w:after="0"/>
              <w:rPr>
                <w:sz w:val="20"/>
                <w:szCs w:val="20"/>
                <w:color w:val="auto"/>
              </w:rPr>
            </w:pPr>
          </w:p>
        </w:tc>
      </w:tr>
    </w:tbl>
    <w:p>
      <w:pPr>
        <w:spacing w:after="0" w:line="179" w:lineRule="exact"/>
        <w:rPr>
          <w:sz w:val="20"/>
          <w:szCs w:val="20"/>
          <w:color w:val="auto"/>
        </w:rPr>
      </w:pPr>
    </w:p>
    <w:p>
      <w:pPr>
        <w:ind w:left="1480" w:hanging="648"/>
        <w:spacing w:after="0"/>
        <w:tabs>
          <w:tab w:leader="none" w:pos="14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7"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for all Reporting Persons</w:t>
      </w:r>
    </w:p>
    <w:p>
      <w:pPr>
        <w:spacing w:after="0" w:line="206"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43"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169,670</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Atlas Management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169,670</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PPF Credit Strategies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117,468</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Credit Strategies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 Management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 Operating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 Capital</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 Management Holdings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1,509,589</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 Credit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Kent Management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 Opportunistic</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 Master Fund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 Management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 Enhanced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 Enhanced Management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ACM LLC</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ACCM LLC</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SA Management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Management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1,983,801</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Capital Management GP</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1,983,801</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Holdings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1,983,801</w:t>
            </w:r>
          </w:p>
        </w:tc>
        <w:tc>
          <w:tcPr>
            <w:tcW w:w="2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Management Holdings GP</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1,983,801</w:t>
            </w:r>
          </w:p>
        </w:tc>
        <w:tc>
          <w:tcPr>
            <w:tcW w:w="20" w:type="dxa"/>
            <w:vAlign w:val="bottom"/>
          </w:tcPr>
          <w:p>
            <w:pPr>
              <w:spacing w:after="0"/>
              <w:rPr>
                <w:sz w:val="20"/>
                <w:szCs w:val="20"/>
                <w:color w:val="auto"/>
              </w:rPr>
            </w:pPr>
          </w:p>
        </w:tc>
      </w:tr>
    </w:tbl>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385"/>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283"/>
        </w:trPr>
        <w:tc>
          <w:tcPr>
            <w:tcW w:w="980" w:type="dxa"/>
            <w:vAlign w:val="bottom"/>
          </w:tcPr>
          <w:p>
            <w:pPr>
              <w:spacing w:after="0"/>
              <w:rPr>
                <w:sz w:val="24"/>
                <w:szCs w:val="24"/>
                <w:color w:val="auto"/>
              </w:rPr>
            </w:pPr>
          </w:p>
        </w:tc>
        <w:tc>
          <w:tcPr>
            <w:tcW w:w="10260" w:type="dxa"/>
            <w:vAlign w:val="bottom"/>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414"/>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held for the purpose of or with the effect of changing or influencing the control of the issuer of the securities and were not acquired and</w:t>
            </w:r>
          </w:p>
        </w:tc>
      </w:tr>
      <w:tr>
        <w:trPr>
          <w:trHeight w:val="234"/>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are not held in connection with or as a participant in any transaction having that purpose or effect.</w:t>
            </w:r>
          </w:p>
        </w:tc>
      </w:tr>
      <w:tr>
        <w:trPr>
          <w:trHeight w:val="432"/>
        </w:trPr>
        <w:tc>
          <w:tcPr>
            <w:tcW w:w="980" w:type="dxa"/>
            <w:vAlign w:val="bottom"/>
          </w:tcPr>
          <w:p>
            <w:pPr>
              <w:spacing w:after="0"/>
              <w:rPr>
                <w:sz w:val="24"/>
                <w:szCs w:val="24"/>
                <w:color w:val="auto"/>
              </w:rPr>
            </w:pPr>
          </w:p>
        </w:tc>
        <w:tc>
          <w:tcPr>
            <w:tcW w:w="102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tc>
      </w:tr>
      <w:tr>
        <w:trPr>
          <w:trHeight w:val="64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140"/>
              <w:spacing w:after="0"/>
              <w:rPr>
                <w:sz w:val="20"/>
                <w:szCs w:val="20"/>
                <w:color w:val="auto"/>
              </w:rPr>
            </w:pPr>
            <w:r>
              <w:rPr>
                <w:rFonts w:ascii="Times New Roman" w:cs="Times New Roman" w:eastAsia="Times New Roman" w:hAnsi="Times New Roman"/>
                <w:sz w:val="18"/>
                <w:szCs w:val="18"/>
                <w:color w:val="auto"/>
              </w:rPr>
              <w:t>Page 29 of 34</w:t>
            </w:r>
          </w:p>
        </w:tc>
      </w:tr>
    </w:tbl>
    <w:p>
      <w:pPr>
        <w:sectPr>
          <w:pgSz w:w="11900" w:h="16838" w:orient="portrait"/>
          <w:cols w:equalWidth="0" w:num="1">
            <w:col w:w="11240"/>
          </w:cols>
          <w:pgMar w:left="320" w:top="900"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20,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ATLAS MASTER FUND,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Apollo Atlas Management,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ATLAS MANAGEMENT,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Apollo Capital Management,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Apollo Capital Management GP,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PPF CREDIT STRATEGIES,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Apollo PPF Credit Strategies Management,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CREDIT STRATEGIES MASTER FUND LTD.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Apollo ST Fund Management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4520"/>
        <w:spacing w:after="0"/>
        <w:rPr>
          <w:sz w:val="20"/>
          <w:szCs w:val="20"/>
          <w:color w:val="auto"/>
        </w:rPr>
      </w:pPr>
      <w:r>
        <w:rPr>
          <w:rFonts w:ascii="Times New Roman" w:cs="Times New Roman" w:eastAsia="Times New Roman" w:hAnsi="Times New Roman"/>
          <w:sz w:val="17"/>
          <w:szCs w:val="17"/>
          <w:b w:val="1"/>
          <w:bCs w:val="1"/>
          <w:color w:val="auto"/>
        </w:rPr>
        <w:t>APOLLO ST FUND MANAGEMENT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ST OPERATING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ST Capital LLC,</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John Suydam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John Suydam</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ST CAPITAL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John Suydam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John Suydam</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 MANAGEMENT HOLDINGS,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John Suydam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John Suydam</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 KENT CREDIT MASTER FUND,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 Kent Advisors, L.P.,</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AP Kent Advisors GP, LLC,</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29229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Vice President and Secretary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 KENT MANAGEMENT,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 and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1" w:name="page32"/>
    <w:bookmarkEnd w:id="31"/>
    <w:p>
      <w:pPr>
        <w:ind w:left="4520"/>
        <w:spacing w:after="0"/>
        <w:rPr>
          <w:sz w:val="20"/>
          <w:szCs w:val="20"/>
          <w:color w:val="auto"/>
        </w:rPr>
      </w:pPr>
      <w:r>
        <w:rPr>
          <w:rFonts w:ascii="Times New Roman" w:cs="Times New Roman" w:eastAsia="Times New Roman" w:hAnsi="Times New Roman"/>
          <w:sz w:val="18"/>
          <w:szCs w:val="18"/>
          <w:b w:val="1"/>
          <w:bCs w:val="1"/>
          <w:color w:val="auto"/>
        </w:rPr>
        <w:t>APOLLO TR OPPORTUNISTIC LTD.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Total Return Master Fund LP,</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shareholder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Apollo Total Return Advisors LP,</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Apollo Total Return Advisors GP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17145</wp:posOffset>
            </wp:positionV>
            <wp:extent cx="27089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Total Return Master Fund Enhanced LP,</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shareholder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Apollo Total Return Enhanced Advisors LP,</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Apollo Total Return Enhanced Advisors GP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17145</wp:posOffset>
            </wp:positionV>
            <wp:extent cx="27089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TOTAL RETURN MASTER FUND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Total Return Advisors LP,</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Apollo Total Return Advisors GP LLC,</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17145</wp:posOffset>
            </wp:positionV>
            <wp:extent cx="29146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TOTAL RETURN MANAGEMENT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Page 32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40"/>
          </w:cols>
          <w:pgMar w:left="1440" w:top="900" w:right="1319" w:bottom="1440" w:gutter="0" w:footer="0" w:header="0"/>
        </w:sectPr>
      </w:pPr>
    </w:p>
    <w:bookmarkStart w:id="32" w:name="page33"/>
    <w:bookmarkEnd w:id="32"/>
    <w:p>
      <w:pPr>
        <w:ind w:left="4520"/>
        <w:spacing w:after="0"/>
        <w:rPr>
          <w:sz w:val="20"/>
          <w:szCs w:val="20"/>
          <w:color w:val="auto"/>
        </w:rPr>
      </w:pPr>
      <w:r>
        <w:rPr>
          <w:rFonts w:ascii="Times New Roman" w:cs="Times New Roman" w:eastAsia="Times New Roman" w:hAnsi="Times New Roman"/>
          <w:sz w:val="18"/>
          <w:szCs w:val="18"/>
          <w:b w:val="1"/>
          <w:bCs w:val="1"/>
          <w:color w:val="auto"/>
        </w:rPr>
        <w:t>APOLLO TOTAL RETURN MASTER FUND ENHANCED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Total Return Enhanced Advisors LP,</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Apollo Total Return Enhanced Advisors GP LLC,</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29229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APOLLO TOTAL RETURN ENHANCED MANAGEMENT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CREDIT MANAGEMENT,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CAPITAL CREDIT MANAGEMENT,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SA MANAGEMENT,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Page 33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40"/>
          </w:cols>
          <w:pgMar w:left="1440" w:top="900" w:right="819" w:bottom="1440" w:gutter="0" w:footer="0" w:header="0"/>
        </w:sectPr>
      </w:pPr>
    </w:p>
    <w:bookmarkStart w:id="33" w:name="page34"/>
    <w:bookmarkEnd w:id="33"/>
    <w:p>
      <w:pPr>
        <w:ind w:left="4520"/>
        <w:spacing w:after="0"/>
        <w:rPr>
          <w:sz w:val="20"/>
          <w:szCs w:val="20"/>
          <w:color w:val="auto"/>
        </w:rPr>
      </w:pPr>
      <w:r>
        <w:rPr>
          <w:rFonts w:ascii="Times New Roman" w:cs="Times New Roman" w:eastAsia="Times New Roman" w:hAnsi="Times New Roman"/>
          <w:sz w:val="18"/>
          <w:szCs w:val="18"/>
          <w:b w:val="1"/>
          <w:bCs w:val="1"/>
          <w:color w:val="auto"/>
        </w:rPr>
        <w:t>APOLLO CAPITAL MANAGEMENT,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Capital Management GP, LLC,</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17145</wp:posOffset>
            </wp:positionV>
            <wp:extent cx="31375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CAPITAL MANAGEMENT GP,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MANAGEMENT HOLDINGS,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Management Holdings GP, LLC,</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17145</wp:posOffset>
            </wp:positionV>
            <wp:extent cx="31375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APOLLO MANAGEMENT HOLDINGS GP,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4" w:name="page35"/>
    <w:bookmarkEnd w:id="34"/>
    <w:p>
      <w:pPr>
        <w:ind w:left="4480"/>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hereby confirm the agreement by and among them to the joint filing on behalf of them of the Statement on Schedule 13G and any and all further amendments thereto, with respect to the securities of the above referenced issuer, and that this Agreement be included as an Exhibit to such filing. This Agreement may be executed in any number of counterparts each of which shall be deemed to be an original and all of which together shall be deemed to constitute one and the same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September 20,2022.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ATLAS MASTER FUND,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Apollo Atlas Management,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ATLAS MANAGEMENT,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Apollo Capital Management,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Apollo Capital Management GP,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PPF CREDIT STRATEGIES,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Apollo PPF Credit Strategies Management,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CREDIT STRATEGIES MASTER FUND LTD.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Apollo ST Fund Management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4520"/>
        <w:spacing w:after="0"/>
        <w:rPr>
          <w:sz w:val="20"/>
          <w:szCs w:val="20"/>
          <w:color w:val="auto"/>
        </w:rPr>
      </w:pPr>
      <w:r>
        <w:rPr>
          <w:rFonts w:ascii="Times New Roman" w:cs="Times New Roman" w:eastAsia="Times New Roman" w:hAnsi="Times New Roman"/>
          <w:sz w:val="17"/>
          <w:szCs w:val="17"/>
          <w:b w:val="1"/>
          <w:bCs w:val="1"/>
          <w:color w:val="auto"/>
        </w:rPr>
        <w:t>APOLLO ST FUND MANAGEMENT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ST OPERATING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ST Capital LLC,</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John Suydam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John Suydam</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ST CAPITAL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John Suydam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John Suydam</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 MANAGEMENT HOLDINGS,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John Suydam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John Suydam</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 KENT CREDIT MASTER FUND,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 Kent Advisors, L.P.,</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AP Kent Advisors GP, LLC,</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29229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Vice President and Secretary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 KENT MANAGEMENT,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 and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6" w:name="page37"/>
    <w:bookmarkEnd w:id="36"/>
    <w:p>
      <w:pPr>
        <w:ind w:left="4520"/>
        <w:spacing w:after="0"/>
        <w:rPr>
          <w:sz w:val="20"/>
          <w:szCs w:val="20"/>
          <w:color w:val="auto"/>
        </w:rPr>
      </w:pPr>
      <w:r>
        <w:rPr>
          <w:rFonts w:ascii="Times New Roman" w:cs="Times New Roman" w:eastAsia="Times New Roman" w:hAnsi="Times New Roman"/>
          <w:sz w:val="18"/>
          <w:szCs w:val="18"/>
          <w:b w:val="1"/>
          <w:bCs w:val="1"/>
          <w:color w:val="auto"/>
        </w:rPr>
        <w:t>APOLLO TR OPPORTUNISTIC LTD.</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Total Return Master Fund LP,</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shareholder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Apollo Total Return Advisors LP,</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Apollo Total Return Advisors GP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17145</wp:posOffset>
            </wp:positionV>
            <wp:extent cx="27089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Total Return Master Fund Enhanced LP,</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shareholder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Apollo Total Return Enhanced Advisors LP,</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Apollo Total Return Enhanced Advisors GP LLC,</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17145</wp:posOffset>
            </wp:positionV>
            <wp:extent cx="27089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TOTAL RETURN MASTER FUND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Total Return Advisors LP,</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Apollo Total Return Advisors GP LLC,</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17145</wp:posOffset>
            </wp:positionV>
            <wp:extent cx="29146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TOTAL RETURN MANAGEMENT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40"/>
          </w:cols>
          <w:pgMar w:left="1440" w:top="900" w:right="1319" w:bottom="1440" w:gutter="0" w:footer="0" w:header="0"/>
        </w:sectPr>
      </w:pPr>
    </w:p>
    <w:bookmarkStart w:id="37" w:name="page38"/>
    <w:bookmarkEnd w:id="37"/>
    <w:p>
      <w:pPr>
        <w:ind w:left="4520"/>
        <w:spacing w:after="0"/>
        <w:rPr>
          <w:sz w:val="20"/>
          <w:szCs w:val="20"/>
          <w:color w:val="auto"/>
        </w:rPr>
      </w:pPr>
      <w:r>
        <w:rPr>
          <w:rFonts w:ascii="Times New Roman" w:cs="Times New Roman" w:eastAsia="Times New Roman" w:hAnsi="Times New Roman"/>
          <w:sz w:val="18"/>
          <w:szCs w:val="18"/>
          <w:b w:val="1"/>
          <w:bCs w:val="1"/>
          <w:color w:val="auto"/>
        </w:rPr>
        <w:t>APOLLO TOTAL RETURN MASTER FUND ENHANCED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Total Return Enhanced Advisors LP,</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Apollo Total Return Enhanced Advisors GP LLC,</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29229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APOLLO TOTAL RETURN ENHANCED MANAGEMENT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CREDIT MANAGEMENT,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CAPITAL CREDIT MANAGEMENT,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SA MANAGEMENT,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640"/>
          </w:cols>
          <w:pgMar w:left="1440" w:top="900" w:right="819" w:bottom="1440" w:gutter="0" w:footer="0" w:header="0"/>
        </w:sectPr>
      </w:pPr>
    </w:p>
    <w:bookmarkStart w:id="38" w:name="page39"/>
    <w:bookmarkEnd w:id="38"/>
    <w:p>
      <w:pPr>
        <w:ind w:left="4520"/>
        <w:spacing w:after="0"/>
        <w:rPr>
          <w:sz w:val="20"/>
          <w:szCs w:val="20"/>
          <w:color w:val="auto"/>
        </w:rPr>
      </w:pPr>
      <w:r>
        <w:rPr>
          <w:rFonts w:ascii="Times New Roman" w:cs="Times New Roman" w:eastAsia="Times New Roman" w:hAnsi="Times New Roman"/>
          <w:sz w:val="18"/>
          <w:szCs w:val="18"/>
          <w:b w:val="1"/>
          <w:bCs w:val="1"/>
          <w:color w:val="auto"/>
        </w:rPr>
        <w:t>APOLLO CAPITAL MANAGEMENT,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Capital Management GP, LLC,</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17145</wp:posOffset>
            </wp:positionV>
            <wp:extent cx="31375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CAPITAL MANAGEMENT GP,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MANAGEMENT HOLDINGS,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Management Holdings GP, LLC,</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17145</wp:posOffset>
            </wp:positionV>
            <wp:extent cx="31375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APOLLO MANAGEMENT HOLDINGS GP,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bullet"/>
      <w:start w:val="1"/>
    </w:lvl>
  </w:abstractNum>
  <w:abstractNum w:abstractNumId="5">
    <w:nsid w:val="153EA438"/>
    <w:multiLevelType w:val="hybridMultilevel"/>
    <w:lvl w:ilvl="0">
      <w:lvlJc w:val="left"/>
      <w:lvlText w:val="3"/>
      <w:numFmt w:val="bullet"/>
      <w:start w:val="1"/>
    </w:lvl>
  </w:abstractNum>
  <w:abstractNum w:abstractNumId="6">
    <w:nsid w:val="3855585C"/>
    <w:multiLevelType w:val="hybridMultilevel"/>
    <w:lvl w:ilvl="0">
      <w:lvlJc w:val="left"/>
      <w:lvlText w:val="4"/>
      <w:numFmt w:val="bullet"/>
      <w:start w:val="1"/>
    </w:lvl>
  </w:abstractNum>
  <w:abstractNum w:abstractNumId="7">
    <w:nsid w:val="70A64E2A"/>
    <w:multiLevelType w:val="hybridMultilevel"/>
    <w:lvl w:ilvl="0">
      <w:lvlJc w:val="left"/>
      <w:lvlText w:val="1"/>
      <w:numFmt w:val="bullet"/>
      <w:start w:val="1"/>
    </w:lvl>
  </w:abstractNum>
  <w:abstractNum w:abstractNumId="8">
    <w:nsid w:val="6A2342EC"/>
    <w:multiLevelType w:val="hybridMultilevel"/>
    <w:lvl w:ilvl="0">
      <w:lvlJc w:val="left"/>
      <w:lvlText w:val="3"/>
      <w:numFmt w:val="bullet"/>
      <w:start w:val="1"/>
    </w:lvl>
  </w:abstractNum>
  <w:abstractNum w:abstractNumId="9">
    <w:nsid w:val="2A487CB0"/>
    <w:multiLevelType w:val="hybridMultilevel"/>
    <w:lvl w:ilvl="0">
      <w:lvlJc w:val="left"/>
      <w:lvlText w:val="4"/>
      <w:numFmt w:val="bullet"/>
      <w:start w:val="1"/>
    </w:lvl>
  </w:abstractNum>
  <w:abstractNum w:abstractNumId="10">
    <w:nsid w:val="1D4ED43B"/>
    <w:multiLevelType w:val="hybridMultilevel"/>
    <w:lvl w:ilvl="0">
      <w:lvlJc w:val="left"/>
      <w:lvlText w:val="1"/>
      <w:numFmt w:val="bullet"/>
      <w:start w:val="1"/>
    </w:lvl>
  </w:abstractNum>
  <w:abstractNum w:abstractNumId="11">
    <w:nsid w:val="725A06FB"/>
    <w:multiLevelType w:val="hybridMultilevel"/>
    <w:lvl w:ilvl="0">
      <w:lvlJc w:val="left"/>
      <w:lvlText w:val="3"/>
      <w:numFmt w:val="bullet"/>
      <w:start w:val="1"/>
    </w:lvl>
  </w:abstractNum>
  <w:abstractNum w:abstractNumId="12">
    <w:nsid w:val="2CD89A32"/>
    <w:multiLevelType w:val="hybridMultilevel"/>
    <w:lvl w:ilvl="0">
      <w:lvlJc w:val="left"/>
      <w:lvlText w:val="4"/>
      <w:numFmt w:val="bullet"/>
      <w:start w:val="1"/>
    </w:lvl>
  </w:abstractNum>
  <w:abstractNum w:abstractNumId="13">
    <w:nsid w:val="57E4CCAF"/>
    <w:multiLevelType w:val="hybridMultilevel"/>
    <w:lvl w:ilvl="0">
      <w:lvlJc w:val="left"/>
      <w:lvlText w:val="1"/>
      <w:numFmt w:val="bullet"/>
      <w:start w:val="1"/>
    </w:lvl>
  </w:abstractNum>
  <w:abstractNum w:abstractNumId="14">
    <w:nsid w:val="7A6D8D3C"/>
    <w:multiLevelType w:val="hybridMultilevel"/>
    <w:lvl w:ilvl="0">
      <w:lvlJc w:val="left"/>
      <w:lvlText w:val="3"/>
      <w:numFmt w:val="bullet"/>
      <w:start w:val="1"/>
    </w:lvl>
  </w:abstractNum>
  <w:abstractNum w:abstractNumId="15">
    <w:nsid w:val="4B588F54"/>
    <w:multiLevelType w:val="hybridMultilevel"/>
    <w:lvl w:ilvl="0">
      <w:lvlJc w:val="left"/>
      <w:lvlText w:val="4"/>
      <w:numFmt w:val="bullet"/>
      <w:start w:val="1"/>
    </w:lvl>
  </w:abstractNum>
  <w:abstractNum w:abstractNumId="16">
    <w:nsid w:val="542289EC"/>
    <w:multiLevelType w:val="hybridMultilevel"/>
    <w:lvl w:ilvl="0">
      <w:lvlJc w:val="left"/>
      <w:lvlText w:val="1"/>
      <w:numFmt w:val="bullet"/>
      <w:start w:val="1"/>
    </w:lvl>
  </w:abstractNum>
  <w:abstractNum w:abstractNumId="17">
    <w:nsid w:val="6DE91B18"/>
    <w:multiLevelType w:val="hybridMultilevel"/>
    <w:lvl w:ilvl="0">
      <w:lvlJc w:val="left"/>
      <w:lvlText w:val="3"/>
      <w:numFmt w:val="bullet"/>
      <w:start w:val="1"/>
    </w:lvl>
  </w:abstractNum>
  <w:abstractNum w:abstractNumId="18">
    <w:nsid w:val="38437FDB"/>
    <w:multiLevelType w:val="hybridMultilevel"/>
    <w:lvl w:ilvl="0">
      <w:lvlJc w:val="left"/>
      <w:lvlText w:val="4"/>
      <w:numFmt w:val="bullet"/>
      <w:start w:val="1"/>
    </w:lvl>
  </w:abstractNum>
  <w:abstractNum w:abstractNumId="19">
    <w:nsid w:val="7644A45C"/>
    <w:multiLevelType w:val="hybridMultilevel"/>
    <w:lvl w:ilvl="0">
      <w:lvlJc w:val="left"/>
      <w:lvlText w:val="1"/>
      <w:numFmt w:val="bullet"/>
      <w:start w:val="1"/>
    </w:lvl>
  </w:abstractNum>
  <w:abstractNum w:abstractNumId="20">
    <w:nsid w:val="32FFF902"/>
    <w:multiLevelType w:val="hybridMultilevel"/>
    <w:lvl w:ilvl="0">
      <w:lvlJc w:val="left"/>
      <w:lvlText w:val="3"/>
      <w:numFmt w:val="bullet"/>
      <w:start w:val="1"/>
    </w:lvl>
  </w:abstractNum>
  <w:abstractNum w:abstractNumId="21">
    <w:nsid w:val="684A481A"/>
    <w:multiLevelType w:val="hybridMultilevel"/>
    <w:lvl w:ilvl="0">
      <w:lvlJc w:val="left"/>
      <w:lvlText w:val="4"/>
      <w:numFmt w:val="bullet"/>
      <w:start w:val="1"/>
    </w:lvl>
  </w:abstractNum>
  <w:abstractNum w:abstractNumId="22">
    <w:nsid w:val="579478FE"/>
    <w:multiLevelType w:val="hybridMultilevel"/>
    <w:lvl w:ilvl="0">
      <w:lvlJc w:val="left"/>
      <w:lvlText w:val="1"/>
      <w:numFmt w:val="bullet"/>
      <w:start w:val="1"/>
    </w:lvl>
  </w:abstractNum>
  <w:abstractNum w:abstractNumId="23">
    <w:nsid w:val="749ABB43"/>
    <w:multiLevelType w:val="hybridMultilevel"/>
    <w:lvl w:ilvl="0">
      <w:lvlJc w:val="left"/>
      <w:lvlText w:val="3"/>
      <w:numFmt w:val="bullet"/>
      <w:start w:val="1"/>
    </w:lvl>
  </w:abstractNum>
  <w:abstractNum w:abstractNumId="24">
    <w:nsid w:val="3DC240FB"/>
    <w:multiLevelType w:val="hybridMultilevel"/>
    <w:lvl w:ilvl="0">
      <w:lvlJc w:val="left"/>
      <w:lvlText w:val="4"/>
      <w:numFmt w:val="bullet"/>
      <w:start w:val="1"/>
    </w:lvl>
  </w:abstractNum>
  <w:abstractNum w:abstractNumId="25">
    <w:nsid w:val="1BA026FA"/>
    <w:multiLevelType w:val="hybridMultilevel"/>
    <w:lvl w:ilvl="0">
      <w:lvlJc w:val="left"/>
      <w:lvlText w:val="1"/>
      <w:numFmt w:val="bullet"/>
      <w:start w:val="1"/>
    </w:lvl>
  </w:abstractNum>
  <w:abstractNum w:abstractNumId="26">
    <w:nsid w:val="79A1DEAA"/>
    <w:multiLevelType w:val="hybridMultilevel"/>
    <w:lvl w:ilvl="0">
      <w:lvlJc w:val="left"/>
      <w:lvlText w:val="3"/>
      <w:numFmt w:val="bullet"/>
      <w:start w:val="1"/>
    </w:lvl>
  </w:abstractNum>
  <w:abstractNum w:abstractNumId="27">
    <w:nsid w:val="75C6C33A"/>
    <w:multiLevelType w:val="hybridMultilevel"/>
    <w:lvl w:ilvl="0">
      <w:lvlJc w:val="left"/>
      <w:lvlText w:val="4"/>
      <w:numFmt w:val="bullet"/>
      <w:start w:val="1"/>
    </w:lvl>
  </w:abstractNum>
  <w:abstractNum w:abstractNumId="28">
    <w:nsid w:val="12E685FB"/>
    <w:multiLevelType w:val="hybridMultilevel"/>
    <w:lvl w:ilvl="0">
      <w:lvlJc w:val="left"/>
      <w:lvlText w:val="1"/>
      <w:numFmt w:val="bullet"/>
      <w:start w:val="1"/>
    </w:lvl>
  </w:abstractNum>
  <w:abstractNum w:abstractNumId="29">
    <w:nsid w:val="70C6A529"/>
    <w:multiLevelType w:val="hybridMultilevel"/>
    <w:lvl w:ilvl="0">
      <w:lvlJc w:val="left"/>
      <w:lvlText w:val="3"/>
      <w:numFmt w:val="bullet"/>
      <w:start w:val="1"/>
    </w:lvl>
  </w:abstractNum>
  <w:abstractNum w:abstractNumId="30">
    <w:nsid w:val="520EEDD1"/>
    <w:multiLevelType w:val="hybridMultilevel"/>
    <w:lvl w:ilvl="0">
      <w:lvlJc w:val="left"/>
      <w:lvlText w:val="4"/>
      <w:numFmt w:val="bullet"/>
      <w:start w:val="1"/>
    </w:lvl>
  </w:abstractNum>
  <w:abstractNum w:abstractNumId="31">
    <w:nsid w:val="374A3FE6"/>
    <w:multiLevelType w:val="hybridMultilevel"/>
    <w:lvl w:ilvl="0">
      <w:lvlJc w:val="left"/>
      <w:lvlText w:val="1"/>
      <w:numFmt w:val="bullet"/>
      <w:start w:val="1"/>
    </w:lvl>
  </w:abstractNum>
  <w:abstractNum w:abstractNumId="32">
    <w:nsid w:val="4F4EF005"/>
    <w:multiLevelType w:val="hybridMultilevel"/>
    <w:lvl w:ilvl="0">
      <w:lvlJc w:val="left"/>
      <w:lvlText w:val="3"/>
      <w:numFmt w:val="bullet"/>
      <w:start w:val="1"/>
    </w:lvl>
  </w:abstractNum>
  <w:abstractNum w:abstractNumId="33">
    <w:nsid w:val="23F9C13C"/>
    <w:multiLevelType w:val="hybridMultilevel"/>
    <w:lvl w:ilvl="0">
      <w:lvlJc w:val="left"/>
      <w:lvlText w:val="4"/>
      <w:numFmt w:val="bullet"/>
      <w:start w:val="1"/>
    </w:lvl>
  </w:abstractNum>
  <w:abstractNum w:abstractNumId="34">
    <w:nsid w:val="649BB77C"/>
    <w:multiLevelType w:val="hybridMultilevel"/>
    <w:lvl w:ilvl="0">
      <w:lvlJc w:val="left"/>
      <w:lvlText w:val="1"/>
      <w:numFmt w:val="bullet"/>
      <w:start w:val="1"/>
    </w:lvl>
  </w:abstractNum>
  <w:abstractNum w:abstractNumId="35">
    <w:nsid w:val="275AC794"/>
    <w:multiLevelType w:val="hybridMultilevel"/>
    <w:lvl w:ilvl="0">
      <w:lvlJc w:val="left"/>
      <w:lvlText w:val="3"/>
      <w:numFmt w:val="bullet"/>
      <w:start w:val="1"/>
    </w:lvl>
  </w:abstractNum>
  <w:abstractNum w:abstractNumId="36">
    <w:nsid w:val="39386575"/>
    <w:multiLevelType w:val="hybridMultilevel"/>
    <w:lvl w:ilvl="0">
      <w:lvlJc w:val="left"/>
      <w:lvlText w:val="4"/>
      <w:numFmt w:val="bullet"/>
      <w:start w:val="1"/>
    </w:lvl>
  </w:abstractNum>
  <w:abstractNum w:abstractNumId="37">
    <w:nsid w:val="1CF10FD8"/>
    <w:multiLevelType w:val="hybridMultilevel"/>
    <w:lvl w:ilvl="0">
      <w:lvlJc w:val="left"/>
      <w:lvlText w:val="1"/>
      <w:numFmt w:val="bullet"/>
      <w:start w:val="1"/>
    </w:lvl>
  </w:abstractNum>
  <w:abstractNum w:abstractNumId="38">
    <w:nsid w:val="180115BE"/>
    <w:multiLevelType w:val="hybridMultilevel"/>
    <w:lvl w:ilvl="0">
      <w:lvlJc w:val="left"/>
      <w:lvlText w:val="3"/>
      <w:numFmt w:val="bullet"/>
      <w:start w:val="1"/>
    </w:lvl>
  </w:abstractNum>
  <w:abstractNum w:abstractNumId="39">
    <w:nsid w:val="235BA861"/>
    <w:multiLevelType w:val="hybridMultilevel"/>
    <w:lvl w:ilvl="0">
      <w:lvlJc w:val="left"/>
      <w:lvlText w:val="4"/>
      <w:numFmt w:val="bullet"/>
      <w:start w:val="1"/>
    </w:lvl>
  </w:abstractNum>
  <w:abstractNum w:abstractNumId="40">
    <w:nsid w:val="47398C89"/>
    <w:multiLevelType w:val="hybridMultilevel"/>
    <w:lvl w:ilvl="0">
      <w:lvlJc w:val="left"/>
      <w:lvlText w:val="1"/>
      <w:numFmt w:val="bullet"/>
      <w:start w:val="1"/>
    </w:lvl>
  </w:abstractNum>
  <w:abstractNum w:abstractNumId="41">
    <w:nsid w:val="354FE9F9"/>
    <w:multiLevelType w:val="hybridMultilevel"/>
    <w:lvl w:ilvl="0">
      <w:lvlJc w:val="left"/>
      <w:lvlText w:val="3"/>
      <w:numFmt w:val="bullet"/>
      <w:start w:val="1"/>
    </w:lvl>
  </w:abstractNum>
  <w:abstractNum w:abstractNumId="42">
    <w:nsid w:val="15B5AF5C"/>
    <w:multiLevelType w:val="hybridMultilevel"/>
    <w:lvl w:ilvl="0">
      <w:lvlJc w:val="left"/>
      <w:lvlText w:val="4"/>
      <w:numFmt w:val="bullet"/>
      <w:start w:val="1"/>
    </w:lvl>
  </w:abstractNum>
  <w:abstractNum w:abstractNumId="43">
    <w:nsid w:val="741226BB"/>
    <w:multiLevelType w:val="hybridMultilevel"/>
    <w:lvl w:ilvl="0">
      <w:lvlJc w:val="left"/>
      <w:lvlText w:val="1"/>
      <w:numFmt w:val="bullet"/>
      <w:start w:val="1"/>
    </w:lvl>
  </w:abstractNum>
  <w:abstractNum w:abstractNumId="44">
    <w:nsid w:val="D34B6A8"/>
    <w:multiLevelType w:val="hybridMultilevel"/>
    <w:lvl w:ilvl="0">
      <w:lvlJc w:val="left"/>
      <w:lvlText w:val="3"/>
      <w:numFmt w:val="bullet"/>
      <w:start w:val="1"/>
    </w:lvl>
  </w:abstractNum>
  <w:abstractNum w:abstractNumId="45">
    <w:nsid w:val="10233C99"/>
    <w:multiLevelType w:val="hybridMultilevel"/>
    <w:lvl w:ilvl="0">
      <w:lvlJc w:val="left"/>
      <w:lvlText w:val="4"/>
      <w:numFmt w:val="bullet"/>
      <w:start w:val="1"/>
    </w:lvl>
  </w:abstractNum>
  <w:abstractNum w:abstractNumId="46">
    <w:nsid w:val="3F6AB60F"/>
    <w:multiLevelType w:val="hybridMultilevel"/>
    <w:lvl w:ilvl="0">
      <w:lvlJc w:val="left"/>
      <w:lvlText w:val="1"/>
      <w:numFmt w:val="bullet"/>
      <w:start w:val="1"/>
    </w:lvl>
  </w:abstractNum>
  <w:abstractNum w:abstractNumId="47">
    <w:nsid w:val="61574095"/>
    <w:multiLevelType w:val="hybridMultilevel"/>
    <w:lvl w:ilvl="0">
      <w:lvlJc w:val="left"/>
      <w:lvlText w:val="3"/>
      <w:numFmt w:val="bullet"/>
      <w:start w:val="1"/>
    </w:lvl>
  </w:abstractNum>
  <w:abstractNum w:abstractNumId="48">
    <w:nsid w:val="7E0C57B1"/>
    <w:multiLevelType w:val="hybridMultilevel"/>
    <w:lvl w:ilvl="0">
      <w:lvlJc w:val="left"/>
      <w:lvlText w:val="4"/>
      <w:numFmt w:val="bullet"/>
      <w:start w:val="1"/>
    </w:lvl>
  </w:abstractNum>
  <w:abstractNum w:abstractNumId="49">
    <w:nsid w:val="77AE35EB"/>
    <w:multiLevelType w:val="hybridMultilevel"/>
    <w:lvl w:ilvl="0">
      <w:lvlJc w:val="left"/>
      <w:lvlText w:val="1"/>
      <w:numFmt w:val="bullet"/>
      <w:start w:val="1"/>
    </w:lvl>
  </w:abstractNum>
  <w:abstractNum w:abstractNumId="50">
    <w:nsid w:val="579BE4F1"/>
    <w:multiLevelType w:val="hybridMultilevel"/>
    <w:lvl w:ilvl="0">
      <w:lvlJc w:val="left"/>
      <w:lvlText w:val="3"/>
      <w:numFmt w:val="bullet"/>
      <w:start w:val="1"/>
    </w:lvl>
  </w:abstractNum>
  <w:abstractNum w:abstractNumId="51">
    <w:nsid w:val="310C50B3"/>
    <w:multiLevelType w:val="hybridMultilevel"/>
    <w:lvl w:ilvl="0">
      <w:lvlJc w:val="left"/>
      <w:lvlText w:val="4"/>
      <w:numFmt w:val="bullet"/>
      <w:start w:val="1"/>
    </w:lvl>
  </w:abstractNum>
  <w:abstractNum w:abstractNumId="52">
    <w:nsid w:val="5FF87E05"/>
    <w:multiLevelType w:val="hybridMultilevel"/>
    <w:lvl w:ilvl="0">
      <w:lvlJc w:val="left"/>
      <w:lvlText w:val="1"/>
      <w:numFmt w:val="bullet"/>
      <w:start w:val="1"/>
    </w:lvl>
  </w:abstractNum>
  <w:abstractNum w:abstractNumId="53">
    <w:nsid w:val="2F305DEF"/>
    <w:multiLevelType w:val="hybridMultilevel"/>
    <w:lvl w:ilvl="0">
      <w:lvlJc w:val="left"/>
      <w:lvlText w:val="3"/>
      <w:numFmt w:val="bullet"/>
      <w:start w:val="1"/>
    </w:lvl>
  </w:abstractNum>
  <w:abstractNum w:abstractNumId="54">
    <w:nsid w:val="25A70BF7"/>
    <w:multiLevelType w:val="hybridMultilevel"/>
    <w:lvl w:ilvl="0">
      <w:lvlJc w:val="left"/>
      <w:lvlText w:val="4"/>
      <w:numFmt w:val="bullet"/>
      <w:start w:val="1"/>
    </w:lvl>
  </w:abstractNum>
  <w:abstractNum w:abstractNumId="55">
    <w:nsid w:val="1DBABF00"/>
    <w:multiLevelType w:val="hybridMultilevel"/>
    <w:lvl w:ilvl="0">
      <w:lvlJc w:val="left"/>
      <w:lvlText w:val="1"/>
      <w:numFmt w:val="bullet"/>
      <w:start w:val="1"/>
    </w:lvl>
  </w:abstractNum>
  <w:abstractNum w:abstractNumId="56">
    <w:nsid w:val="4AD084E9"/>
    <w:multiLevelType w:val="hybridMultilevel"/>
    <w:lvl w:ilvl="0">
      <w:lvlJc w:val="left"/>
      <w:lvlText w:val="3"/>
      <w:numFmt w:val="bullet"/>
      <w:start w:val="1"/>
    </w:lvl>
  </w:abstractNum>
  <w:abstractNum w:abstractNumId="57">
    <w:nsid w:val="1F48EAA1"/>
    <w:multiLevelType w:val="hybridMultilevel"/>
    <w:lvl w:ilvl="0">
      <w:lvlJc w:val="left"/>
      <w:lvlText w:val="4"/>
      <w:numFmt w:val="bullet"/>
      <w:start w:val="1"/>
    </w:lvl>
  </w:abstractNum>
  <w:abstractNum w:abstractNumId="58">
    <w:nsid w:val="1381823A"/>
    <w:multiLevelType w:val="hybridMultilevel"/>
    <w:lvl w:ilvl="0">
      <w:lvlJc w:val="left"/>
      <w:lvlText w:val="1"/>
      <w:numFmt w:val="bullet"/>
      <w:start w:val="1"/>
    </w:lvl>
  </w:abstractNum>
  <w:abstractNum w:abstractNumId="59">
    <w:nsid w:val="5DB70AE5"/>
    <w:multiLevelType w:val="hybridMultilevel"/>
    <w:lvl w:ilvl="0">
      <w:lvlJc w:val="left"/>
      <w:lvlText w:val="3"/>
      <w:numFmt w:val="bullet"/>
      <w:start w:val="1"/>
    </w:lvl>
  </w:abstractNum>
  <w:abstractNum w:abstractNumId="60">
    <w:nsid w:val="100F8FCA"/>
    <w:multiLevelType w:val="hybridMultilevel"/>
    <w:lvl w:ilvl="0">
      <w:lvlJc w:val="left"/>
      <w:lvlText w:val="4"/>
      <w:numFmt w:val="bullet"/>
      <w:start w:val="1"/>
    </w:lvl>
  </w:abstractNum>
  <w:abstractNum w:abstractNumId="61">
    <w:nsid w:val="6590700B"/>
    <w:multiLevelType w:val="hybridMultilevel"/>
    <w:lvl w:ilvl="0">
      <w:lvlJc w:val="left"/>
      <w:lvlText w:val="1"/>
      <w:numFmt w:val="bullet"/>
      <w:start w:val="1"/>
    </w:lvl>
  </w:abstractNum>
  <w:abstractNum w:abstractNumId="62">
    <w:nsid w:val="15014ACB"/>
    <w:multiLevelType w:val="hybridMultilevel"/>
    <w:lvl w:ilvl="0">
      <w:lvlJc w:val="left"/>
      <w:lvlText w:val="3"/>
      <w:numFmt w:val="bullet"/>
      <w:start w:val="1"/>
    </w:lvl>
  </w:abstractNum>
  <w:abstractNum w:abstractNumId="63">
    <w:nsid w:val="5F5E7FD0"/>
    <w:multiLevelType w:val="hybridMultilevel"/>
    <w:lvl w:ilvl="0">
      <w:lvlJc w:val="left"/>
      <w:lvlText w:val="4"/>
      <w:numFmt w:val="bullet"/>
      <w:start w:val="1"/>
    </w:lvl>
  </w:abstractNum>
  <w:abstractNum w:abstractNumId="64">
    <w:nsid w:val="98A3148"/>
    <w:multiLevelType w:val="hybridMultilevel"/>
    <w:lvl w:ilvl="0">
      <w:lvlJc w:val="left"/>
      <w:lvlText w:val="1"/>
      <w:numFmt w:val="bullet"/>
      <w:start w:val="1"/>
    </w:lvl>
  </w:abstractNum>
  <w:abstractNum w:abstractNumId="65">
    <w:nsid w:val="799D0247"/>
    <w:multiLevelType w:val="hybridMultilevel"/>
    <w:lvl w:ilvl="0">
      <w:lvlJc w:val="left"/>
      <w:lvlText w:val="3"/>
      <w:numFmt w:val="bullet"/>
      <w:start w:val="1"/>
    </w:lvl>
  </w:abstractNum>
  <w:abstractNum w:abstractNumId="66">
    <w:nsid w:val="6B94764"/>
    <w:multiLevelType w:val="hybridMultilevel"/>
    <w:lvl w:ilvl="0">
      <w:lvlJc w:val="left"/>
      <w:lvlText w:val="4"/>
      <w:numFmt w:val="bullet"/>
      <w:start w:val="1"/>
    </w:lvl>
  </w:abstractNum>
  <w:abstractNum w:abstractNumId="67">
    <w:nsid w:val="42C296BD"/>
    <w:multiLevelType w:val="hybridMultilevel"/>
    <w:lvl w:ilvl="0">
      <w:lvlJc w:val="left"/>
      <w:lvlText w:val="1"/>
      <w:numFmt w:val="bullet"/>
      <w:start w:val="1"/>
    </w:lvl>
  </w:abstractNum>
  <w:abstractNum w:abstractNumId="68">
    <w:nsid w:val="168E121F"/>
    <w:multiLevelType w:val="hybridMultilevel"/>
    <w:lvl w:ilvl="0">
      <w:lvlJc w:val="left"/>
      <w:lvlText w:val="3"/>
      <w:numFmt w:val="bullet"/>
      <w:start w:val="1"/>
    </w:lvl>
  </w:abstractNum>
  <w:abstractNum w:abstractNumId="69">
    <w:nsid w:val="1EBA5D23"/>
    <w:multiLevelType w:val="hybridMultilevel"/>
    <w:lvl w:ilvl="0">
      <w:lvlJc w:val="left"/>
      <w:lvlText w:val="4"/>
      <w:numFmt w:val="bullet"/>
      <w:start w:val="1"/>
    </w:lvl>
  </w:abstractNum>
  <w:abstractNum w:abstractNumId="70">
    <w:nsid w:val="661E3F1E"/>
    <w:multiLevelType w:val="hybridMultilevel"/>
    <w:lvl w:ilvl="0">
      <w:lvlJc w:val="left"/>
      <w:lvlText w:val="(%1)"/>
      <w:numFmt w:val="lowerLetter"/>
      <w:start w:val="2"/>
    </w:lvl>
  </w:abstractNum>
  <w:abstractNum w:abstractNumId="71">
    <w:nsid w:val="5DC79EA8"/>
    <w:multiLevelType w:val="hybridMultilevel"/>
    <w:lvl w:ilvl="0">
      <w:lvlJc w:val="left"/>
      <w:lvlText w:val="(%1)"/>
      <w:numFmt w:val="lowerRoman"/>
      <w:start w:val="9"/>
    </w:lvl>
  </w:abstractNum>
  <w:abstractNum w:abstractNumId="72">
    <w:nsid w:val="540A471C"/>
    <w:multiLevelType w:val="hybridMultilevel"/>
    <w:lvl w:ilvl="0">
      <w:lvlJc w:val="left"/>
      <w:lvlText w:val="(%1)"/>
      <w:numFmt w:val="lowerLetter"/>
      <w:start w:val="2"/>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1)"/>
      <w:numFmt w:val="lowerLetter"/>
      <w:start w:val="3"/>
    </w:lvl>
    <w:lvl w:ilvl="1">
      <w:lvlJc w:val="left"/>
      <w:lvlText w:val="(%2)"/>
      <w:numFmt w:val="lowerRoman"/>
      <w:start w:val="1"/>
    </w:lvl>
  </w:abstractNum>
  <w:abstractNum w:abstractNumId="75">
    <w:nsid w:val="613EFDC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2022-09-20T15:08:47Z</dcterms:created>
  <dcterms:modified xsi:type="dcterms:W3CDTF">2022-09-20T15:08:47Z</dcterms:modified>
</cp:coreProperties>
</file>