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9"/>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Global Infrastructure Investors III,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2"/>
                <w:szCs w:val="2"/>
                <w:color w:val="auto"/>
              </w:rPr>
            </w:pPr>
          </w:p>
        </w:tc>
        <w:tc>
          <w:tcPr>
            <w:tcW w:w="1600" w:type="dxa"/>
            <w:vAlign w:val="bottom"/>
            <w:gridSpan w:val="4"/>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gridSpan w:val="3"/>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5"/>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vMerge w:val="restart"/>
          </w:tcPr>
          <w:p>
            <w:pPr>
              <w:spacing w:after="0"/>
              <w:rPr>
                <w:sz w:val="20"/>
                <w:szCs w:val="20"/>
                <w:color w:val="auto"/>
              </w:rPr>
            </w:pPr>
            <w:r>
              <w:rPr>
                <w:rFonts w:ascii="Arial" w:cs="Arial" w:eastAsia="Arial" w:hAnsi="Arial"/>
                <w:sz w:val="18"/>
                <w:szCs w:val="18"/>
                <w:color w:val="0000FF"/>
              </w:rPr>
              <w:t>1345 AVENUE OF THE AMERICAS, 30TH</w:t>
            </w:r>
          </w:p>
        </w:tc>
        <w:tc>
          <w:tcPr>
            <w:tcW w:w="1520" w:type="dxa"/>
            <w:vAlign w:val="bottom"/>
            <w:gridSpan w:val="8"/>
          </w:tcPr>
          <w:p>
            <w:pPr>
              <w:ind w:left="160"/>
              <w:spacing w:after="0"/>
              <w:rPr>
                <w:sz w:val="20"/>
                <w:szCs w:val="20"/>
                <w:color w:val="auto"/>
              </w:rPr>
            </w:pPr>
            <w:r>
              <w:rPr>
                <w:rFonts w:ascii="Arial" w:cs="Arial" w:eastAsia="Arial" w:hAnsi="Arial"/>
                <w:sz w:val="18"/>
                <w:szCs w:val="18"/>
                <w:color w:val="0000FF"/>
              </w:rPr>
              <w:t>01/02/2019</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9"/>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line="184" w:lineRule="exact"/>
              <w:rPr>
                <w:sz w:val="20"/>
                <w:szCs w:val="20"/>
                <w:color w:val="auto"/>
              </w:rPr>
            </w:pPr>
            <w:r>
              <w:rPr>
                <w:rFonts w:ascii="Arial" w:cs="Arial" w:eastAsia="Arial" w:hAnsi="Arial"/>
                <w:sz w:val="18"/>
                <w:szCs w:val="18"/>
                <w:color w:val="0000FF"/>
              </w:rPr>
              <w:t>FLOOR</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60" w:type="dxa"/>
            <w:vAlign w:val="bottom"/>
            <w:gridSpan w:val="10"/>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3"/>
          </w:tcPr>
          <w:p>
            <w:pPr>
              <w:spacing w:after="0" w:line="121" w:lineRule="exact"/>
              <w:rPr>
                <w:sz w:val="20"/>
                <w:szCs w:val="20"/>
                <w:color w:val="auto"/>
              </w:rPr>
            </w:pPr>
            <w:r>
              <w:rPr>
                <w:rFonts w:ascii="Arial" w:cs="Arial" w:eastAsia="Arial" w:hAnsi="Arial"/>
                <w:sz w:val="14"/>
                <w:szCs w:val="14"/>
                <w:color w:val="auto"/>
              </w:rPr>
              <w:t>Line)</w:t>
            </w:r>
          </w:p>
        </w:tc>
        <w:tc>
          <w:tcPr>
            <w:tcW w:w="29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2940" w:type="dxa"/>
            <w:vAlign w:val="bottom"/>
            <w:gridSpan w:val="7"/>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5"/>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19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5"/>
          </w:tcPr>
          <w:p>
            <w:pPr>
              <w:jc w:val="center"/>
              <w:ind w:left="34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40" w:type="dxa"/>
            <w:vAlign w:val="bottom"/>
          </w:tcPr>
          <w:p>
            <w:pPr>
              <w:spacing w:after="0"/>
              <w:rPr>
                <w:sz w:val="15"/>
                <w:szCs w:val="15"/>
                <w:color w:val="auto"/>
              </w:rPr>
            </w:pPr>
          </w:p>
        </w:tc>
        <w:tc>
          <w:tcPr>
            <w:tcW w:w="1300" w:type="dxa"/>
            <w:vAlign w:val="bottom"/>
            <w:gridSpan w:val="7"/>
          </w:tcPr>
          <w:p>
            <w:pPr>
              <w:ind w:left="2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4"/>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6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5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7"/>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640" w:type="dxa"/>
            <w:vAlign w:val="bottom"/>
            <w:gridSpan w:val="8"/>
            <w:vMerge w:val="restart"/>
          </w:tcPr>
          <w:p>
            <w:pPr>
              <w:ind w:left="680"/>
              <w:spacing w:after="0"/>
              <w:rPr>
                <w:sz w:val="20"/>
                <w:szCs w:val="20"/>
                <w:color w:val="auto"/>
              </w:rPr>
            </w:pPr>
            <w:r>
              <w:rPr>
                <w:rFonts w:ascii="Arial" w:cs="Arial" w:eastAsia="Arial" w:hAnsi="Arial"/>
                <w:sz w:val="18"/>
                <w:szCs w:val="18"/>
                <w:color w:val="0000FF"/>
              </w:rPr>
              <w:t>01/02/2019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80" w:type="dxa"/>
            <w:vAlign w:val="bottom"/>
            <w:vMerge w:val="restart"/>
          </w:tcPr>
          <w:p>
            <w:pPr>
              <w:ind w:left="120"/>
              <w:spacing w:after="0"/>
              <w:rPr>
                <w:sz w:val="20"/>
                <w:szCs w:val="20"/>
                <w:color w:val="auto"/>
              </w:rPr>
            </w:pPr>
            <w:r>
              <w:rPr>
                <w:rFonts w:ascii="Arial" w:cs="Arial" w:eastAsia="Arial" w:hAnsi="Arial"/>
                <w:sz w:val="18"/>
                <w:szCs w:val="18"/>
                <w:color w:val="0000FF"/>
                <w:w w:val="98"/>
              </w:rPr>
              <w:t>112,935</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520" w:type="dxa"/>
            <w:vAlign w:val="bottom"/>
            <w:gridSpan w:val="2"/>
            <w:vMerge w:val="restart"/>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rPr>
              <w:t>19,677</w:t>
            </w:r>
          </w:p>
        </w:tc>
        <w:tc>
          <w:tcPr>
            <w:tcW w:w="380" w:type="dxa"/>
            <w:vAlign w:val="bottom"/>
          </w:tcPr>
          <w:p>
            <w:pPr>
              <w:spacing w:after="0"/>
              <w:rPr>
                <w:sz w:val="22"/>
                <w:szCs w:val="22"/>
                <w:color w:val="auto"/>
              </w:rPr>
            </w:pPr>
          </w:p>
        </w:tc>
        <w:tc>
          <w:tcPr>
            <w:tcW w:w="52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1640" w:type="dxa"/>
            <w:vAlign w:val="bottom"/>
            <w:gridSpan w:val="8"/>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(2)(3)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4"/>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80" w:type="dxa"/>
            <w:vAlign w:val="bottom"/>
            <w:gridSpan w:val="2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5"/>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10"/>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Global Infrastructure Investors III,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0000FF"/>
              </w:rPr>
              <w:t>1345 AVENUE OF THE AMERICAS, 30TH FLOOR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ind w:left="380"/>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Global Infrastructure GP III,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0000FF"/>
              </w:rPr>
              <w:t>1345 AVENUE OF THE AMERICAS, 30TH FLOOR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ind w:left="380"/>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w w:val="98"/>
              </w:rPr>
            </w:pPr>
            <w:hyperlink r:id="rId15">
              <w:r>
                <w:rPr>
                  <w:rFonts w:ascii="Arial" w:cs="Arial" w:eastAsia="Arial" w:hAnsi="Arial"/>
                  <w:sz w:val="22"/>
                  <w:szCs w:val="22"/>
                  <w:color w:val="0000EE"/>
                  <w:w w:val="98"/>
                </w:rPr>
                <w:t>GIP III Zephyr Acquisition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1345 AVENUE OF THE AMERICAS, 30TH FLOOR</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3"/>
          </w:tcPr>
          <w:p>
            <w:pPr>
              <w:spacing w:after="0" w:line="224" w:lineRule="exact"/>
              <w:rPr>
                <w:rFonts w:ascii="Arial" w:cs="Arial" w:eastAsia="Arial" w:hAnsi="Arial"/>
                <w:sz w:val="22"/>
                <w:szCs w:val="22"/>
                <w:color w:val="0000EE"/>
                <w:w w:val="97"/>
              </w:rPr>
            </w:pPr>
            <w:hyperlink r:id="rId16">
              <w:r>
                <w:rPr>
                  <w:rFonts w:ascii="Arial" w:cs="Arial" w:eastAsia="Arial" w:hAnsi="Arial"/>
                  <w:sz w:val="22"/>
                  <w:szCs w:val="22"/>
                  <w:color w:val="0000EE"/>
                  <w:w w:val="97"/>
                </w:rPr>
                <w:t>Clearway Energy Group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319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3196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0000FF"/>
        </w:rPr>
        <w:t>1345 AVENUE OF THE AMERICAS, 30TH FLOOR</w:t>
      </w: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10105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grants of shares of restricted stock of the Issuer granted by Clearway Energy Group LLC ("Clearway Energy Group") under its Long Term Equity Incentive Program to certain of its employees.</w:t>
      </w:r>
    </w:p>
    <w:p>
      <w:pPr>
        <w:spacing w:after="0" w:line="64" w:lineRule="exact"/>
        <w:rPr>
          <w:rFonts w:ascii="Arial" w:cs="Arial" w:eastAsia="Arial" w:hAnsi="Arial"/>
          <w:sz w:val="12"/>
          <w:szCs w:val="12"/>
          <w:color w:val="008000"/>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32" w:lineRule="exact"/>
        <w:rPr>
          <w:rFonts w:ascii="Arial" w:cs="Arial" w:eastAsia="Arial" w:hAnsi="Arial"/>
          <w:sz w:val="14"/>
          <w:szCs w:val="14"/>
          <w:color w:val="008000"/>
        </w:rPr>
      </w:pPr>
    </w:p>
    <w:p>
      <w:pPr>
        <w:jc w:val="both"/>
        <w:ind w:left="20" w:right="20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1340"/>
          </w:cols>
          <w:pgMar w:left="260" w:top="140" w:right="299" w:bottom="144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4521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9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96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969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7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7145"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452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2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8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2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219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804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271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84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264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2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219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826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0826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141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14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33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74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9747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0000FF"/>
        </w:rPr>
        <w:t>01/04/2019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01/04/2019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01/04/2019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01/04/2019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537" w:lineRule="exact"/>
        <w:rPr>
          <w:sz w:val="20"/>
          <w:szCs w:val="20"/>
          <w:color w:val="auto"/>
        </w:rPr>
      </w:pPr>
    </w:p>
    <w:p>
      <w:pPr>
        <w:sectPr>
          <w:pgSz w:w="11900" w:h="16838" w:orient="portrait"/>
          <w:cols w:equalWidth="0" w:num="2">
            <w:col w:w="9000" w:space="140"/>
            <w:col w:w="2200"/>
          </w:cols>
          <w:pgMar w:left="260" w:top="140" w:right="29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4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6"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2019-12-23T20:34:56Z</dcterms:created>
  <dcterms:modified xsi:type="dcterms:W3CDTF">2019-12-23T20:34:56Z</dcterms:modified>
</cp:coreProperties>
</file>