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25,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Clearway Energy, Inc. (the “Company”) held its Annual Meeting of Stockholders (the “Annual Meeting”) on April 25, 2024. Set forth below are the final voting results for each of the proposals submitted to a vote of the stockholders at the Annual Meeting.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Proposal 1 – Election of eleven directors</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Bram</w:t>
            </w:r>
          </w:p>
        </w:tc>
        <w:tc>
          <w:tcPr>
            <w:tcW w:w="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62,149,967</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6,684,831</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Anschuetz</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63,127,063</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5,707,735</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Emmanuel Barrois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62,687,562</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6,147,236</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R. Ford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57,463,746</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11,371,052</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Guillaume Hédiard</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63,132,210</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5,702,588</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Lowry</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58,057,538</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10,777,254</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MacLennan</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62,986,869</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5,847,929</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B. More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53,739,825</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15,094,973</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 Stanley O’Neal</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68,110,498</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724,300</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 Sotos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64,147,729</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4,687,069</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Vincent Stoquart</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60,638,190</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8,196,608</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3,242,236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foregoing Proposal 1, all eleven directors were elected and each received a plurality of the votes cast at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Proposal 2 – Advisory vote on the Company’s executive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7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67,622,433</w:t>
            </w:r>
          </w:p>
        </w:tc>
        <w:tc>
          <w:tcPr>
            <w:tcW w:w="2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1,046,432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165,933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3,242,236</w:t>
            </w:r>
          </w:p>
        </w:tc>
      </w:tr>
      <w:tr>
        <w:trPr>
          <w:trHeight w:val="43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Proposal 2 was approved.</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98" w:lineRule="exact"/>
        <w:rPr>
          <w:sz w:val="20"/>
          <w:szCs w:val="20"/>
          <w:color w:val="auto"/>
        </w:rPr>
      </w:pPr>
    </w:p>
    <w:p>
      <w:pPr>
        <w:ind w:right="280" w:firstLine="8"/>
        <w:spacing w:after="0" w:line="28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Ratification of the Appointment of Ernst &amp; Young LLP as the Company’s Independent Registered Public Accounting Firm for the 2024 fiscal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362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71,812,743</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191,864</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72,427</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Proposal 3 was approved.</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67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2024-06-27T05:10:35Z</dcterms:created>
  <dcterms:modified xsi:type="dcterms:W3CDTF">2024-06-27T05:10:35Z</dcterms:modified>
</cp:coreProperties>
</file>