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336d3_defa14a.htm"/>
      <w:bookmarkStart w:id="1" w:name="kstm2611336d3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Filed by the Registrant ☒</w:t>
            </w:r>
          </w:p>
        </w:tc>
      </w:tr>
      <w:tr>
        <w:trPr/>
        <w:tc>
          <w:tcPr>
            <w:tcW w:w="6955" w:type="dxa"/>
            <w:gridSpan w:val="2"/>
            <w:tcBorders/>
            <w:vAlign w:val="center"/>
          </w:tcPr>
          <w:p>
            <w:pPr>
              <w:pStyle w:val="TableContents"/>
              <w:bidi w:val="0"/>
              <w:spacing w:before="0" w:after="283"/>
              <w:ind w:left="0" w:right="0" w:hanging="200"/>
              <w:jc w:val="left"/>
              <w:rPr/>
            </w:pPr>
            <w:r>
              <w:rPr/>
              <w:t> </w:t>
            </w:r>
          </w:p>
        </w:tc>
      </w:tr>
      <w:tr>
        <w:trPr/>
        <w:tc>
          <w:tcPr>
            <w:tcW w:w="6955" w:type="dxa"/>
            <w:gridSpan w:val="2"/>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6955" w:type="dxa"/>
            <w:gridSpan w:val="2"/>
            <w:tcBorders/>
            <w:vAlign w:val="center"/>
          </w:tcPr>
          <w:p>
            <w:pPr>
              <w:pStyle w:val="TableContents"/>
              <w:bidi w:val="0"/>
              <w:spacing w:before="0" w:after="283"/>
              <w:ind w:left="0" w:right="0" w:hanging="200"/>
              <w:jc w:val="left"/>
              <w:rPr/>
            </w:pPr>
            <w:r>
              <w:rPr/>
              <w:t> </w:t>
            </w:r>
          </w:p>
        </w:tc>
      </w:tr>
      <w:tr>
        <w:trPr/>
        <w:tc>
          <w:tcPr>
            <w:tcW w:w="6955" w:type="dxa"/>
            <w:gridSpan w:val="2"/>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72"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72"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72" w:right="0" w:hanging="0"/>
        <w:jc w:val="center"/>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4220"/>
      </w:tblGrid>
      <w:tr>
        <w:trPr/>
        <w:tc>
          <w:tcPr>
            <w:tcW w:w="422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4220" w:type="dxa"/>
            <w:tcBorders/>
            <w:vAlign w:val="center"/>
          </w:tcPr>
          <w:p>
            <w:pPr>
              <w:pStyle w:val="TableContents"/>
              <w:bidi w:val="0"/>
              <w:spacing w:before="0" w:after="283"/>
              <w:jc w:val="left"/>
              <w:rPr/>
            </w:pPr>
            <w:r>
              <w:rPr/>
              <w:t> </w:t>
            </w:r>
          </w:p>
        </w:tc>
      </w:tr>
    </w:tbl>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14a-6(i)(l)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Clearway Energy, Inc. (the “Company”) issued the following press release. The press release was also posted by the Company on its proxy solicitation campaign website at VoteFOR.ClearwayEnergy.com.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1146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 Urges Stockholders to Vote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Amendment Proposal to Simplify Public Share Class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PRINCETON, N.J., April 16, 2026 – Clearway Energy, Inc. (NYSE: CWEN, CWEN.A) (the “Company”) today reminds all stockholders to vote “FOR” the proposal to amend and restate the Company’s certificate of incorporation (the “Charter Amendment Proposal”), as recommended by the Board of Directors of the Company (the “Board”), to simplify the Company’s public share class structure into a single share class at this year’s Annual Meeting of Stockholders (the “Annual Meeting”) scheduled to take place on April 29, 2026. Stockholders are encouraged to visit </w:t>
      </w:r>
      <w:r>
        <w:rPr>
          <w:rFonts w:ascii="Times New Roman;Times;Serif" w:hAnsi="Times New Roman;Times;Serif"/>
          <w:b w:val="false"/>
          <w:i w:val="false"/>
          <w:caps w:val="false"/>
          <w:smallCaps w:val="false"/>
          <w:sz w:val="20"/>
          <w:u w:val="single"/>
        </w:rPr>
        <w:t>www.votefor.clearwayenergy.com</w:t>
      </w:r>
      <w:r>
        <w:rPr>
          <w:rFonts w:ascii="Times New Roman;Times;Serif" w:hAnsi="Times New Roman;Times;Serif"/>
          <w:b w:val="false"/>
          <w:i w:val="false"/>
          <w:caps w:val="false"/>
          <w:smallCaps w:val="false"/>
          <w:sz w:val="20"/>
        </w:rPr>
        <w:t xml:space="preserve"> for more information on the Charter Amendment Proposal and how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the Charter Amendment Proposal is expected to benefit stockholders by enhancing the appeal of the Company’s stock and increasing stockholder value. Leading independent proxy advisory firm Institutional Shareholder Services (“ISS”) has recognized the benefits of the proposal and has recommended stockholders vote “FOR” the proposal. In its April 9, 2026 report, ISS highlighted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w:t>
            </w:r>
            <w:r>
              <w:rPr>
                <w:rFonts w:ascii="Times New Roman;Times;Serif" w:hAnsi="Times New Roman;Times;Serif"/>
              </w:rPr>
              <w:t>A vote FOR the proposal is warranted. The proposed conversion [of the Company’s Class A common stock into Class C common stock] would eliminate the disparity in voting rights between the two classes of public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w:t>
            </w:r>
            <w:r>
              <w:rPr>
                <w:rFonts w:ascii="Times New Roman;Times;Serif" w:hAnsi="Times New Roman;Times;Serif"/>
              </w:rPr>
              <w:t>The board has disclosed a compelling reason for the conversion, which is expected to benefit stockholders by eliminating the complexity of the public trading structure, addressing the persistent valuation discount of the Class A common stock, improving trading liquidity, and potentially enhancing the appeal to a broader investor base.”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15"/>
        <w:gridCol w:w="10044"/>
      </w:tblGrid>
      <w:tr>
        <w:trPr/>
        <w:tc>
          <w:tcPr>
            <w:tcW w:w="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pPr>
            <w:r>
              <w:rPr/>
              <w:t>“…</w:t>
            </w:r>
            <w:r>
              <w:rPr>
                <w:rFonts w:ascii="Times New Roman;Times;Serif" w:hAnsi="Times New Roman;Times;Serif"/>
              </w:rPr>
              <w:t>the board states that the conversion is responsive to suggestions from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deadline to vote by proxy is </w:t>
      </w:r>
      <w:r>
        <w:rPr>
          <w:rFonts w:ascii="Times New Roman;Times;Serif" w:hAnsi="Times New Roman;Times;Serif"/>
          <w:b/>
          <w:i w:val="false"/>
          <w:caps w:val="false"/>
          <w:smallCaps w:val="false"/>
          <w:sz w:val="20"/>
          <w:u w:val="single"/>
        </w:rPr>
        <w:t>11:59 p.m. Eastern Time on April 28, 2026</w:t>
      </w:r>
      <w:r>
        <w:rPr>
          <w:rFonts w:ascii="Times New Roman;Times;Serif" w:hAnsi="Times New Roman;Times;Serif"/>
          <w:b w:val="false"/>
          <w:i w:val="false"/>
          <w:caps w:val="false"/>
          <w:smallCaps w:val="false"/>
          <w:sz w:val="20"/>
        </w:rPr>
        <w:t>. Stockholders of record at the close of business on March 19, 2026 are entitled to vote at the Annual Meeting. Every vote counts and stockholders are urged to vote regardless of the amount of shares they hold. Stockholders can vote “FOR” the Company’s proposal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98"/>
        <w:gridCol w:w="10068"/>
      </w:tblGrid>
      <w:tr>
        <w:trPr/>
        <w:tc>
          <w:tcPr>
            <w:tcW w:w="39"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Voting online by accessing the website address indicated on their proxy card or voting instruction form</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Attending the Annual Meeting virtually on April 29, 2026 at 9:00 a.m., Eastern Time, and using the 16-digit control number provided on their proxy card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within the United States, using a touch-tone telephone to vote by calling the telephone number printed on their proxy card or voting instruction card</w:t>
            </w:r>
          </w:p>
        </w:tc>
      </w:tr>
    </w:tbl>
    <w:tbl>
      <w:tblPr>
        <w:tblW w:w="5000" w:type="pct"/>
        <w:jc w:val="left"/>
        <w:tblInd w:w="0" w:type="dxa"/>
        <w:tblLayout w:type="fixed"/>
        <w:tblCellMar>
          <w:top w:w="0" w:type="dxa"/>
          <w:left w:w="0" w:type="dxa"/>
          <w:bottom w:w="0" w:type="dxa"/>
          <w:right w:w="0" w:type="dxa"/>
        </w:tblCellMar>
      </w:tblPr>
      <w:tblGrid>
        <w:gridCol w:w="45"/>
        <w:gridCol w:w="115"/>
        <w:gridCol w:w="10045"/>
      </w:tblGrid>
      <w:tr>
        <w:trPr/>
        <w:tc>
          <w:tcPr>
            <w:tcW w:w="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Completing, signing, dating, and returning a proxy card to the mailing address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and additional materials visit </w:t>
      </w:r>
      <w:r>
        <w:rPr>
          <w:rFonts w:ascii="Times New Roman;Times;Serif" w:hAnsi="Times New Roman;Times;Serif"/>
          <w:b w:val="false"/>
          <w:i w:val="false"/>
          <w:caps w:val="false"/>
          <w:smallCaps w:val="false"/>
          <w:sz w:val="20"/>
          <w:u w:val="single"/>
        </w:rPr>
        <w:t>www.votefor.clearwayenergy.com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Permission to use quotes neither sought nor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you have any questions or need assistance in voting your shares, please call or email our proxy solicitor:</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drawing>
                <wp:inline distT="0" distB="0" distL="0" distR="0">
                  <wp:extent cx="242887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762000"/>
                          </a:xfrm>
                          <a:prstGeom prst="rect">
                            <a:avLst/>
                          </a:prstGeom>
                        </pic:spPr>
                      </pic:pic>
                    </a:graphicData>
                  </a:graphic>
                </wp:inline>
              </w:drawing>
            </w: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322-2885 or (212) 929-5500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proxy@mackenziepartners.com</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Although MacKenzie Partners may answer questions and assist you in voting your shares, MacKenzie Partners is not authorized to make, and will not make, any recommendation to our stockholders to either approve or disapprove the Charter Amendment Proposal or otherwise express any opinion or judgment concerning the Charter Amendment Proposal. No fees will be paid to MacKenzie Partners for the solicitation of any stockholder to submit proxies or vote in favor of the Charter Amendment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is one of the largest owners of clean energy generation assets in the U.S. Our portfolio comprises approximately 12.9 GW of gross capacity in 27 states, including approximately 10.1 GW of wind, solar and battery energy storage systems and approximately 2.8 GW of conventional dispatchable power capacity that provide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w:t>
      </w:r>
      <w:r>
        <w:rPr>
          <w:rFonts w:ascii="Times New Roman;Times;Serif" w:hAnsi="Times New Roman;Times;Serif"/>
          <w:b w:val="false"/>
          <w:i w:val="false"/>
          <w:caps w:val="false"/>
          <w:smallCaps w:val="false"/>
          <w:sz w:val="20"/>
          <w:u w:val="single"/>
        </w:rPr>
        <w:t>investor.clearwayenergy.com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proposed amendment and restatement of the Company’s certificate of incorporation or the conversion of shares of the Company’s Class A common stock into shares of the Company’s Class C common stock (the “Class A Conversion”), the tax consequences of the Class A Conversion and other statements with respect to our beliefs, plans, objectives, goals, expectations, anticipations, assumptions, estimates, intentions and future performance and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Proposal;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communication should be considered in connection with information regarding risks and uncertainties that may affect the Company’s future results included in its filings with the Securities and Exchange Commission (the “SEC”) at www.sec.gov. In addition, the Company makes available free of charge at www.clearwayenergy.com,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290"/>
        <w:gridCol w:w="2375"/>
      </w:tblGrid>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Akil Marsh</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 Poska</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investor.relations@clearwayenergy.com</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media@clearwayenergy.com</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609-608-1500</w:t>
            </w:r>
          </w:p>
        </w:tc>
        <w:tc>
          <w:tcPr>
            <w:tcW w:w="2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Jeanne Carr</w:t>
            </w:r>
          </w:p>
        </w:tc>
        <w:tc>
          <w:tcPr>
            <w:tcW w:w="2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MacKenzie Partners</w:t>
            </w:r>
          </w:p>
        </w:tc>
        <w:tc>
          <w:tcPr>
            <w:tcW w:w="2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jcarr@mackenziepartners.com</w:t>
            </w:r>
          </w:p>
        </w:tc>
        <w:tc>
          <w:tcPr>
            <w:tcW w:w="2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212-929-5916</w:t>
            </w:r>
          </w:p>
        </w:tc>
        <w:tc>
          <w:tcPr>
            <w:tcW w:w="23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may be deemed to be solicitation material in respect of the Charter Amendment Proposal. The Charter Amendment Proposal is described in full in the Company’s definitive proxy statement relating to the Annual Meeting (including any amendments and supplements thereto, the “Proxy Statement”), which has been filed with the SEC. The Company may also file other relevant documents with the SEC regarding its solicitation of proxies for the Annual Meeting. This communication is not a substitute for the Proxy Statement, any amendments or supplements thereto or any other document that may be filed by the Company with the SEC. STOCKHOLDERS ARE STRONGLY ENCOURAGED TO READ THE PROXY STATEMENT (INCLUDING ANY AMENDMENTS AND SUPPLEMENTS THERETO) AND ANY OTHER RELEVANT SOLICITATION MATERIALS AND DOCUMENTS THAT THE COMPANY HAS FILED OR WILL FILE WITH THE SEC AS THEY WILL CONTAIN IMPORTANT INFORMATION. Stockholders can obtain copies of the Proxy Statement, and any amendments or supplements thereto and other documents as and when filed by the Company with the SEC, without charge, at the SEC’s website at www.sec.gov and on the Investor Relations page of the Company’s website at </w:t>
      </w:r>
      <w:r>
        <w:rPr>
          <w:rFonts w:ascii="Times New Roman;Times;Serif" w:hAnsi="Times New Roman;Times;Serif"/>
          <w:b w:val="false"/>
          <w:i w:val="false"/>
          <w:caps w:val="false"/>
          <w:smallCaps w:val="false"/>
          <w:sz w:val="20"/>
          <w:u w:val="single"/>
        </w:rPr>
        <w:t>www.clearwayenergy.com</w:t>
      </w:r>
      <w:r>
        <w:rPr>
          <w:rFonts w:ascii="Times New Roman;Times;Serif" w:hAnsi="Times New Roman;Times;Serif"/>
          <w:b w:val="false"/>
          <w:i w:val="false"/>
          <w:caps w:val="false"/>
          <w:smallCaps w:val="false"/>
          <w:sz w:val="20"/>
        </w:rPr>
        <w:t xml:space="preserve">. Copies of the Proxy Statement, any amendments and supplements thereto and any filings with the SEC that will be incorporated by reference in the Proxy Statement can also be obtained, without charge, by directing a request to the Company’s Investor Relations department by email at </w:t>
      </w:r>
      <w:r>
        <w:rPr>
          <w:rFonts w:ascii="Times New Roman;Times;Serif" w:hAnsi="Times New Roman;Times;Serif"/>
          <w:b w:val="false"/>
          <w:i w:val="false"/>
          <w:caps w:val="false"/>
          <w:smallCaps w:val="false"/>
          <w:sz w:val="20"/>
          <w:u w:val="single"/>
        </w:rPr>
        <w:t>investor.relations@clearwayenergy.com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Protections Through Voting Trust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Charter Amendment Proposal is approved by stockholders, Clearway Energy Group LLC (“CEG”), the owner of all of the Company’s outstanding Class B common stock and Class D common stock, would enter into a Voting Trust Agreement (the “Voting Trust Agreement”) designed to preserve the total relative voting power of the Company’s public stockholders following the Class A Conversion. Under the Voting Trust Agreement, CEG would deposit into a voting trust a number of shares of its Class B common stock (the “Voting Trust Shares”) necessary to maintain the same total relative voting power that the public stockholders held in the Company as of immediately prior to the Class A Conversion. The voting trustee under the Voting Trust Agreement would be required to vote the Voting Trust Shares in the same proportion as the votes cast by all stockholders of the Company. For additional information regarding the Voting Trust Agreement, please refer to the Proxy Statement, including any amendments and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and certain of its executive officers, as well as certain employees of CEG in accordance with the services such employees perform for and on behalf of the Company pursuant to an Amended and Restated Master Services Agreement and Payroll Sharing Agreement between the Company and CEG (the “CEG Master Services Agreement”), may be deemed to be participants in connection with the solicitation of proxies from Company stockholders in respect of the matters to be considered at the Annual Meeting. Information regarding the names of such directors and executive officers and their respective interests in the Company, by securities holdings or otherwise, is available in the Proxy Statement. To the extent the Company’s directors and executive officers have acquired or disposed of securities holdings since the applicable “as of” date discussed in the Proxy Statement, such transactions have been or will be reflected on Statements of Change in Ownership on Form 4, Initial Statements of Beneficial Ownership on Form 3 or amendments to beneficial ownership reports on Schedules 13D or 13G filed with the SEC. Additional information regarding the interests of participants in the solicitation of proxies in respect of the Annual Meeting are included in the Proxy Statement and other relevant materials to be filed with the SEC as and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In addition, neither our proxy solicitor, MacKenzie Partners, Inc., nor any broker, dealer, salesperson, agent or any other person is engaged or authorized to express any opinion, recommendation or judgment with respect to the relative merits and risks of the Class A Conversion or the Charter Amendment Proposal. The Board and officers of the Company, as well as employees of CEG in accordance with the services such employees perform for and on behalf of the Company pursuant to the CEG Master Services Agreement, may solicit proxies or votes in favor of the Charter Amendment Proposal and will answer inquiries concerning the Charter Amendment Proposal and the Class A Conversion. However, no such employees will receive additional compensation for, and no such employees have been hired or appointed for the purpose of, soliciting proxies or votes in favor of the Charter Amendment Proposal or answering any such inquiries. In addition, the fees payable by us to CEG under the CEG Master Services Agreement are not contingent upon the number of proxies or votes in favor of the Charter Amendment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proposed amendment and restatement of the Company’s certificate of incorporation (the “Charter Amendment”) or the conversion of shares of the Company’s Class A common stock, par value $0.01 per share, into shares of the Company’s Class C common stock, par value $0.01 per share, that would result from the Charter Amendment (the “Class A Conversion”), the tax consequences of the Class A Conversion and other statements with respect to our beliefs, plans, objectives, goals, expectations, anticipations, assumptions, estimates, intentions and future performance and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proposal to approve the Charter Amendment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filing should be considered in connection with information regarding risks and uncertainties that may affect the Company’s future results included in its filings with the Securities and Exchange Commission (the “SEC”) at www.sec.gov. In addition, the Company makes available free of charge at www.clearwayenergy.com,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Amendment Proposal is described in full in the Company’s definitive proxy statement (including any amendments and supplements thereto, the “Proxy Statement”) relating to its 2026 Annual Meeting of Stockholders (the “2026 Annual Meeting”), which has been filed with the SEC. The Company may also file other relevant documents with the SEC regarding its solicitation of proxies for the 2026 Annual Meeting. STOCKHOLDERS ARE STRONGLY ENCOURAGED TO READ THE PROXY STATEMENT (INCLUDING ANY AMENDMENTS AND SUPPLEMENTS THERETO) AND ANY OTHER RELEVANT SOLICITATION MATERIALS AND DOCUMENTS THAT THE COMPANY HAS FILED OR WILL FILE WITH THE SEC AS THEY WILL CONTAIN IMPORTANT INFORMATION. Stockholders can obtain copies of the Proxy Statement, any amendments or supplements thereto and other documents as and when filed by the Company with the SEC, without charge, at the SEC’s website at www.sec.gov, and on the Investor Relations page of the Company’s website at www.clearwayenergy.com. Copies of the Proxy Statement and any filings with the SEC that will be incorporated by reference in the Proxy Statement can also be obtained, without charge, by directing a request to the Company’s Investor Relations department by email at investor.relations@clearwayenergy.com.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and certain of its executive officers, as well as certain employees of Clearway Energy Group LLC (“CEG”) in accordance with the services such employees perform for and on behalf of the Company pursuant to an Amended and Restated Master Services Agreement and Payroll Sharing Agreement between the Company and CEG (the “CEG Master Services Agreement”), may be deemed to be participants in connection with the solicitation of proxies from Company stockholders in respect of the matters to be considered at the 2026 Annual Meeting. Information regarding the names of such directors and executive officers and their respective interests in the Company, by securities holdings or otherwise, is available in the Proxy Statement. To the extent the Company’s directors and executive officers have acquired or disposed of securities holdings since the applicable “as of” date discussed in the Proxy Statement, such transactions have been or will be reflected on Statements of Change in Ownership on Form 4, Initial Statements of Beneficial Ownership on Form 3 or amendments to beneficial ownership reports on Schedules 13D or 13G filed with the SEC. Additional information regarding the interests of participants in the solicitation of proxies in respect of the 2026 Annual Meeting are included in the Proxy Statement and other relevant materials to be filed with the SEC as and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In addition, neither the Company’s proxy solicitor, MacKenzie Partners, Inc., nor any broker, dealer, salesperson, agent or any other person is engaged or authorized to express any opinion, recommendation or judgment with respect to the relative merits and risks of the Class A Conversion or the Charter Amendment Proposal. The Board and officers of the Company, as well as employees of CEG in accordance with the services such employees perform for and on behalf of the Company pursuant to the CEG Master Services Agreement, may solicit proxies or votes in favor of the Charter Amendment Proposal and will answer inquiries concerning the Charter Amendment Proposal and the Class A Conversion. However, no such employees will receive additional compensation for, and no such employees have been hired or appointed for the purpose of, soliciting proxies or votes in favor of the Charter Amendment Proposal or answering any such inquiries. In addition, the fees payable by the Company to CEG under the CEG Master Services Agreement are not contingent upon the number of proxies or votes in favor of the Charter Amendment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3252</Words>
  <Characters>18278</Characters>
  <CharactersWithSpaces>21532</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