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4"/>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4"/>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24"/>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ind w:right="-64"/>
        <w:spacing w:after="0"/>
        <w:rPr>
          <w:sz w:val="20"/>
          <w:szCs w:val="20"/>
          <w:color w:val="auto"/>
        </w:rPr>
      </w:pPr>
      <w:r>
        <w:rPr>
          <w:rFonts w:ascii="Arial" w:cs="Arial" w:eastAsia="Arial" w:hAnsi="Arial"/>
          <w:sz w:val="25"/>
          <w:szCs w:val="25"/>
          <w:b w:val="1"/>
          <w:bCs w:val="1"/>
          <w:color w:val="auto"/>
        </w:rPr>
        <w:t>CURRENT REPORT</w:t>
      </w:r>
    </w:p>
    <w:p>
      <w:pPr>
        <w:spacing w:after="0" w:line="40" w:lineRule="exact"/>
        <w:rPr>
          <w:sz w:val="24"/>
          <w:szCs w:val="24"/>
          <w:color w:val="auto"/>
        </w:rPr>
      </w:pPr>
    </w:p>
    <w:p>
      <w:pPr>
        <w:jc w:val="center"/>
        <w:ind w:right="-64"/>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3, 2017</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64"/>
        <w:spacing w:after="0"/>
        <w:rPr>
          <w:sz w:val="20"/>
          <w:szCs w:val="20"/>
          <w:color w:val="auto"/>
        </w:rPr>
      </w:pPr>
      <w:r>
        <w:rPr>
          <w:rFonts w:ascii="Arial" w:cs="Arial" w:eastAsia="Arial" w:hAnsi="Arial"/>
          <w:sz w:val="32"/>
          <w:szCs w:val="32"/>
          <w:b w:val="1"/>
          <w:bCs w:val="1"/>
          <w:color w:val="auto"/>
        </w:rPr>
        <w:t>NRG YIELD, INC.</w:t>
      </w:r>
    </w:p>
    <w:p>
      <w:pPr>
        <w:spacing w:after="0" w:line="40"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85"/>
          </w:cols>
          <w:pgMar w:left="275" w:top="106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75"/>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5"/>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740"/>
        <w:spacing w:after="0" w:line="207" w:lineRule="exact"/>
        <w:rPr>
          <w:sz w:val="20"/>
          <w:szCs w:val="20"/>
          <w:color w:val="auto"/>
        </w:rPr>
      </w:pPr>
      <w:r>
        <w:rPr>
          <w:rFonts w:ascii="Arial" w:cs="Arial" w:eastAsia="Arial" w:hAnsi="Arial"/>
          <w:sz w:val="18"/>
          <w:szCs w:val="18"/>
          <w:b w:val="1"/>
          <w:bCs w:val="1"/>
          <w:color w:val="auto"/>
        </w:rPr>
        <w:t>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36002</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85" w:space="720"/>
            <w:col w:w="2680" w:space="720"/>
            <w:col w:w="3080"/>
          </w:cols>
          <w:pgMar w:left="275" w:top="1067" w:right="339" w:bottom="1440" w:gutter="0" w:footer="0" w:header="0"/>
          <w:type w:val="continuous"/>
        </w:sectPr>
      </w:pPr>
    </w:p>
    <w:p>
      <w:pPr>
        <w:spacing w:after="0" w:line="397" w:lineRule="exact"/>
        <w:rPr>
          <w:sz w:val="24"/>
          <w:szCs w:val="24"/>
          <w:color w:val="auto"/>
        </w:rPr>
      </w:pPr>
    </w:p>
    <w:p>
      <w:pPr>
        <w:ind w:left="3725"/>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ind w:left="3545"/>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0" w:lineRule="exact"/>
        <w:rPr>
          <w:sz w:val="24"/>
          <w:szCs w:val="24"/>
          <w:color w:val="auto"/>
        </w:rPr>
      </w:pPr>
    </w:p>
    <w:p>
      <w:pPr>
        <w:spacing w:after="0" w:line="385" w:lineRule="exact"/>
        <w:rPr>
          <w:sz w:val="24"/>
          <w:szCs w:val="24"/>
          <w:color w:val="auto"/>
        </w:rPr>
      </w:pPr>
    </w:p>
    <w:p>
      <w:pPr>
        <w:jc w:val="center"/>
        <w:ind w:right="-24"/>
        <w:spacing w:after="0" w:line="207" w:lineRule="exact"/>
        <w:rPr>
          <w:sz w:val="20"/>
          <w:szCs w:val="20"/>
          <w:color w:val="auto"/>
        </w:rPr>
      </w:pPr>
      <w:r>
        <w:rPr>
          <w:rFonts w:ascii="Arial" w:cs="Arial" w:eastAsia="Arial" w:hAnsi="Arial"/>
          <w:sz w:val="18"/>
          <w:szCs w:val="18"/>
          <w:b w:val="1"/>
          <w:bCs w:val="1"/>
          <w:color w:val="auto"/>
        </w:rPr>
        <w:t>(609) 524</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4500</w:t>
      </w:r>
    </w:p>
    <w:p>
      <w:pPr>
        <w:spacing w:after="0" w:line="2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85" w:lineRule="exact"/>
        <w:rPr>
          <w:sz w:val="24"/>
          <w:szCs w:val="24"/>
          <w:color w:val="auto"/>
        </w:rPr>
      </w:pPr>
    </w:p>
    <w:p>
      <w:pPr>
        <w:jc w:val="center"/>
        <w:ind w:right="-24"/>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left="5"/>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70" w:lineRule="exact"/>
        <w:rPr>
          <w:sz w:val="24"/>
          <w:szCs w:val="24"/>
          <w:color w:val="auto"/>
        </w:rPr>
      </w:pPr>
    </w:p>
    <w:p>
      <w:pPr>
        <w:ind w:left="5" w:right="5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185"/>
        <w:spacing w:after="0"/>
        <w:tabs>
          <w:tab w:leader="none" w:pos="7365" w:val="left"/>
        </w:tabs>
        <w:rPr>
          <w:sz w:val="20"/>
          <w:szCs w:val="20"/>
          <w:color w:val="auto"/>
        </w:rPr>
      </w:pPr>
      <w:r>
        <w:rPr>
          <w:rFonts w:ascii="Arial" w:cs="Arial" w:eastAsia="Arial" w:hAnsi="Arial"/>
          <w:sz w:val="18"/>
          <w:szCs w:val="18"/>
          <w:color w:val="auto"/>
        </w:rPr>
        <w:t>Emerging growth company</w:t>
        <w:tab/>
        <w:t>[ ]</w:t>
      </w:r>
    </w:p>
    <w:p>
      <w:pPr>
        <w:spacing w:after="0" w:line="211" w:lineRule="exact"/>
        <w:rPr>
          <w:sz w:val="24"/>
          <w:szCs w:val="24"/>
          <w:color w:val="auto"/>
        </w:rPr>
      </w:pPr>
    </w:p>
    <w:p>
      <w:pPr>
        <w:ind w:left="5"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5"/>
          </w:cols>
          <w:pgMar w:left="275" w:top="1067"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August 3, 2017, NRG Yield, Inc. issued a press release announcing its financial results for the quarter ended June 30, 2017. A copy of the press release is furnished as Exhibit 99.1 to this report on Form 8-K and is hereby incorporated by reference.</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660"/>
              <w:spacing w:after="0"/>
              <w:rPr>
                <w:sz w:val="20"/>
                <w:szCs w:val="20"/>
                <w:color w:val="auto"/>
              </w:rPr>
            </w:pPr>
            <w:r>
              <w:rPr>
                <w:rFonts w:ascii="Arial" w:cs="Arial" w:eastAsia="Arial" w:hAnsi="Arial"/>
                <w:sz w:val="18"/>
                <w:szCs w:val="18"/>
                <w:color w:val="auto"/>
              </w:rPr>
              <w:t>(d)</w:t>
            </w:r>
          </w:p>
        </w:tc>
        <w:tc>
          <w:tcPr>
            <w:tcW w:w="6800" w:type="dxa"/>
            <w:vAlign w:val="bottom"/>
            <w:gridSpan w:val="3"/>
          </w:tcPr>
          <w:p>
            <w:pPr>
              <w:ind w:left="60"/>
              <w:spacing w:after="0"/>
              <w:rPr>
                <w:sz w:val="20"/>
                <w:szCs w:val="20"/>
                <w:color w:val="auto"/>
              </w:rPr>
            </w:pPr>
            <w:r>
              <w:rPr>
                <w:rFonts w:ascii="Arial" w:cs="Arial" w:eastAsia="Arial" w:hAnsi="Arial"/>
                <w:sz w:val="18"/>
                <w:szCs w:val="18"/>
                <w:color w:val="auto"/>
              </w:rPr>
              <w:t>Exhibits</w:t>
            </w:r>
          </w:p>
        </w:tc>
      </w:tr>
      <w:tr>
        <w:trPr>
          <w:trHeight w:val="360"/>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ind w:left="2220"/>
              <w:spacing w:after="0"/>
              <w:rPr>
                <w:sz w:val="20"/>
                <w:szCs w:val="20"/>
                <w:color w:val="auto"/>
              </w:rPr>
            </w:pPr>
            <w:r>
              <w:rPr>
                <w:rFonts w:ascii="Arial" w:cs="Arial" w:eastAsia="Arial" w:hAnsi="Arial"/>
                <w:sz w:val="18"/>
                <w:szCs w:val="18"/>
                <w:b w:val="1"/>
                <w:bCs w:val="1"/>
                <w:color w:val="auto"/>
              </w:rPr>
              <w:t>Document</w:t>
            </w:r>
          </w:p>
        </w:tc>
      </w:tr>
      <w:tr>
        <w:trPr>
          <w:trHeight w:val="27"/>
        </w:trPr>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99.1</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Press Release, dated August 3,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58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NRG Yield, Inc.</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Brian E. Curci</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Corporate Secretary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3, 2017</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20" w:type="dxa"/>
            <w:vAlign w:val="bottom"/>
          </w:tcPr>
          <w:p>
            <w:pPr>
              <w:ind w:left="2700"/>
              <w:spacing w:after="0"/>
              <w:rPr>
                <w:sz w:val="20"/>
                <w:szCs w:val="20"/>
                <w:color w:val="auto"/>
              </w:rPr>
            </w:pPr>
            <w:r>
              <w:rPr>
                <w:rFonts w:ascii="Arial" w:cs="Arial" w:eastAsia="Arial" w:hAnsi="Arial"/>
                <w:sz w:val="18"/>
                <w:szCs w:val="18"/>
                <w:b w:val="1"/>
                <w:bCs w:val="1"/>
                <w:color w:val="auto"/>
              </w:rPr>
              <w:t>Exhibit Index</w:t>
            </w:r>
          </w:p>
        </w:tc>
      </w:tr>
      <w:tr>
        <w:trPr>
          <w:trHeight w:val="576"/>
        </w:trPr>
        <w:tc>
          <w:tcPr>
            <w:tcW w:w="24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5220" w:type="dxa"/>
            <w:vAlign w:val="bottom"/>
          </w:tcPr>
          <w:p>
            <w:pPr>
              <w:spacing w:after="0"/>
              <w:rPr>
                <w:sz w:val="24"/>
                <w:szCs w:val="24"/>
                <w:color w:val="auto"/>
              </w:rPr>
            </w:pPr>
          </w:p>
        </w:tc>
      </w:tr>
      <w:tr>
        <w:trPr>
          <w:trHeight w:val="234"/>
        </w:trPr>
        <w:tc>
          <w:tcPr>
            <w:tcW w:w="248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5220" w:type="dxa"/>
            <w:vAlign w:val="bottom"/>
          </w:tcPr>
          <w:p>
            <w:pPr>
              <w:ind w:left="2220"/>
              <w:spacing w:after="0"/>
              <w:rPr>
                <w:sz w:val="20"/>
                <w:szCs w:val="20"/>
                <w:color w:val="auto"/>
              </w:rPr>
            </w:pPr>
            <w:r>
              <w:rPr>
                <w:rFonts w:ascii="Arial" w:cs="Arial" w:eastAsia="Arial" w:hAnsi="Arial"/>
                <w:sz w:val="18"/>
                <w:szCs w:val="18"/>
                <w:b w:val="1"/>
                <w:bCs w:val="1"/>
                <w:color w:val="auto"/>
              </w:rPr>
              <w:t>Document</w:t>
            </w:r>
          </w:p>
        </w:tc>
      </w:tr>
      <w:tr>
        <w:trPr>
          <w:trHeight w:val="27"/>
        </w:trPr>
        <w:tc>
          <w:tcPr>
            <w:tcW w:w="20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2020" w:type="dxa"/>
            <w:vAlign w:val="bottom"/>
          </w:tcPr>
          <w:p>
            <w:pPr>
              <w:ind w:left="40"/>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Press Release, dated August 3,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0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09395"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93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260" w:right="200"/>
        <w:spacing w:after="0" w:line="265" w:lineRule="auto"/>
        <w:rPr>
          <w:sz w:val="20"/>
          <w:szCs w:val="20"/>
          <w:color w:val="auto"/>
        </w:rPr>
      </w:pPr>
      <w:r>
        <w:rPr>
          <w:rFonts w:ascii="Arial" w:cs="Arial" w:eastAsia="Arial" w:hAnsi="Arial"/>
          <w:sz w:val="25"/>
          <w:szCs w:val="25"/>
          <w:b w:val="1"/>
          <w:bCs w:val="1"/>
          <w:color w:val="auto"/>
        </w:rPr>
        <w:t>NRG Yield, Inc. Reports Second Quarter 2017 Financial Results, Completes Drop Down Acquisition from NRG, Reaffirms 2017 Financial Guidance, and Raises Second Quarter Dividend by 3.7%</w:t>
      </w:r>
    </w:p>
    <w:p>
      <w:pPr>
        <w:spacing w:after="0" w:line="37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Closed August drop down acquisition of remaining 25% interest in NRG Wind TE Holdco from NRG Energy</w:t>
      </w:r>
    </w:p>
    <w:p>
      <w:pPr>
        <w:spacing w:after="0" w:line="63"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Pursuant to the Right of First Offer (ROFO) Agreement, received offer from NRG Energy to form a new distributed solar partnership focused primarily on community solar projects</w:t>
      </w:r>
    </w:p>
    <w:p>
      <w:pPr>
        <w:spacing w:after="0" w:line="1"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Received offer from NRG Energy to acquire a 38 MW portfolio of distributed and small utility-scale solar assets that are not part of the ROFO Agreement</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Reaffirming 2017 Guidance; limited financial contribution from August drop down for balance of year</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Announcing 3.7% quarterly dividend increase to $0.28 per share in the third quarter 2017</w:t>
      </w:r>
    </w:p>
    <w:p>
      <w:pPr>
        <w:spacing w:after="0" w:line="2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August 3, 2017 </w:t>
      </w:r>
      <w:r>
        <w:rPr>
          <w:rFonts w:ascii="Arial" w:cs="Arial" w:eastAsia="Arial" w:hAnsi="Arial"/>
          <w:sz w:val="18"/>
          <w:szCs w:val="18"/>
          <w:color w:val="auto"/>
        </w:rPr>
        <w:t>— NRG Yield, Inc. (NYSE: NYLD, NYLD.A) today reported second quarter 2017 financial results including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of $45 million, Adjusted EBITDA of $270 million, Cash from Operating Activities of $110 million, and Cash Available for Distribution (CAFD) of $74 million.</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NRG Energy's strategic transformation process underway, NRG Yield continues to collaborate with NRG to facilitate a positive resolution for all stakeholders," said Christopher Sotos, NRG Yield's President and Chief Executive Officer. "While this process continues, we are pleased to announce additional partnership opportunities with NRG that support NRG Yield's growth strategy. These include the closing of the most recent drop down, an offer to form a new distributed solar partnership with NRG enabling up to $50 million of investment, and an additional offer for a 38 MW portfolio of distributed and small utility-scale solar assets."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Segment Results</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31"/>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Table 1: Net Income</w:t>
            </w:r>
            <w:r>
              <w:rPr>
                <w:rFonts w:ascii="Arial" w:cs="Arial" w:eastAsia="Arial" w:hAnsi="Arial"/>
                <w:sz w:val="25"/>
                <w:szCs w:val="25"/>
                <w:b w:val="1"/>
                <w:bCs w:val="1"/>
                <w:color w:val="auto"/>
                <w:vertAlign w:val="superscript"/>
              </w:rPr>
              <w:t>1</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80"/>
        </w:trPr>
        <w:tc>
          <w:tcPr>
            <w:tcW w:w="420" w:type="dxa"/>
            <w:vAlign w:val="bottom"/>
          </w:tcPr>
          <w:p>
            <w:pPr>
              <w:spacing w:after="0"/>
              <w:rPr>
                <w:sz w:val="24"/>
                <w:szCs w:val="24"/>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6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Six Months Ended</w:t>
            </w:r>
          </w:p>
        </w:tc>
        <w:tc>
          <w:tcPr>
            <w:tcW w:w="380" w:type="dxa"/>
            <w:vAlign w:val="bottom"/>
          </w:tcPr>
          <w:p>
            <w:pPr>
              <w:spacing w:after="0"/>
              <w:rPr>
                <w:sz w:val="24"/>
                <w:szCs w:val="24"/>
                <w:color w:val="auto"/>
              </w:rPr>
            </w:pPr>
          </w:p>
        </w:tc>
      </w:tr>
      <w:tr>
        <w:trPr>
          <w:trHeight w:val="270"/>
        </w:trPr>
        <w:tc>
          <w:tcPr>
            <w:tcW w:w="42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6/30/17</w:t>
            </w:r>
          </w:p>
        </w:tc>
        <w:tc>
          <w:tcPr>
            <w:tcW w:w="16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6/30/16</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6/30/17</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6/30/16</w:t>
            </w:r>
          </w:p>
        </w:tc>
        <w:tc>
          <w:tcPr>
            <w:tcW w:w="380" w:type="dxa"/>
            <w:vAlign w:val="bottom"/>
          </w:tcPr>
          <w:p>
            <w:pPr>
              <w:spacing w:after="0"/>
              <w:rPr>
                <w:sz w:val="23"/>
                <w:szCs w:val="23"/>
                <w:color w:val="auto"/>
              </w:rPr>
            </w:pPr>
          </w:p>
        </w:tc>
      </w:tr>
      <w:tr>
        <w:trPr>
          <w:trHeight w:val="27"/>
        </w:trPr>
        <w:tc>
          <w:tcPr>
            <w:tcW w:w="4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(60)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(56)</w:t>
            </w:r>
          </w:p>
        </w:tc>
      </w:tr>
      <w:tr>
        <w:trPr>
          <w:trHeight w:val="27"/>
        </w:trPr>
        <w:tc>
          <w:tcPr>
            <w:tcW w:w="4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420" w:type="dxa"/>
            <w:vAlign w:val="bottom"/>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0"/>
        </w:trPr>
        <w:tc>
          <w:tcPr>
            <w:tcW w:w="420" w:type="dxa"/>
            <w:vAlign w:val="bottom"/>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646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80" w:firstLine="8"/>
        <w:spacing w:after="0" w:line="273" w:lineRule="auto"/>
        <w:tabs>
          <w:tab w:leader="none" w:pos="81" w:val="left"/>
        </w:tabs>
        <w:numPr>
          <w:ilvl w:val="0"/>
          <w:numId w:val="3"/>
        </w:numPr>
        <w:rPr>
          <w:rFonts w:ascii="Arial" w:cs="Arial" w:eastAsia="Arial" w:hAnsi="Arial"/>
          <w:sz w:val="9"/>
          <w:szCs w:val="9"/>
          <w:color w:val="auto"/>
        </w:rPr>
      </w:pPr>
      <w:r>
        <w:rPr>
          <w:rFonts w:ascii="Arial" w:cs="Arial" w:eastAsia="Arial" w:hAnsi="Arial"/>
          <w:sz w:val="14"/>
          <w:szCs w:val="14"/>
          <w:color w:val="auto"/>
        </w:rPr>
        <w:t>In accordance with GAAP, 2016 results have been recast to include the March 2017 Drop Down Assets as if the combinations had been in effect from the beginning of the financial statement period</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9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33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Table 2: Adjusted EBITDA</w:t>
            </w:r>
            <w:r>
              <w:rPr>
                <w:rFonts w:ascii="Arial" w:cs="Arial" w:eastAsia="Arial" w:hAnsi="Arial"/>
                <w:sz w:val="25"/>
                <w:szCs w:val="25"/>
                <w:b w:val="1"/>
                <w:bCs w:val="1"/>
                <w:color w:val="auto"/>
                <w:vertAlign w:val="superscript"/>
              </w:rPr>
              <w:t>2</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0"/>
        </w:trPr>
        <w:tc>
          <w:tcPr>
            <w:tcW w:w="420" w:type="dxa"/>
            <w:vAlign w:val="bottom"/>
          </w:tcPr>
          <w:p>
            <w:pPr>
              <w:spacing w:after="0"/>
              <w:rPr>
                <w:sz w:val="24"/>
                <w:szCs w:val="24"/>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6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2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6/30/17</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6/30/16</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6/30/17</w:t>
            </w:r>
          </w:p>
        </w:tc>
        <w:tc>
          <w:tcPr>
            <w:tcW w:w="120" w:type="dxa"/>
            <w:vAlign w:val="bottom"/>
          </w:tcPr>
          <w:p>
            <w:pPr>
              <w:spacing w:after="0"/>
              <w:rPr>
                <w:sz w:val="23"/>
                <w:szCs w:val="23"/>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6/30/16</w:t>
            </w:r>
          </w:p>
        </w:tc>
      </w:tr>
      <w:tr>
        <w:trPr>
          <w:trHeight w:val="27"/>
        </w:trPr>
        <w:tc>
          <w:tcPr>
            <w:tcW w:w="4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186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170</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285</w:t>
            </w:r>
          </w:p>
        </w:tc>
      </w:tr>
      <w:tr>
        <w:trPr>
          <w:trHeight w:val="27"/>
        </w:trPr>
        <w:tc>
          <w:tcPr>
            <w:tcW w:w="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20" w:type="dxa"/>
            <w:vAlign w:val="bottom"/>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r>
      <w:tr>
        <w:trPr>
          <w:trHeight w:val="20"/>
        </w:trPr>
        <w:tc>
          <w:tcPr>
            <w:tcW w:w="420" w:type="dxa"/>
            <w:vAlign w:val="bottom"/>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Cash from Operating Activities and Cash Available for Distribution (CAFD)</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Six Months Ended</w:t>
            </w:r>
          </w:p>
        </w:tc>
        <w:tc>
          <w:tcPr>
            <w:tcW w:w="400" w:type="dxa"/>
            <w:vAlign w:val="bottom"/>
          </w:tcPr>
          <w:p>
            <w:pPr>
              <w:spacing w:after="0"/>
              <w:rPr>
                <w:sz w:val="20"/>
                <w:szCs w:val="20"/>
                <w:color w:val="auto"/>
              </w:rPr>
            </w:pPr>
          </w:p>
        </w:tc>
      </w:tr>
      <w:tr>
        <w:trPr>
          <w:trHeight w:val="270"/>
        </w:trPr>
        <w:tc>
          <w:tcPr>
            <w:tcW w:w="45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6/30/17</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6/30/16</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6/30/17</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6/30/16</w:t>
            </w:r>
          </w:p>
        </w:tc>
        <w:tc>
          <w:tcPr>
            <w:tcW w:w="400" w:type="dxa"/>
            <w:vAlign w:val="bottom"/>
          </w:tcPr>
          <w:p>
            <w:pPr>
              <w:spacing w:after="0"/>
              <w:rPr>
                <w:sz w:val="23"/>
                <w:szCs w:val="23"/>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218</w:t>
            </w:r>
          </w:p>
        </w:tc>
      </w:tr>
      <w:tr>
        <w:trPr>
          <w:trHeight w:val="243"/>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Cash Available for Distribution (CAFD)</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110</w:t>
            </w:r>
          </w:p>
        </w:tc>
      </w:tr>
      <w:tr>
        <w:trPr>
          <w:trHeight w:val="34"/>
        </w:trPr>
        <w:tc>
          <w:tcPr>
            <w:tcW w:w="4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second quarter of 2017, NRG Yield reported Net Income of $45 million, Adjusted EBITDA of $270 million, Cash from Operating Activities of $110 million, and CAFD of $74 million. Second quarter net income and Adjusted EBITDA results in the Conventional segment were lower than 2016 primarily due to forced outages at the Walnut Creek facility. Adjusted EBITDA results in the Renewables segment were higher due to the acquisition of the Utah utility-scale solar assets. Including the impacts in Adjusted EBITDA, CAFD results were lower than 2016 primarily due to the additional debt service resulting from non-recourse project level financing and corporate level debt raised in 2016 which, in part, provided excess capital for growth investments in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Operational Performance</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58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286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276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8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6/30/17</w:t>
            </w:r>
          </w:p>
        </w:tc>
        <w:tc>
          <w:tcPr>
            <w:tcW w:w="100" w:type="dxa"/>
            <w:vAlign w:val="bottom"/>
          </w:tcPr>
          <w:p>
            <w:pPr>
              <w:spacing w:after="0"/>
              <w:rPr>
                <w:sz w:val="23"/>
                <w:szCs w:val="23"/>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6/30/16</w:t>
            </w:r>
          </w:p>
        </w:tc>
        <w:tc>
          <w:tcPr>
            <w:tcW w:w="12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6/30/17</w:t>
            </w:r>
          </w:p>
        </w:tc>
        <w:tc>
          <w:tcPr>
            <w:tcW w:w="100" w:type="dxa"/>
            <w:vAlign w:val="bottom"/>
          </w:tcPr>
          <w:p>
            <w:pPr>
              <w:spacing w:after="0"/>
              <w:rPr>
                <w:sz w:val="23"/>
                <w:szCs w:val="23"/>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6/30/16</w:t>
            </w:r>
          </w:p>
        </w:tc>
      </w:tr>
      <w:tr>
        <w:trPr>
          <w:trHeight w:val="27"/>
        </w:trPr>
        <w:tc>
          <w:tcPr>
            <w:tcW w:w="58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8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Equivalent Availability Factor (Conventional)</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43"/>
        </w:trPr>
        <w:tc>
          <w:tcPr>
            <w:tcW w:w="58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Renewables Generation Sold (MWh)</w:t>
            </w:r>
          </w:p>
        </w:tc>
        <w:tc>
          <w:tcPr>
            <w:tcW w:w="132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3,819</w:t>
            </w:r>
          </w:p>
        </w:tc>
      </w:tr>
      <w:tr>
        <w:trPr>
          <w:trHeight w:val="27"/>
        </w:trPr>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7"/>
        </w:trPr>
        <w:tc>
          <w:tcPr>
            <w:tcW w:w="580" w:type="dxa"/>
            <w:vAlign w:val="bottom"/>
          </w:tcPr>
          <w:p>
            <w:pPr>
              <w:spacing w:after="0"/>
              <w:rPr>
                <w:sz w:val="24"/>
                <w:szCs w:val="24"/>
                <w:color w:val="auto"/>
              </w:rPr>
            </w:pPr>
          </w:p>
        </w:tc>
        <w:tc>
          <w:tcPr>
            <w:tcW w:w="4540" w:type="dxa"/>
            <w:vAlign w:val="bottom"/>
            <w:tcBorders>
              <w:bottom w:val="single" w:sz="8" w:color="auto"/>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Thermal Generation Sold (MWht)</w:t>
            </w:r>
            <w:r>
              <w:rPr>
                <w:rFonts w:ascii="Arial" w:cs="Arial" w:eastAsia="Arial" w:hAnsi="Arial"/>
                <w:sz w:val="25"/>
                <w:szCs w:val="25"/>
                <w:color w:val="auto"/>
                <w:vertAlign w:val="superscript"/>
              </w:rPr>
              <w:t>3</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quarter of 2017, primarily due to the outages at Walnut Creek, the Conventional segment experienced lower equivalent availability than the second quarter of 2016. Additionally, generation in the Renewables segment was 2% higher than the second quarter of 2016 due to increased wind resources in Texas and the East, offset by lower wind resources in California.</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on April 18, 2017, Unit 1 at Walnut Creek went into forced outage due to a mechanical failure of a high pressure turbine compressor part that caused downstream damage in the Unit. Unit 1 returned to service on April 30, 2017. The estimated financial impact from this outage was approximately $8 million before the recovery of insurance proceeds — a significant portion of which the Company believes is recoverable by year-end 2017. The Company continues to work with both NRG, the plant's O&amp;M service provider, and the plant's original equipment manufacturer on mitigation plans to improve long 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540" w:firstLine="8"/>
        <w:spacing w:after="0" w:line="256" w:lineRule="auto"/>
        <w:tabs>
          <w:tab w:leader="none" w:pos="81" w:val="left"/>
        </w:tabs>
        <w:numPr>
          <w:ilvl w:val="0"/>
          <w:numId w:val="4"/>
        </w:numPr>
        <w:rPr>
          <w:rFonts w:ascii="Arial" w:cs="Arial" w:eastAsia="Arial" w:hAnsi="Arial"/>
          <w:sz w:val="9"/>
          <w:szCs w:val="9"/>
          <w:color w:val="auto"/>
        </w:rPr>
      </w:pPr>
      <w:r>
        <w:rPr>
          <w:rFonts w:ascii="Arial" w:cs="Arial" w:eastAsia="Arial" w:hAnsi="Arial"/>
          <w:sz w:val="14"/>
          <w:szCs w:val="14"/>
          <w:color w:val="auto"/>
        </w:rPr>
        <w:t>In accordance with GAAP, 2016 results have been recast to include the CVSR Drop Down Asset and the March 2017 Drop Down Assets as if the combinations had been in effect from the beginning of the financial statement period</w:t>
      </w:r>
    </w:p>
    <w:p>
      <w:pPr>
        <w:ind w:left="100" w:hanging="92"/>
        <w:spacing w:after="0" w:line="235" w:lineRule="auto"/>
        <w:tabs>
          <w:tab w:leader="none" w:pos="1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Also includes Thermal MWh sold</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79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31"/>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Table 5: Liquidity</w:t>
            </w:r>
            <w:r>
              <w:rPr>
                <w:rFonts w:ascii="Arial" w:cs="Arial" w:eastAsia="Arial" w:hAnsi="Arial"/>
                <w:sz w:val="25"/>
                <w:szCs w:val="25"/>
                <w:b w:val="1"/>
                <w:bCs w:val="1"/>
                <w:color w:val="auto"/>
                <w:vertAlign w:val="superscript"/>
              </w:rPr>
              <w:t>4</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0"/>
        </w:trPr>
        <w:tc>
          <w:tcPr>
            <w:tcW w:w="118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i w:val="1"/>
                <w:iCs w:val="1"/>
                <w:color w:val="auto"/>
              </w:rPr>
              <w:t>($ millions)</w:t>
            </w: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6/30/17</w:t>
            </w:r>
          </w:p>
        </w:tc>
        <w:tc>
          <w:tcPr>
            <w:tcW w:w="100" w:type="dxa"/>
            <w:vAlign w:val="bottom"/>
          </w:tcPr>
          <w:p>
            <w:pPr>
              <w:spacing w:after="0"/>
              <w:rPr>
                <w:sz w:val="24"/>
                <w:szCs w:val="24"/>
                <w:color w:val="auto"/>
              </w:rPr>
            </w:pPr>
          </w:p>
        </w:tc>
        <w:tc>
          <w:tcPr>
            <w:tcW w:w="1620" w:type="dxa"/>
            <w:vAlign w:val="bottom"/>
          </w:tcPr>
          <w:p>
            <w:pPr>
              <w:jc w:val="right"/>
              <w:ind w:right="450"/>
              <w:spacing w:after="0"/>
              <w:rPr>
                <w:sz w:val="20"/>
                <w:szCs w:val="20"/>
                <w:color w:val="auto"/>
              </w:rPr>
            </w:pPr>
            <w:r>
              <w:rPr>
                <w:rFonts w:ascii="Arial" w:cs="Arial" w:eastAsia="Arial" w:hAnsi="Arial"/>
                <w:sz w:val="18"/>
                <w:szCs w:val="18"/>
                <w:b w:val="1"/>
                <w:bCs w:val="1"/>
                <w:color w:val="auto"/>
              </w:rPr>
              <w:t>3/31/17</w:t>
            </w:r>
          </w:p>
        </w:tc>
        <w:tc>
          <w:tcPr>
            <w:tcW w:w="100" w:type="dxa"/>
            <w:vAlign w:val="bottom"/>
          </w:tcPr>
          <w:p>
            <w:pPr>
              <w:spacing w:after="0"/>
              <w:rPr>
                <w:sz w:val="24"/>
                <w:szCs w:val="24"/>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12/31/16</w:t>
            </w:r>
          </w:p>
        </w:tc>
      </w:tr>
      <w:tr>
        <w:trPr>
          <w:trHeight w:val="27"/>
        </w:trPr>
        <w:tc>
          <w:tcPr>
            <w:tcW w:w="11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118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43"/>
        </w:trPr>
        <w:tc>
          <w:tcPr>
            <w:tcW w:w="1180" w:type="dxa"/>
            <w:vAlign w:val="bottom"/>
          </w:tcPr>
          <w:p>
            <w:pPr>
              <w:spacing w:after="0"/>
              <w:rPr>
                <w:sz w:val="21"/>
                <w:szCs w:val="21"/>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13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11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118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Cash</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w:t>
            </w:r>
          </w:p>
        </w:tc>
      </w:tr>
      <w:tr>
        <w:trPr>
          <w:trHeight w:val="243"/>
        </w:trPr>
        <w:tc>
          <w:tcPr>
            <w:tcW w:w="1180" w:type="dxa"/>
            <w:vAlign w:val="bottom"/>
          </w:tcPr>
          <w:p>
            <w:pPr>
              <w:spacing w:after="0"/>
              <w:rPr>
                <w:sz w:val="21"/>
                <w:szCs w:val="21"/>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Revolver Availability</w:t>
            </w:r>
          </w:p>
        </w:tc>
        <w:tc>
          <w:tcPr>
            <w:tcW w:w="134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7"/>
        </w:trPr>
        <w:tc>
          <w:tcPr>
            <w:tcW w:w="11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1180" w:type="dxa"/>
            <w:vAlign w:val="bottom"/>
          </w:tcPr>
          <w:p>
            <w:pPr>
              <w:spacing w:after="0"/>
              <w:rPr>
                <w:sz w:val="22"/>
                <w:szCs w:val="22"/>
                <w:color w:val="auto"/>
              </w:rPr>
            </w:pPr>
          </w:p>
        </w:tc>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Liquidity</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w:t>
            </w:r>
          </w:p>
        </w:tc>
      </w:tr>
      <w:tr>
        <w:trPr>
          <w:trHeight w:val="20"/>
        </w:trPr>
        <w:tc>
          <w:tcPr>
            <w:tcW w:w="1180" w:type="dxa"/>
            <w:vAlign w:val="bottom"/>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Total liquidity as of June 30, 2017, was $722 million, a decrease of $200 million from December 31, 2016. This reflects a decrease in total cash of $192 million</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which includes the use of $131 million for the drop down acquisitions completed on March 27, 2017, and dividend payments made during the first half of 2017.</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Potential future sources of liquidity include the $150 million at-the-market (ATM) program, of which $134 million remains available at the end of June 2017, and excess operating cash flow in the business. During the second quarter 2017, the Company issued 510,112 shares of Class C common stock under the ATM program, raising proceeds of approximately $9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Closed the August 2017 Drop Down Transaction with NRG Energy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August 1, 2017, the Company acquired the remaining 25% interest in NRG Wind TE Holdco, a portfolio of 12 wind projects, from NRG for cash consideration of $41.5 million, excluding working capital adjustments. The transaction also includes potential additional payments to NRG dependent upon actual energy prices for merchant periods beginning in 2027. The purchase price for the August 2017 Drop Down was funded with cash on hand and is expected to increase CAFD on an average annual basis by approximately $4.6 million</w:t>
      </w:r>
      <w:r>
        <w:rPr>
          <w:rFonts w:ascii="Arial" w:cs="Arial" w:eastAsia="Arial" w:hAnsi="Arial"/>
          <w:sz w:val="24"/>
          <w:szCs w:val="24"/>
          <w:color w:val="auto"/>
          <w:vertAlign w:val="superscript"/>
        </w:rPr>
        <w:t>6</w:t>
      </w:r>
      <w:r>
        <w:rPr>
          <w:rFonts w:ascii="Arial" w:cs="Arial" w:eastAsia="Arial" w:hAnsi="Arial"/>
          <w:sz w:val="17"/>
          <w:szCs w:val="17"/>
          <w:color w:val="auto"/>
        </w:rPr>
        <w:t xml:space="preserve"> beginning in 2018. For 2017, because NRG Wind TE HoldCo has previously been consolidated by NRG Yield, the closing of the transaction does not provide additional Adjusted EBITDA during the year. Further, due to the timing of project level cash flows, there is an immaterial amount of CAFD expected in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Drop Down Offer from NRG Energy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NRG Yield received an offer to acquire a 38 MW portfolio of distributed and small utility-scale solar assets from NRG primarily comprised of assets from NRG's Solar Power Partners (SPP) funds, in addition to other projects developed since the acquisition of SPP. This portfolio is not part of the ROFO Agreement. The acquisition is subject to negotiation and approval by NRG Yield's Independent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Partnerships with NRG Energy</w:t>
      </w:r>
    </w:p>
    <w:p>
      <w:pPr>
        <w:spacing w:after="0" w:line="225"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During the second quarter of 2017, NRG Yield invested $23 million in the existing business renewable focused distributed solar partnerships. Following these contributions, NRG Yield has invested $170 million</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(of the existing $210 million commitment) in the investment partnerships (including $39 million since guidance set during the third quarter of 2016) and co-owns approximately 177 MW</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of distributed solar capacity with a weighted average contract life of approximately 20 years as of June 30, 2017.</w:t>
      </w:r>
    </w:p>
    <w:p>
      <w:pPr>
        <w:spacing w:after="0" w:line="20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Pursuant to the ROFO Agreement, the Company received an offer from NRG to form a new investment partnership in which NYLD would invest up to $50 million in an operating portfolio of distributed solar assets, primarily comprised of community solar projects, developed by NRG. The offer is subject to negotiation and approval by NRG Yield's Independent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60" w:firstLine="8"/>
        <w:spacing w:after="0" w:line="213" w:lineRule="auto"/>
        <w:tabs>
          <w:tab w:leader="none" w:pos="108" w:val="left"/>
        </w:tabs>
        <w:numPr>
          <w:ilvl w:val="0"/>
          <w:numId w:val="6"/>
        </w:numPr>
        <w:rPr>
          <w:rFonts w:ascii="Arial" w:cs="Arial" w:eastAsia="Arial" w:hAnsi="Arial"/>
          <w:sz w:val="25"/>
          <w:szCs w:val="25"/>
          <w:color w:val="auto"/>
          <w:vertAlign w:val="superscript"/>
        </w:rPr>
      </w:pPr>
      <w:r>
        <w:rPr>
          <w:rFonts w:ascii="Arial" w:cs="Arial" w:eastAsia="Arial" w:hAnsi="Arial"/>
          <w:sz w:val="14"/>
          <w:szCs w:val="14"/>
          <w:color w:val="auto"/>
        </w:rPr>
        <w:t>In accordance with GAAP, 2016 results have been recast to include the March 2017 Drop Down Assets as if the combinations had been in effect from the beginning of the financial statement period</w:t>
      </w:r>
    </w:p>
    <w:p>
      <w:pPr>
        <w:spacing w:after="0" w:line="11" w:lineRule="exact"/>
        <w:rPr>
          <w:rFonts w:ascii="Arial" w:cs="Arial" w:eastAsia="Arial" w:hAnsi="Arial"/>
          <w:sz w:val="25"/>
          <w:szCs w:val="25"/>
          <w:color w:val="auto"/>
          <w:vertAlign w:val="superscript"/>
        </w:rPr>
      </w:pPr>
    </w:p>
    <w:p>
      <w:pPr>
        <w:ind w:right="4880"/>
        <w:spacing w:after="0" w:line="211"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5</w:t>
      </w:r>
      <w:r>
        <w:rPr>
          <w:rFonts w:ascii="Arial" w:cs="Arial" w:eastAsia="Arial" w:hAnsi="Arial"/>
          <w:sz w:val="14"/>
          <w:szCs w:val="14"/>
          <w:color w:val="auto"/>
        </w:rPr>
        <w:t xml:space="preserve"> See Appendix A-6 for Six Months Ended June 30, 2017. Sources and Uses of Cash and Cash Equivalents detail </w:t>
      </w:r>
      <w:r>
        <w:rPr>
          <w:rFonts w:ascii="Arial" w:cs="Arial" w:eastAsia="Arial" w:hAnsi="Arial"/>
          <w:sz w:val="25"/>
          <w:szCs w:val="25"/>
          <w:color w:val="auto"/>
          <w:vertAlign w:val="superscript"/>
        </w:rPr>
        <w:t>6</w:t>
      </w:r>
      <w:r>
        <w:rPr>
          <w:rFonts w:ascii="Arial" w:cs="Arial" w:eastAsia="Arial" w:hAnsi="Arial"/>
          <w:sz w:val="14"/>
          <w:szCs w:val="14"/>
          <w:color w:val="auto"/>
        </w:rPr>
        <w:t xml:space="preserve"> CAFD average over the 5-year period from 2018-2022</w:t>
      </w:r>
    </w:p>
    <w:p>
      <w:pPr>
        <w:spacing w:after="0" w:line="1" w:lineRule="exact"/>
        <w:rPr>
          <w:rFonts w:ascii="Arial" w:cs="Arial" w:eastAsia="Arial" w:hAnsi="Arial"/>
          <w:sz w:val="25"/>
          <w:szCs w:val="25"/>
          <w:color w:val="auto"/>
          <w:vertAlign w:val="superscript"/>
        </w:rPr>
      </w:pPr>
    </w:p>
    <w:p>
      <w:pPr>
        <w:ind w:right="3940"/>
        <w:spacing w:after="0" w:line="212"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7</w:t>
      </w:r>
      <w:r>
        <w:rPr>
          <w:rFonts w:ascii="Arial" w:cs="Arial" w:eastAsia="Arial" w:hAnsi="Arial"/>
          <w:sz w:val="14"/>
          <w:szCs w:val="14"/>
          <w:color w:val="auto"/>
        </w:rPr>
        <w:t xml:space="preserve"> Excludes $26 million for 14 MW of residential solar leases acquired outside of partnerships, not adjusted for dividends received </w:t>
      </w:r>
      <w:r>
        <w:rPr>
          <w:rFonts w:ascii="Arial" w:cs="Arial" w:eastAsia="Arial" w:hAnsi="Arial"/>
          <w:sz w:val="25"/>
          <w:szCs w:val="25"/>
          <w:color w:val="auto"/>
          <w:vertAlign w:val="superscript"/>
        </w:rPr>
        <w:t>8</w:t>
      </w:r>
      <w:r>
        <w:rPr>
          <w:rFonts w:ascii="Arial" w:cs="Arial" w:eastAsia="Arial" w:hAnsi="Arial"/>
          <w:sz w:val="14"/>
          <w:szCs w:val="14"/>
          <w:color w:val="auto"/>
        </w:rPr>
        <w:t xml:space="preserve"> Based on cash to be distributed; excludes 14 MW of residential solar leases acquired outside of partnership</w:t>
      </w:r>
    </w:p>
    <w:p>
      <w:pPr>
        <w:sectPr>
          <w:pgSz w:w="11900" w:h="16838" w:orient="portrait"/>
          <w:cols w:equalWidth="0" w:num="1">
            <w:col w:w="11420"/>
          </w:cols>
          <w:pgMar w:left="240" w:top="796" w:right="239" w:bottom="1440" w:gutter="0" w:footer="0" w:header="0"/>
        </w:sectPr>
      </w:pPr>
    </w:p>
    <w:p>
      <w:pPr>
        <w:spacing w:after="0" w:line="15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796" w:right="239" w:bottom="1440" w:gutter="0" w:footer="0" w:header="0"/>
          <w:type w:val="continuous"/>
        </w:sectPr>
      </w:pPr>
    </w:p>
    <w:bookmarkStart w:id="7" w:name="page8"/>
    <w:bookmarkEnd w:id="7"/>
    <w:p>
      <w:pPr>
        <w:jc w:val="both"/>
        <w:spacing w:after="0" w:line="342" w:lineRule="auto"/>
        <w:rPr>
          <w:sz w:val="20"/>
          <w:szCs w:val="20"/>
          <w:color w:val="auto"/>
        </w:rPr>
      </w:pPr>
      <w:r>
        <w:rPr>
          <w:rFonts w:ascii="Arial" w:cs="Arial" w:eastAsia="Arial" w:hAnsi="Arial"/>
          <w:sz w:val="16"/>
          <w:szCs w:val="16"/>
          <w:color w:val="auto"/>
        </w:rPr>
        <w:t>On July 25, 2017, NRG Yield’s Board of Directors declared a quarterly dividend on Class A and Class C common stock of $0.28 per share ($1.12 per share annualized) payable on September 15, 2017, to stockholders of record as of September 1, 2017. This equates to a 3.7% increase over the prior quarter.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NRG Yield’s quarterly operating results are impacted by seasonal factors, as well as variability in renewable energy resources. The majority of NRG Yield’s revenues are generated from the months of May through September, as contracted pricing and renewable resources are at their highest levels in the Company’s core markets. The factors driving the fluctuation in Net Income, Adjusted EBITDA, Cash from Operating Activities, and CAFD include the following:</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wind resources during the spring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 on a quarterly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Reaffirming 2017 Financial Guidance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NRG Yield is reaffirming its full-year 2017 financial guidance. The August Drop Down is not expected to contribute to Adjusted EBITDA given prior 75% ownership resulted in consolidation. Further, given the time of year, the August Drop Down will contribute an immaterial amount of CAFD in 2017. The Company continues to expect the likely recovery of a substantial portion of the Walnut Creek Unit 1 outage costs from insurance proceeds through the end of 2017. Financial guidance continues to be based on median renewable energy production estimates.</w:t>
      </w:r>
    </w:p>
    <w:p>
      <w:pPr>
        <w:spacing w:after="0" w:line="345" w:lineRule="exact"/>
        <w:rPr>
          <w:sz w:val="20"/>
          <w:szCs w:val="20"/>
          <w:color w:val="auto"/>
        </w:rPr>
      </w:pPr>
    </w:p>
    <w:tbl>
      <w:tblPr>
        <w:tblLayout w:type="fixed"/>
        <w:tblInd w:w="276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2017 Full Year</w:t>
            </w:r>
          </w:p>
        </w:tc>
      </w:tr>
      <w:tr>
        <w:trPr>
          <w:trHeight w:val="234"/>
        </w:trPr>
        <w:tc>
          <w:tcPr>
            <w:tcW w:w="4560" w:type="dxa"/>
            <w:vAlign w:val="bottom"/>
            <w:gridSpan w:val="2"/>
          </w:tcPr>
          <w:p>
            <w:pPr>
              <w:ind w:left="40"/>
              <w:spacing w:after="0"/>
              <w:rPr>
                <w:sz w:val="20"/>
                <w:szCs w:val="20"/>
                <w:color w:val="auto"/>
              </w:rPr>
            </w:pPr>
            <w:r>
              <w:rPr>
                <w:rFonts w:ascii="Arial" w:cs="Arial" w:eastAsia="Arial" w:hAnsi="Arial"/>
                <w:sz w:val="18"/>
                <w:szCs w:val="18"/>
                <w:i w:val="1"/>
                <w:iCs w:val="1"/>
                <w:color w:val="auto"/>
              </w:rPr>
              <w:t>($ millions)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Guidance</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140</w:t>
            </w: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920</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from Operating Activities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557</w:t>
            </w: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Cash Available for Distribution (CAFD)</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255</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NRG Yield is targeting dividend per share growth of 15% annually on each of its Class A and Class C common stock through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3, 2017, NRG Yield will host a conference call at 9:15 a.m. Eastern to discuss these results. Investors, the news media and others may access the live webcast of the conference call and accompanying presentation materials by logging on to NRG Yield’s website at http://www.nrgyield.com and clicking on “Presentations &amp; Webcasts.”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 Yield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NRG Yield owns a diversified portfolio of contracted renewable and conventional generation and thermal infrastructure assets in the United States, including fossil fuel, solar and wind power generation facilities that provide the capacity to support more than two million American homes and businesses. Our thermal infrastructure assets provide steam, hot water and/or chilled water, and in some instances electricity, to commercial businesses, universities, hospitals and governmental units in multiple locations. NRG Yield’s Class C and Class A common stock are traded on the New York Stock Exchange under the symbols NYLD and NYLD.A, respectively. Visit www.nrgyield.com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00" w:lineRule="exact"/>
        <w:rPr>
          <w:sz w:val="20"/>
          <w:szCs w:val="20"/>
          <w:color w:val="auto"/>
        </w:rPr>
      </w:pPr>
    </w:p>
    <w:p>
      <w:pPr>
        <w:spacing w:after="0" w:line="27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800" w:right="239" w:bottom="1440" w:gutter="0" w:footer="0" w:header="0"/>
        </w:sectPr>
      </w:pPr>
    </w:p>
    <w:bookmarkStart w:id="8" w:name="page9"/>
    <w:bookmarkEnd w:id="8"/>
    <w:p>
      <w:pPr>
        <w:jc w:val="both"/>
        <w:spacing w:after="0" w:line="279" w:lineRule="auto"/>
        <w:rPr>
          <w:sz w:val="20"/>
          <w:szCs w:val="20"/>
          <w:color w:val="auto"/>
        </w:rPr>
      </w:pPr>
      <w:r>
        <w:rPr>
          <w:rFonts w:ascii="Arial" w:cs="Arial" w:eastAsia="Arial" w:hAnsi="Arial"/>
          <w:sz w:val="17"/>
          <w:szCs w:val="17"/>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include our Net Income, Adjusted EBITDA, Cash from Operating Activities, cash available for distribution, expected earnings, future growth and financial performance, and typically can be identified by the use of words such as “expect,” “estimate,” “anticipate,” “forecast,” “plan,” “believe” and similar terms.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NRG Yield, Inc. believes that the expectations are reasonable, it can give no assurance that these expectations will prove to be correct, and actual results may vary materially. Factors that could cause actual results to differ materially from those contemplated herein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 the condition of capital markets generally, our ability to access capital markets, potential risks to the Company as a result of NRG Energy, Inc.'s transformation plan, cyber terrorism and inadequate cyber security, the ability to engage in successful mergers and acquisitions activity, unanticipated outages at our generation facilities, adverse results in current and future litigation, failure to identify or successfully execute acquisitions, our ability to enter into new contracts as existing contracts expire, our ability to acquire assets from NRG Energy, Inc. or third parties, our ability to maintain or create successful partnering relationships with NRG Energy and other third parties, our ability to close Drop Down transactions, and our ability to maintain and grow our quarterly dividends. Furthermore, any dividends are subject to available capital, market conditions, and compliance with associated laws and regulations.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NRG Yield, Inc. undertakes no obligation to update or revise any forward-looking statements, whether as a result of new information, future events or otherwise. The Adjusted EBITDA and Cash Available for Distribution are estimates as of today’s date, August 3, 2017, and are based on assumptions believed to be reasonable as of this date. NRG Yield expressly disclaims any current intention to update such guidance. The foregoing review of factors that could cause NRG Yield’s actual results to differ materially from those contemplated in the forward-looking statements included in this news release should be considered in connection with information regarding risks and uncertainties that may affect NRG Yield’s future results included in NRG Yield’s filings with the Securities and Exchange Commission at www.sec.gov. In addition, NRG Yield makes available free of charge at www.nrgyield.com, copies of materials it files with, or furnish to, the SEC.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Media:</w:t>
      </w:r>
      <w:r>
        <w:rPr>
          <w:sz w:val="20"/>
          <w:szCs w:val="20"/>
          <w:color w:val="auto"/>
        </w:rPr>
        <w:tab/>
      </w:r>
      <w:r>
        <w:rPr>
          <w:rFonts w:ascii="Arial" w:cs="Arial" w:eastAsia="Arial" w:hAnsi="Arial"/>
          <w:sz w:val="18"/>
          <w:szCs w:val="18"/>
          <w:b w:val="1"/>
          <w:bCs w:val="1"/>
          <w:color w:val="auto"/>
        </w:rPr>
        <w:t>Investors:</w:t>
      </w:r>
    </w:p>
    <w:p>
      <w:pPr>
        <w:sectPr>
          <w:pgSz w:w="11900" w:h="16838" w:orient="portrait"/>
          <w:cols w:equalWidth="0" w:num="1">
            <w:col w:w="11420"/>
          </w:cols>
          <w:pgMar w:left="240" w:top="800" w:right="239" w:bottom="1440" w:gutter="0" w:footer="0" w:header="0"/>
        </w:sectPr>
      </w:pPr>
    </w:p>
    <w:p>
      <w:pPr>
        <w:spacing w:after="0" w:line="229"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Sheri Woodruff 609.524.4608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Kevin L. Cole, CFA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609.524.4526</w:t>
      </w:r>
    </w:p>
    <w:p>
      <w:pPr>
        <w:spacing w:after="0" w:line="210" w:lineRule="exact"/>
        <w:rPr>
          <w:sz w:val="20"/>
          <w:szCs w:val="20"/>
          <w:color w:val="auto"/>
        </w:rPr>
      </w:pPr>
    </w:p>
    <w:p>
      <w:pPr>
        <w:sectPr>
          <w:pgSz w:w="11900" w:h="16838" w:orient="portrait"/>
          <w:cols w:equalWidth="0" w:num="2">
            <w:col w:w="1780" w:space="220"/>
            <w:col w:w="9420"/>
          </w:cols>
          <w:pgMar w:left="240" w:top="800" w:right="239" w:bottom="1440" w:gutter="0" w:footer="0" w:header="0"/>
          <w:type w:val="continuous"/>
        </w:sectPr>
      </w:pPr>
    </w:p>
    <w:p>
      <w:pPr>
        <w:ind w:left="660"/>
        <w:spacing w:after="0" w:line="342" w:lineRule="auto"/>
        <w:rPr>
          <w:sz w:val="20"/>
          <w:szCs w:val="20"/>
          <w:color w:val="auto"/>
        </w:rPr>
      </w:pPr>
      <w:r>
        <w:rPr>
          <w:rFonts w:ascii="Arial" w:cs="Arial" w:eastAsia="Arial" w:hAnsi="Arial"/>
          <w:sz w:val="16"/>
          <w:szCs w:val="16"/>
          <w:color w:val="auto"/>
        </w:rPr>
        <w:t>Marijke Shugrue 609.524.5262</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6"/>
          <w:szCs w:val="16"/>
          <w:color w:val="auto"/>
        </w:rPr>
        <w:t>Lindsey Puchyr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609.524.4527</w:t>
      </w:r>
    </w:p>
    <w:p>
      <w:pPr>
        <w:spacing w:after="0" w:line="241" w:lineRule="exact"/>
        <w:rPr>
          <w:sz w:val="20"/>
          <w:szCs w:val="20"/>
          <w:color w:val="auto"/>
        </w:rPr>
      </w:pPr>
    </w:p>
    <w:p>
      <w:pPr>
        <w:sectPr>
          <w:pgSz w:w="11900" w:h="16838" w:orient="portrait"/>
          <w:cols w:equalWidth="0" w:num="2">
            <w:col w:w="1880" w:space="120"/>
            <w:col w:w="9420"/>
          </w:cols>
          <w:pgMar w:left="240" w:top="800" w:right="239" w:bottom="1440" w:gutter="0" w:footer="0" w:header="0"/>
          <w:type w:val="continuous"/>
        </w:sectPr>
      </w:pPr>
    </w:p>
    <w:p>
      <w:pPr>
        <w:ind w:left="113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80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1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260"/>
              <w:spacing w:after="0"/>
              <w:rPr>
                <w:sz w:val="20"/>
                <w:szCs w:val="20"/>
                <w:color w:val="auto"/>
              </w:rPr>
            </w:pPr>
            <w:r>
              <w:rPr>
                <w:rFonts w:ascii="Arial" w:cs="Arial" w:eastAsia="Arial" w:hAnsi="Arial"/>
                <w:sz w:val="17"/>
                <w:szCs w:val="17"/>
                <w:color w:val="auto"/>
              </w:rPr>
              <w:t>Total operating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gridSpan w:val="2"/>
          </w:tcPr>
          <w:p>
            <w:pPr>
              <w:ind w:left="260"/>
              <w:spacing w:after="0"/>
              <w:rPr>
                <w:sz w:val="20"/>
                <w:szCs w:val="20"/>
                <w:color w:val="auto"/>
              </w:rPr>
            </w:pPr>
            <w:r>
              <w:rPr>
                <w:rFonts w:ascii="Arial" w:cs="Arial" w:eastAsia="Arial" w:hAnsi="Arial"/>
                <w:sz w:val="17"/>
                <w:szCs w:val="17"/>
                <w:color w:val="auto"/>
              </w:rPr>
              <w:t>Total operating costs and expenses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Arial" w:cs="Arial" w:eastAsia="Arial" w:hAnsi="Arial"/>
                <w:sz w:val="17"/>
                <w:szCs w:val="17"/>
                <w:b w:val="1"/>
                <w:bCs w:val="1"/>
                <w:color w:val="auto"/>
              </w:rPr>
              <w:t>Other Income (Expense)</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gridSpan w:val="2"/>
          </w:tcPr>
          <w:p>
            <w:pPr>
              <w:ind w:left="260"/>
              <w:spacing w:after="0"/>
              <w:rPr>
                <w:sz w:val="20"/>
                <w:szCs w:val="20"/>
                <w:color w:val="auto"/>
              </w:rPr>
            </w:pPr>
            <w:r>
              <w:rPr>
                <w:rFonts w:ascii="Arial" w:cs="Arial" w:eastAsia="Arial" w:hAnsi="Arial"/>
                <w:sz w:val="17"/>
                <w:szCs w:val="17"/>
                <w:color w:val="auto"/>
              </w:rPr>
              <w:t>Total other expense, net</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140"/>
              <w:spacing w:after="0"/>
              <w:rPr>
                <w:sz w:val="20"/>
                <w:szCs w:val="20"/>
                <w:color w:val="auto"/>
              </w:rPr>
            </w:pPr>
            <w:r>
              <w:rPr>
                <w:rFonts w:ascii="Arial" w:cs="Arial" w:eastAsia="Arial" w:hAnsi="Arial"/>
                <w:sz w:val="17"/>
                <w:szCs w:val="17"/>
                <w:color w:val="auto"/>
              </w:rPr>
              <w:t>Income tax expense</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140"/>
              <w:spacing w:after="0"/>
              <w:rPr>
                <w:sz w:val="20"/>
                <w:szCs w:val="20"/>
                <w:color w:val="auto"/>
              </w:rPr>
            </w:pPr>
            <w:r>
              <w:rPr>
                <w:rFonts w:ascii="Arial" w:cs="Arial" w:eastAsia="Arial" w:hAnsi="Arial"/>
                <w:sz w:val="17"/>
                <w:szCs w:val="17"/>
                <w:color w:val="auto"/>
              </w:rPr>
              <w:t>Less: Pre-acquisition net income of Drop Down Assets</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w w:val="95"/>
              </w:rPr>
              <w:t>Net Income Excluding Pre-acquisition Net Income of Drop Down Assets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140"/>
              <w:spacing w:after="0"/>
              <w:rPr>
                <w:sz w:val="20"/>
                <w:szCs w:val="20"/>
                <w:color w:val="auto"/>
              </w:rPr>
            </w:pPr>
            <w:r>
              <w:rPr>
                <w:rFonts w:ascii="Arial" w:cs="Arial" w:eastAsia="Arial" w:hAnsi="Arial"/>
                <w:sz w:val="17"/>
                <w:szCs w:val="17"/>
                <w:color w:val="auto"/>
              </w:rPr>
              <w:t>Less: Net Income attributable to noncontrolling interests</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 Attributable to NRG Yield, Inc.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6"/>
              </w:rPr>
              <w:t>Earnings Per Share Attributable to NRG Yield, Inc. Class A and Class C</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5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ind w:left="160"/>
              <w:spacing w:after="0"/>
              <w:rPr>
                <w:sz w:val="20"/>
                <w:szCs w:val="20"/>
                <w:color w:val="auto"/>
              </w:rPr>
            </w:pPr>
            <w:r>
              <w:rPr>
                <w:rFonts w:ascii="Arial" w:cs="Arial" w:eastAsia="Arial" w:hAnsi="Arial"/>
                <w:sz w:val="17"/>
                <w:szCs w:val="17"/>
                <w:b w:val="1"/>
                <w:bCs w:val="1"/>
                <w:color w:val="auto"/>
              </w:rPr>
              <w:t>Common Stockholders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A common shares outstanding - basic</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4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A common shares outstanding - diluted</w:t>
            </w:r>
          </w:p>
        </w:tc>
        <w:tc>
          <w:tcPr>
            <w:tcW w:w="2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C common shares outstanding - basic</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4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C common shares outstanding - diluted</w:t>
            </w:r>
          </w:p>
        </w:tc>
        <w:tc>
          <w:tcPr>
            <w:tcW w:w="2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7"/>
              </w:rPr>
              <w:t>Earnings per Weighted Average Class A and Class C Common Share -</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5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Basic</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55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Earnings per Weighted Average Class A Common Share - Diluted</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Weighted Average Class C Common Share - Diluted</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55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Dividends Per Class A Common Share</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0.455</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Dividends Per Class C Common Share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0.455</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5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720" w:top="364" w:right="7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0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4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Unrealized loss on derivatives, net of income tax benefit of $1, $3,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1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$0 and $12</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gridSpan w:val="2"/>
          </w:tcPr>
          <w:p>
            <w:pPr>
              <w:ind w:left="58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ind w:left="140"/>
              <w:spacing w:after="0"/>
              <w:rPr>
                <w:sz w:val="20"/>
                <w:szCs w:val="20"/>
                <w:color w:val="auto"/>
              </w:rPr>
            </w:pPr>
            <w:r>
              <w:rPr>
                <w:rFonts w:ascii="Arial" w:cs="Arial" w:eastAsia="Arial" w:hAnsi="Arial"/>
                <w:sz w:val="18"/>
                <w:szCs w:val="18"/>
                <w:color w:val="auto"/>
              </w:rPr>
              <w:t>Less: Pre-acquisition net income of Drop Down Assets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Less: Comprehensive income (loss) attributable to noncontrolling</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Attributable to NRG Yield, Inc.</w:t>
            </w: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7</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720" w:top="364" w:right="7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shares)</w:t>
            </w:r>
          </w:p>
        </w:tc>
        <w:tc>
          <w:tcPr>
            <w:tcW w:w="26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2017</w:t>
            </w:r>
          </w:p>
        </w:tc>
        <w:tc>
          <w:tcPr>
            <w:tcW w:w="180" w:type="dxa"/>
            <w:vAlign w:val="bottom"/>
          </w:tcPr>
          <w:p>
            <w:pPr>
              <w:spacing w:after="0"/>
              <w:rPr>
                <w:sz w:val="14"/>
                <w:szCs w:val="14"/>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36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w w:val="91"/>
              </w:rPr>
              <w:t>ASSETS</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36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Notes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Equity investments in affiliates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Notes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other assets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payable — affiliate</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Other Liabilities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payable — affiliate</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6654800" cy="266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54800" cy="266065"/>
                    </a:xfrm>
                    <a:prstGeom prst="rect">
                      <a:avLst/>
                    </a:prstGeom>
                    <a:noFill/>
                  </pic:spPr>
                </pic:pic>
              </a:graphicData>
            </a:graphic>
          </wp:anchor>
        </w:drawing>
      </w:r>
    </w:p>
    <w:p>
      <w:pPr>
        <w:sectPr>
          <w:pgSz w:w="11900" w:h="16838" w:orient="portrait"/>
          <w:cols w:equalWidth="0" w:num="1">
            <w:col w:w="10480"/>
          </w:cols>
          <w:pgMar w:left="720" w:top="364" w:right="699" w:bottom="503" w:gutter="0" w:footer="0" w:header="0"/>
        </w:sectPr>
      </w:pP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Preferred stock, $0.01 par value; 10,000,000 shares authorized; none issued</w:t>
      </w:r>
    </w:p>
    <w:p>
      <w:pPr>
        <w:spacing w:after="0" w:line="235" w:lineRule="exact"/>
        <w:rPr>
          <w:sz w:val="20"/>
          <w:szCs w:val="20"/>
          <w:color w:val="auto"/>
        </w:rPr>
      </w:pPr>
    </w:p>
    <w:p>
      <w:pPr>
        <w:ind w:left="160" w:right="540"/>
        <w:spacing w:after="0" w:line="318" w:lineRule="auto"/>
        <w:rPr>
          <w:sz w:val="20"/>
          <w:szCs w:val="20"/>
          <w:color w:val="auto"/>
        </w:rPr>
      </w:pPr>
      <w:r>
        <w:rPr>
          <w:rFonts w:ascii="Arial" w:cs="Arial" w:eastAsia="Arial" w:hAnsi="Arial"/>
          <w:sz w:val="14"/>
          <w:szCs w:val="14"/>
          <w:color w:val="auto"/>
        </w:rPr>
        <w:t>Class A, Class B, Class C and Class D common stock, $0.01 par value; 3,000,000,000 shares authorized (Class A 500,000,000, Class B 500,000,000, Class C 1,000,000,000, Class D 1,000,000,000); 183,793,110 shares issued and outstanding (Class A 34,586,250, Class B 42,738,750, Class C 63,729,360, Class D 42,738,750) at June 30, 2017 and 182,848,000 shares issued and outstanding (Class A 34,586,250, Class B 42,738,750, Class C 62,784,250, Class D 42,738,750)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665480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Retained Earnings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665480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20"/>
        <w:spacing w:after="0"/>
        <w:tabs>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w w:val="84"/>
              </w:rPr>
              <w:t>1,842</w:t>
            </w:r>
          </w:p>
        </w:tc>
        <w:tc>
          <w:tcPr>
            <w:tcW w:w="1120" w:type="dxa"/>
            <w:vAlign w:val="bottom"/>
          </w:tcPr>
          <w:p>
            <w:pPr>
              <w:jc w:val="right"/>
              <w:spacing w:after="0"/>
              <w:rPr>
                <w:sz w:val="20"/>
                <w:szCs w:val="20"/>
                <w:color w:val="auto"/>
              </w:rPr>
            </w:pPr>
            <w:r>
              <w:rPr>
                <w:rFonts w:ascii="Arial" w:cs="Arial" w:eastAsia="Arial" w:hAnsi="Arial"/>
                <w:sz w:val="18"/>
                <w:szCs w:val="18"/>
                <w:color w:val="auto"/>
              </w:rPr>
              <w:t>1,879</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23</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120" w:type="dxa"/>
            <w:vAlign w:val="bottom"/>
          </w:tcPr>
          <w:p>
            <w:pPr>
              <w:jc w:val="right"/>
              <w:ind w:right="570"/>
              <w:spacing w:after="0"/>
              <w:rPr>
                <w:sz w:val="20"/>
                <w:szCs w:val="20"/>
                <w:color w:val="auto"/>
              </w:rPr>
            </w:pPr>
            <w:r>
              <w:rPr>
                <w:rFonts w:ascii="Arial" w:cs="Arial" w:eastAsia="Arial" w:hAnsi="Arial"/>
                <w:sz w:val="18"/>
                <w:szCs w:val="18"/>
                <w:color w:val="auto"/>
              </w:rPr>
              <w:t>(28)</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498</w:t>
            </w:r>
          </w:p>
        </w:tc>
        <w:tc>
          <w:tcPr>
            <w:tcW w:w="1120" w:type="dxa"/>
            <w:vAlign w:val="bottom"/>
          </w:tcPr>
          <w:p>
            <w:pPr>
              <w:jc w:val="right"/>
              <w:spacing w:after="0"/>
              <w:rPr>
                <w:sz w:val="20"/>
                <w:szCs w:val="20"/>
                <w:color w:val="auto"/>
              </w:rPr>
            </w:pPr>
            <w:r>
              <w:rPr>
                <w:rFonts w:ascii="Arial" w:cs="Arial" w:eastAsia="Arial" w:hAnsi="Arial"/>
                <w:sz w:val="18"/>
                <w:szCs w:val="18"/>
                <w:color w:val="auto"/>
              </w:rPr>
              <w:t>689</w:t>
            </w:r>
          </w:p>
        </w:tc>
      </w:tr>
    </w:tbl>
    <w:p>
      <w:pPr>
        <w:spacing w:after="0" w:line="7" w:lineRule="exact"/>
        <w:rPr>
          <w:sz w:val="20"/>
          <w:szCs w:val="20"/>
          <w:color w:val="auto"/>
        </w:rPr>
      </w:pPr>
    </w:p>
    <w:p>
      <w:pPr>
        <w:sectPr>
          <w:pgSz w:w="11900" w:h="16838" w:orient="portrait"/>
          <w:cols w:equalWidth="0" w:num="2">
            <w:col w:w="7480" w:space="720"/>
            <w:col w:w="2280"/>
          </w:cols>
          <w:pgMar w:left="720" w:top="364" w:right="699" w:bottom="503"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640" w:type="dxa"/>
            <w:vAlign w:val="bottom"/>
            <w:tcBorders>
              <w:top w:val="single" w:sz="8" w:color="auto"/>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w:t>
            </w:r>
          </w:p>
        </w:tc>
      </w:tr>
      <w:tr>
        <w:trPr>
          <w:trHeight w:val="257"/>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8,513</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8,836</w:t>
            </w:r>
          </w:p>
        </w:tc>
      </w:tr>
      <w:tr>
        <w:trPr>
          <w:trHeight w:val="20"/>
        </w:trPr>
        <w:tc>
          <w:tcPr>
            <w:tcW w:w="7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80"/>
          </w:cols>
          <w:pgMar w:left="720" w:top="364" w:right="699" w:bottom="503" w:gutter="0" w:footer="0" w:header="0"/>
          <w:type w:val="continuous"/>
        </w:sect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480"/>
          </w:cols>
          <w:pgMar w:left="720" w:top="364" w:right="699" w:bottom="503" w:gutter="0" w:footer="0" w:header="0"/>
          <w:type w:val="continuous"/>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 and debt discounts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deferred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Changes in derivative instruments</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asset components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working capital</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Acquisition of Drop Down Assets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(131)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Cash receipts from notes receivable</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(143)</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distributions and return of capital to NRG prior to the acquisition of Drop Down Assets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dividends and distributions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Payments of debt issuance costs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Payments for the revolving credit facility</w:t>
            </w:r>
          </w:p>
        </w:tc>
        <w:tc>
          <w:tcPr>
            <w:tcW w:w="8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long-term debt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Payments for long-term debt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(142)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(122)</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(206)</w:t>
            </w: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(192)</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5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260"/>
              <w:spacing w:after="0"/>
              <w:rPr>
                <w:sz w:val="20"/>
                <w:szCs w:val="20"/>
                <w:color w:val="auto"/>
              </w:rPr>
            </w:pPr>
            <w:r>
              <w:rPr>
                <w:rFonts w:ascii="Arial" w:cs="Arial" w:eastAsia="Arial" w:hAnsi="Arial"/>
                <w:sz w:val="18"/>
                <w:szCs w:val="18"/>
                <w:color w:val="auto"/>
              </w:rPr>
              <w:t>9</w:t>
            </w: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80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640" w:top="364" w:right="61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Appendix Table A-1: Three Months Ended June 30, 2017,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48"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Renewable</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45</w:t>
            </w:r>
          </w:p>
        </w:tc>
      </w:tr>
      <w:tr>
        <w:trPr>
          <w:trHeight w:val="264"/>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84</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ARO Expense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 recurring charges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9"/>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270</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A-2: Three Months Ended June 30, 2016,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48"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Renewable</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64</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68</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 recurring charges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18</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9"/>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257</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576" w:right="39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Appendix Table A-3: Six Months Ended June 30, 2017,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44</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160</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ARO Expense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47</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9"/>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454</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A-4: Six Months Ended June 30, 2016,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372"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Thermal</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66</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ARO Expense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285</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455</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23"/>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60"/>
          </w:cols>
          <w:pgMar w:left="240" w:top="360" w:right="39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Appendix Table A-5: Cash Available for Distribution Reconciliation</w:t>
      </w:r>
    </w:p>
    <w:p>
      <w:pPr>
        <w:spacing w:after="0" w:line="22"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1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760" w:type="dxa"/>
            <w:vAlign w:val="bottom"/>
            <w:gridSpan w:val="4"/>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22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44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6/30/17</w:t>
            </w:r>
          </w:p>
        </w:tc>
        <w:tc>
          <w:tcPr>
            <w:tcW w:w="120" w:type="dxa"/>
            <w:vAlign w:val="bottom"/>
          </w:tcPr>
          <w:p>
            <w:pPr>
              <w:spacing w:after="0"/>
              <w:rPr>
                <w:sz w:val="23"/>
                <w:szCs w:val="23"/>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6/30/16</w:t>
            </w:r>
          </w:p>
        </w:tc>
        <w:tc>
          <w:tcPr>
            <w:tcW w:w="100" w:type="dxa"/>
            <w:vAlign w:val="bottom"/>
          </w:tcPr>
          <w:p>
            <w:pPr>
              <w:spacing w:after="0"/>
              <w:rPr>
                <w:sz w:val="23"/>
                <w:szCs w:val="23"/>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6/30/17</w:t>
            </w:r>
          </w:p>
        </w:tc>
        <w:tc>
          <w:tcPr>
            <w:tcW w:w="120" w:type="dxa"/>
            <w:vAlign w:val="bottom"/>
          </w:tcPr>
          <w:p>
            <w:pPr>
              <w:spacing w:after="0"/>
              <w:rPr>
                <w:sz w:val="23"/>
                <w:szCs w:val="23"/>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6/30/16</w:t>
            </w:r>
          </w:p>
        </w:tc>
      </w:tr>
      <w:tr>
        <w:trPr>
          <w:trHeight w:val="27"/>
        </w:trPr>
        <w:tc>
          <w:tcPr>
            <w:tcW w:w="5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270</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r>
      <w:tr>
        <w:trPr>
          <w:trHeight w:val="237"/>
        </w:trPr>
        <w:tc>
          <w:tcPr>
            <w:tcW w:w="5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Cash interest paid</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5440" w:type="dxa"/>
            <w:vAlign w:val="bottom"/>
          </w:tcPr>
          <w:p>
            <w:pPr>
              <w:ind w:left="140"/>
              <w:spacing w:after="0"/>
              <w:rPr>
                <w:sz w:val="20"/>
                <w:szCs w:val="20"/>
                <w:color w:val="auto"/>
              </w:rPr>
            </w:pPr>
            <w:r>
              <w:rPr>
                <w:rFonts w:ascii="Arial" w:cs="Arial" w:eastAsia="Arial" w:hAnsi="Arial"/>
                <w:sz w:val="18"/>
                <w:szCs w:val="18"/>
                <w:color w:val="auto"/>
              </w:rPr>
              <w:t>Pro-rata Adjusted EBITDA from unconsolidated affiliates</w:t>
            </w: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Distributions from unconsolidated affiliates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440" w:type="dxa"/>
            <w:vAlign w:val="bottom"/>
          </w:tcPr>
          <w:p>
            <w:pPr>
              <w:ind w:left="140"/>
              <w:spacing w:after="0"/>
              <w:rPr>
                <w:sz w:val="20"/>
                <w:szCs w:val="20"/>
                <w:color w:val="auto"/>
              </w:rPr>
            </w:pPr>
            <w:r>
              <w:rPr>
                <w:rFonts w:ascii="Arial" w:cs="Arial" w:eastAsia="Arial" w:hAnsi="Arial"/>
                <w:sz w:val="18"/>
                <w:szCs w:val="18"/>
                <w:color w:val="auto"/>
              </w:rPr>
              <w:t>All other changes in working capital</w:t>
            </w: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r>
      <w:tr>
        <w:trPr>
          <w:trHeight w:val="237"/>
        </w:trPr>
        <w:tc>
          <w:tcPr>
            <w:tcW w:w="54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All other changes in working capital</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Return of investment from unconsolidated affiliates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440" w:type="dxa"/>
            <w:vAlign w:val="bottom"/>
          </w:tcPr>
          <w:p>
            <w:pPr>
              <w:ind w:left="160"/>
              <w:spacing w:after="0"/>
              <w:rPr>
                <w:sz w:val="20"/>
                <w:szCs w:val="20"/>
                <w:color w:val="auto"/>
              </w:rPr>
            </w:pPr>
            <w:r>
              <w:rPr>
                <w:rFonts w:ascii="Arial" w:cs="Arial" w:eastAsia="Arial" w:hAnsi="Arial"/>
                <w:sz w:val="18"/>
                <w:szCs w:val="18"/>
                <w:color w:val="auto"/>
              </w:rPr>
              <w:t>Net contributions from non-controlling interest</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Maintenance Capital expenditures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440" w:type="dxa"/>
            <w:vAlign w:val="bottom"/>
          </w:tcPr>
          <w:p>
            <w:pPr>
              <w:ind w:left="160"/>
              <w:spacing w:after="0"/>
              <w:rPr>
                <w:sz w:val="20"/>
                <w:szCs w:val="20"/>
                <w:color w:val="auto"/>
              </w:rPr>
            </w:pPr>
            <w:r>
              <w:rPr>
                <w:rFonts w:ascii="Arial" w:cs="Arial" w:eastAsia="Arial" w:hAnsi="Arial"/>
                <w:sz w:val="18"/>
                <w:szCs w:val="18"/>
                <w:color w:val="auto"/>
              </w:rPr>
              <w:t>Principal amortization of indebtedness</w:t>
            </w: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440" w:type="dxa"/>
            <w:vAlign w:val="bottom"/>
            <w:tcBorders>
              <w:bottom w:val="single" w:sz="8" w:color="auto"/>
            </w:tcBorders>
            <w:shd w:val="clear" w:color="auto" w:fill="CCEEFF"/>
          </w:tcPr>
          <w:p>
            <w:pPr>
              <w:ind w:left="160"/>
              <w:spacing w:after="0" w:line="270" w:lineRule="exact"/>
              <w:rPr>
                <w:sz w:val="20"/>
                <w:szCs w:val="20"/>
                <w:color w:val="auto"/>
              </w:rPr>
            </w:pPr>
            <w:r>
              <w:rPr>
                <w:rFonts w:ascii="Arial" w:cs="Arial" w:eastAsia="Arial" w:hAnsi="Arial"/>
                <w:sz w:val="18"/>
                <w:szCs w:val="18"/>
                <w:color w:val="auto"/>
              </w:rPr>
              <w:t>Cash receipts from notes receivable</w:t>
            </w:r>
            <w:r>
              <w:rPr>
                <w:rFonts w:ascii="Arial" w:cs="Arial" w:eastAsia="Arial" w:hAnsi="Arial"/>
                <w:sz w:val="25"/>
                <w:szCs w:val="25"/>
                <w:color w:val="auto"/>
                <w:vertAlign w:val="superscript"/>
              </w:rPr>
              <w:t>9</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Cash Available for Distribution (Recast)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74</w:t>
            </w:r>
          </w:p>
        </w:tc>
        <w:tc>
          <w:tcPr>
            <w:tcW w:w="1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27"/>
        </w:trPr>
        <w:tc>
          <w:tcPr>
            <w:tcW w:w="5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40" w:type="dxa"/>
            <w:vAlign w:val="bottom"/>
            <w:shd w:val="clear" w:color="auto" w:fill="CCEEFF"/>
          </w:tcPr>
          <w:p>
            <w:pPr>
              <w:ind w:left="160"/>
              <w:spacing w:after="0" w:line="264" w:lineRule="exact"/>
              <w:rPr>
                <w:sz w:val="20"/>
                <w:szCs w:val="20"/>
                <w:color w:val="auto"/>
              </w:rPr>
            </w:pPr>
            <w:r>
              <w:rPr>
                <w:rFonts w:ascii="Arial" w:cs="Arial" w:eastAsia="Arial" w:hAnsi="Arial"/>
                <w:sz w:val="18"/>
                <w:szCs w:val="18"/>
                <w:color w:val="auto"/>
                <w:w w:val="98"/>
              </w:rPr>
              <w:t>Adjustment to reflect NYLD's CAFD pre drop down acquisition</w:t>
            </w:r>
            <w:r>
              <w:rPr>
                <w:rFonts w:ascii="Arial" w:cs="Arial" w:eastAsia="Arial" w:hAnsi="Arial"/>
                <w:sz w:val="25"/>
                <w:szCs w:val="25"/>
                <w:color w:val="auto"/>
                <w:w w:val="98"/>
                <w:vertAlign w:val="superscript"/>
              </w:rPr>
              <w:t>10,11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r>
      <w:tr>
        <w:trPr>
          <w:trHeight w:val="27"/>
        </w:trPr>
        <w:tc>
          <w:tcPr>
            <w:tcW w:w="5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A-6: Six Months Ended June 30, 2017, Sources and Uses of Liquidity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following table summarizes the sources and uses of liquidity in the first </w:t>
      </w:r>
      <w:r>
        <w:rPr>
          <w:rFonts w:ascii="Arial" w:cs="Arial" w:eastAsia="Arial" w:hAnsi="Arial"/>
          <w:sz w:val="18"/>
          <w:szCs w:val="18"/>
          <w:color w:val="auto"/>
        </w:rPr>
        <w:t>six</w:t>
      </w:r>
      <w:r>
        <w:rPr>
          <w:rFonts w:ascii="Arial" w:cs="Arial" w:eastAsia="Arial" w:hAnsi="Arial"/>
          <w:sz w:val="20"/>
          <w:szCs w:val="20"/>
          <w:color w:val="auto"/>
        </w:rPr>
        <w:t xml:space="preserve"> months of 2017:</w:t>
      </w:r>
    </w:p>
    <w:p>
      <w:pPr>
        <w:spacing w:after="0" w:line="144"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Six Months</w:t>
            </w:r>
          </w:p>
        </w:tc>
      </w:tr>
      <w:tr>
        <w:trPr>
          <w:trHeight w:val="234"/>
        </w:trPr>
        <w:tc>
          <w:tcPr>
            <w:tcW w:w="6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646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6/30/17</w:t>
            </w:r>
          </w:p>
        </w:tc>
      </w:tr>
      <w:tr>
        <w:trPr>
          <w:trHeight w:val="27"/>
        </w:trPr>
        <w:tc>
          <w:tcPr>
            <w:tcW w:w="6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Sources:</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460" w:type="dxa"/>
            <w:vAlign w:val="bottom"/>
            <w:gridSpan w:val="2"/>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24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33"/>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long-term debt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43"/>
        </w:trPr>
        <w:tc>
          <w:tcPr>
            <w:tcW w:w="6460" w:type="dxa"/>
            <w:vAlign w:val="bottom"/>
            <w:gridSpan w:val="2"/>
          </w:tcPr>
          <w:p>
            <w:pPr>
              <w:ind w:left="180"/>
              <w:spacing w:after="0"/>
              <w:rPr>
                <w:sz w:val="20"/>
                <w:szCs w:val="20"/>
                <w:color w:val="auto"/>
              </w:rPr>
            </w:pPr>
            <w:r>
              <w:rPr>
                <w:rFonts w:ascii="Arial" w:cs="Arial" w:eastAsia="Arial" w:hAnsi="Arial"/>
                <w:sz w:val="16"/>
                <w:szCs w:val="16"/>
                <w:color w:val="auto"/>
              </w:rPr>
              <w:t>Return of investment from unconsolidated affiliates</w:t>
            </w: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common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91"/>
        </w:trPr>
        <w:tc>
          <w:tcPr>
            <w:tcW w:w="63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Uses:</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460" w:type="dxa"/>
            <w:vAlign w:val="bottom"/>
            <w:gridSpan w:val="2"/>
          </w:tcPr>
          <w:p>
            <w:pPr>
              <w:ind w:left="180"/>
              <w:spacing w:after="0"/>
              <w:rPr>
                <w:sz w:val="20"/>
                <w:szCs w:val="20"/>
                <w:color w:val="auto"/>
              </w:rPr>
            </w:pPr>
            <w:r>
              <w:rPr>
                <w:rFonts w:ascii="Arial" w:cs="Arial" w:eastAsia="Arial" w:hAnsi="Arial"/>
                <w:sz w:val="16"/>
                <w:szCs w:val="16"/>
                <w:color w:val="auto"/>
              </w:rPr>
              <w:t>Payments for long-term debt</w:t>
            </w:r>
          </w:p>
        </w:tc>
        <w:tc>
          <w:tcPr>
            <w:tcW w:w="124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33"/>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Acquisition of Drop Down Assets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37"/>
        </w:trPr>
        <w:tc>
          <w:tcPr>
            <w:tcW w:w="6460" w:type="dxa"/>
            <w:vAlign w:val="bottom"/>
            <w:gridSpan w:val="2"/>
          </w:tcPr>
          <w:p>
            <w:pPr>
              <w:ind w:left="180"/>
              <w:spacing w:after="0"/>
              <w:rPr>
                <w:sz w:val="20"/>
                <w:szCs w:val="20"/>
                <w:color w:val="auto"/>
              </w:rPr>
            </w:pPr>
            <w:r>
              <w:rPr>
                <w:rFonts w:ascii="Arial" w:cs="Arial" w:eastAsia="Arial" w:hAnsi="Arial"/>
                <w:sz w:val="16"/>
                <w:szCs w:val="16"/>
                <w:color w:val="auto"/>
              </w:rPr>
              <w:t>Payment of dividends to shareholders and distributions to NRG</w:t>
            </w:r>
          </w:p>
        </w:tc>
        <w:tc>
          <w:tcPr>
            <w:tcW w:w="12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6460" w:type="dxa"/>
            <w:vAlign w:val="bottom"/>
            <w:gridSpan w:val="2"/>
          </w:tcPr>
          <w:p>
            <w:pPr>
              <w:ind w:left="180"/>
              <w:spacing w:after="0"/>
              <w:rPr>
                <w:sz w:val="20"/>
                <w:szCs w:val="20"/>
                <w:color w:val="auto"/>
              </w:rPr>
            </w:pPr>
            <w:r>
              <w:rPr>
                <w:rFonts w:ascii="Arial" w:cs="Arial" w:eastAsia="Arial" w:hAnsi="Arial"/>
                <w:sz w:val="16"/>
                <w:szCs w:val="16"/>
                <w:color w:val="auto"/>
              </w:rPr>
              <w:t>Capital expenditures</w:t>
            </w:r>
          </w:p>
        </w:tc>
        <w:tc>
          <w:tcPr>
            <w:tcW w:w="12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net cash outflows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63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24"/>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Change in total cash</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w:t>
            </w:r>
          </w:p>
        </w:tc>
      </w:tr>
      <w:tr>
        <w:trPr>
          <w:trHeight w:val="33"/>
        </w:trPr>
        <w:tc>
          <w:tcPr>
            <w:tcW w:w="6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5"/>
          <w:szCs w:val="25"/>
          <w:color w:val="auto"/>
          <w:vertAlign w:val="superscript"/>
        </w:rPr>
      </w:pPr>
      <w:r>
        <w:rPr>
          <w:rFonts w:ascii="Arial" w:cs="Arial" w:eastAsia="Arial" w:hAnsi="Arial"/>
          <w:sz w:val="14"/>
          <w:szCs w:val="14"/>
          <w:color w:val="auto"/>
        </w:rPr>
        <w:t>Reimbursement of network upgrades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 </w:t>
      </w:r>
      <w:r>
        <w:rPr>
          <w:rFonts w:ascii="Arial" w:cs="Arial" w:eastAsia="Arial" w:hAnsi="Arial"/>
          <w:sz w:val="14"/>
          <w:szCs w:val="14"/>
          <w:color w:val="auto"/>
        </w:rPr>
        <w:t>Adjustment to 1H 2017 to reflect debt service paid by the Utah solar assets prior to ownership by NRG Yield</w:t>
      </w:r>
    </w:p>
    <w:p>
      <w:pPr>
        <w:ind w:left="180" w:hanging="172"/>
        <w:spacing w:after="0" w:line="192" w:lineRule="auto"/>
        <w:tabs>
          <w:tab w:leader="none" w:pos="180" w:val="left"/>
        </w:tabs>
        <w:numPr>
          <w:ilvl w:val="0"/>
          <w:numId w:val="9"/>
        </w:numPr>
        <w:rPr>
          <w:rFonts w:ascii="Arial" w:cs="Arial" w:eastAsia="Arial" w:hAnsi="Arial"/>
          <w:sz w:val="23"/>
          <w:szCs w:val="23"/>
          <w:color w:val="auto"/>
          <w:vertAlign w:val="superscript"/>
        </w:rPr>
      </w:pPr>
      <w:r>
        <w:rPr>
          <w:rFonts w:ascii="Arial" w:cs="Arial" w:eastAsia="Arial" w:hAnsi="Arial"/>
          <w:sz w:val="13"/>
          <w:szCs w:val="13"/>
          <w:color w:val="auto"/>
        </w:rPr>
        <w:t>Adjustment to Q2 2016 and 1H 2016 reflect the cash distribution from the CVSR project to NRG Yield while it was an unconsolidated equity investment in 1H 2016</w:t>
      </w:r>
    </w:p>
    <w:p>
      <w:pPr>
        <w:sectPr>
          <w:pgSz w:w="11900" w:h="16838" w:orient="portrait"/>
          <w:cols w:equalWidth="0" w:num="1">
            <w:col w:w="10980"/>
          </w:cols>
          <w:pgMar w:left="240" w:top="616" w:right="679" w:bottom="1440" w:gutter="0" w:footer="0" w:header="0"/>
        </w:sectPr>
      </w:pPr>
    </w:p>
    <w:p>
      <w:pPr>
        <w:spacing w:after="0" w:line="28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80"/>
          </w:cols>
          <w:pgMar w:left="240" w:top="616" w:right="6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Appendix Table A-7: Adjusted EBITDA and Cash Available for Distribution Guidance</w:t>
      </w:r>
    </w:p>
    <w:p>
      <w:pPr>
        <w:spacing w:after="0" w:line="396"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2017 Full Year</w:t>
            </w:r>
          </w:p>
        </w:tc>
      </w:tr>
      <w:tr>
        <w:trPr>
          <w:trHeight w:val="234"/>
        </w:trPr>
        <w:tc>
          <w:tcPr>
            <w:tcW w:w="648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220" w:type="dxa"/>
            <w:vAlign w:val="bottom"/>
          </w:tcPr>
          <w:p>
            <w:pPr>
              <w:jc w:val="right"/>
              <w:ind w:right="158"/>
              <w:spacing w:after="0"/>
              <w:rPr>
                <w:sz w:val="20"/>
                <w:szCs w:val="20"/>
                <w:color w:val="auto"/>
              </w:rPr>
            </w:pPr>
            <w:r>
              <w:rPr>
                <w:rFonts w:ascii="Arial" w:cs="Arial" w:eastAsia="Arial" w:hAnsi="Arial"/>
                <w:sz w:val="18"/>
                <w:szCs w:val="18"/>
                <w:b w:val="1"/>
                <w:bCs w:val="1"/>
                <w:color w:val="auto"/>
              </w:rPr>
              <w:t>Guidance</w:t>
            </w:r>
          </w:p>
        </w:tc>
      </w:tr>
      <w:tr>
        <w:trPr>
          <w:trHeight w:val="27"/>
        </w:trPr>
        <w:tc>
          <w:tcPr>
            <w:tcW w:w="6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w:t>
            </w:r>
          </w:p>
        </w:tc>
      </w:tr>
      <w:tr>
        <w:trPr>
          <w:trHeight w:val="237"/>
        </w:trPr>
        <w:tc>
          <w:tcPr>
            <w:tcW w:w="6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43"/>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Depreciation, Amortization, and Accretion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non-recurring charges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6480" w:type="dxa"/>
            <w:vAlign w:val="bottom"/>
            <w:gridSpan w:val="2"/>
          </w:tcPr>
          <w:p>
            <w:pPr>
              <w:ind w:left="160"/>
              <w:spacing w:after="0"/>
              <w:rPr>
                <w:sz w:val="20"/>
                <w:szCs w:val="20"/>
                <w:color w:val="auto"/>
              </w:rPr>
            </w:pPr>
            <w:r>
              <w:rPr>
                <w:rFonts w:ascii="Arial" w:cs="Arial" w:eastAsia="Arial" w:hAnsi="Arial"/>
                <w:sz w:val="18"/>
                <w:szCs w:val="18"/>
                <w:color w:val="auto"/>
                <w:w w:val="98"/>
              </w:rPr>
              <w:t>Adjustment to reflect NRG share of Adjusted EBITDA in unconsolidated affiliates</w:t>
            </w:r>
          </w:p>
        </w:tc>
        <w:tc>
          <w:tcPr>
            <w:tcW w:w="12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
        </w:trPr>
        <w:tc>
          <w:tcPr>
            <w:tcW w:w="6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920</w:t>
            </w:r>
          </w:p>
        </w:tc>
      </w:tr>
      <w:tr>
        <w:trPr>
          <w:trHeight w:val="237"/>
        </w:trPr>
        <w:tc>
          <w:tcPr>
            <w:tcW w:w="6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Cash interest paid</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Pro-rata Adjusted EBITDA from unconsolidated affiliates</w:t>
            </w:r>
          </w:p>
        </w:tc>
        <w:tc>
          <w:tcPr>
            <w:tcW w:w="122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distributions from unconsolidated affiliates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37"/>
        </w:trPr>
        <w:tc>
          <w:tcPr>
            <w:tcW w:w="63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557</w:t>
            </w:r>
          </w:p>
        </w:tc>
      </w:tr>
      <w:tr>
        <w:trPr>
          <w:trHeight w:val="27"/>
        </w:trPr>
        <w:tc>
          <w:tcPr>
            <w:tcW w:w="6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contributions from non-controlling interest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Maintenance capital expenditures</w:t>
            </w: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Principal amortization of indebtedness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70"/>
        </w:trPr>
        <w:tc>
          <w:tcPr>
            <w:tcW w:w="6380" w:type="dxa"/>
            <w:vAlign w:val="bottom"/>
            <w:tcBorders>
              <w:bottom w:val="single" w:sz="8" w:color="auto"/>
            </w:tcBorders>
          </w:tcPr>
          <w:p>
            <w:pPr>
              <w:ind w:left="160"/>
              <w:spacing w:after="0" w:line="270" w:lineRule="exact"/>
              <w:rPr>
                <w:sz w:val="20"/>
                <w:szCs w:val="20"/>
                <w:color w:val="auto"/>
              </w:rPr>
            </w:pPr>
            <w:r>
              <w:rPr>
                <w:rFonts w:ascii="Arial" w:cs="Arial" w:eastAsia="Arial" w:hAnsi="Arial"/>
                <w:sz w:val="18"/>
                <w:szCs w:val="18"/>
                <w:color w:val="auto"/>
              </w:rPr>
              <w:t>Cash receipts from notes receivable</w:t>
            </w:r>
            <w:r>
              <w:rPr>
                <w:rFonts w:ascii="Arial" w:cs="Arial" w:eastAsia="Arial" w:hAnsi="Arial"/>
                <w:sz w:val="25"/>
                <w:szCs w:val="25"/>
                <w:color w:val="auto"/>
                <w:vertAlign w:val="superscript"/>
              </w:rPr>
              <w:t>12</w:t>
            </w:r>
          </w:p>
        </w:tc>
        <w:tc>
          <w:tcPr>
            <w:tcW w:w="10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64"/>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Available for Distribution (Recast)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w:t>
            </w:r>
          </w:p>
        </w:tc>
      </w:tr>
      <w:tr>
        <w:trPr>
          <w:trHeight w:val="264"/>
        </w:trPr>
        <w:tc>
          <w:tcPr>
            <w:tcW w:w="6380" w:type="dxa"/>
            <w:vAlign w:val="bottom"/>
            <w:tcBorders>
              <w:top w:val="single" w:sz="8" w:color="auto"/>
              <w:bottom w:val="single" w:sz="8" w:color="auto"/>
            </w:tcBorders>
          </w:tcPr>
          <w:p>
            <w:pPr>
              <w:ind w:left="160"/>
              <w:spacing w:after="0" w:line="264" w:lineRule="exact"/>
              <w:rPr>
                <w:sz w:val="20"/>
                <w:szCs w:val="20"/>
                <w:color w:val="auto"/>
              </w:rPr>
            </w:pPr>
            <w:r>
              <w:rPr>
                <w:rFonts w:ascii="Arial" w:cs="Arial" w:eastAsia="Arial" w:hAnsi="Arial"/>
                <w:sz w:val="18"/>
                <w:szCs w:val="18"/>
                <w:color w:val="auto"/>
              </w:rPr>
              <w:t>Adjustment to reflect NYLD's CAFD pre drop down acquisition</w:t>
            </w:r>
            <w:r>
              <w:rPr>
                <w:rFonts w:ascii="Arial" w:cs="Arial" w:eastAsia="Arial" w:hAnsi="Arial"/>
                <w:sz w:val="25"/>
                <w:szCs w:val="25"/>
                <w:color w:val="auto"/>
                <w:vertAlign w:val="superscript"/>
              </w:rPr>
              <w:t>13</w:t>
            </w:r>
          </w:p>
        </w:tc>
        <w:tc>
          <w:tcPr>
            <w:tcW w:w="10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69"/>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A-8: Adjusted EBITDA and Cash Available for Distribution Drop Downs</w:t>
      </w:r>
    </w:p>
    <w:p>
      <w:pPr>
        <w:spacing w:after="0" w:line="382"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0" w:type="dxa"/>
            <w:vAlign w:val="bottom"/>
          </w:tcPr>
          <w:p>
            <w:pPr>
              <w:jc w:val="center"/>
              <w:ind w:left="1074"/>
              <w:spacing w:after="0"/>
              <w:rPr>
                <w:sz w:val="20"/>
                <w:szCs w:val="20"/>
                <w:color w:val="auto"/>
              </w:rPr>
            </w:pPr>
            <w:r>
              <w:rPr>
                <w:rFonts w:ascii="Arial" w:cs="Arial" w:eastAsia="Arial" w:hAnsi="Arial"/>
                <w:sz w:val="18"/>
                <w:szCs w:val="18"/>
                <w:b w:val="1"/>
                <w:bCs w:val="1"/>
                <w:color w:val="auto"/>
                <w:w w:val="89"/>
              </w:rPr>
              <w:t>August 2017</w:t>
            </w:r>
          </w:p>
        </w:tc>
      </w:tr>
      <w:tr>
        <w:trPr>
          <w:trHeight w:val="216"/>
        </w:trPr>
        <w:tc>
          <w:tcPr>
            <w:tcW w:w="4960" w:type="dxa"/>
            <w:vAlign w:val="bottom"/>
          </w:tcPr>
          <w:p>
            <w:pPr>
              <w:spacing w:after="0"/>
              <w:rPr>
                <w:sz w:val="18"/>
                <w:szCs w:val="18"/>
                <w:color w:val="auto"/>
              </w:rPr>
            </w:pPr>
          </w:p>
        </w:tc>
        <w:tc>
          <w:tcPr>
            <w:tcW w:w="2400" w:type="dxa"/>
            <w:vAlign w:val="bottom"/>
          </w:tcPr>
          <w:p>
            <w:pPr>
              <w:jc w:val="center"/>
              <w:ind w:left="1074"/>
              <w:spacing w:after="0"/>
              <w:rPr>
                <w:sz w:val="20"/>
                <w:szCs w:val="20"/>
                <w:color w:val="auto"/>
              </w:rPr>
            </w:pPr>
            <w:r>
              <w:rPr>
                <w:rFonts w:ascii="Arial" w:cs="Arial" w:eastAsia="Arial" w:hAnsi="Arial"/>
                <w:sz w:val="18"/>
                <w:szCs w:val="18"/>
                <w:b w:val="1"/>
                <w:bCs w:val="1"/>
                <w:color w:val="auto"/>
                <w:w w:val="91"/>
              </w:rPr>
              <w:t>Drop Down - 5</w:t>
            </w:r>
          </w:p>
        </w:tc>
      </w:tr>
      <w:tr>
        <w:trPr>
          <w:trHeight w:val="216"/>
        </w:trPr>
        <w:tc>
          <w:tcPr>
            <w:tcW w:w="4960" w:type="dxa"/>
            <w:vAlign w:val="bottom"/>
          </w:tcPr>
          <w:p>
            <w:pPr>
              <w:spacing w:after="0"/>
              <w:rPr>
                <w:sz w:val="18"/>
                <w:szCs w:val="18"/>
                <w:color w:val="auto"/>
              </w:rPr>
            </w:pPr>
          </w:p>
        </w:tc>
        <w:tc>
          <w:tcPr>
            <w:tcW w:w="2400" w:type="dxa"/>
            <w:vAlign w:val="bottom"/>
          </w:tcPr>
          <w:p>
            <w:pPr>
              <w:jc w:val="center"/>
              <w:ind w:left="1074"/>
              <w:spacing w:after="0"/>
              <w:rPr>
                <w:sz w:val="20"/>
                <w:szCs w:val="20"/>
                <w:color w:val="auto"/>
              </w:rPr>
            </w:pPr>
            <w:r>
              <w:rPr>
                <w:rFonts w:ascii="Arial" w:cs="Arial" w:eastAsia="Arial" w:hAnsi="Arial"/>
                <w:sz w:val="18"/>
                <w:szCs w:val="18"/>
                <w:b w:val="1"/>
                <w:bCs w:val="1"/>
                <w:color w:val="auto"/>
                <w:w w:val="90"/>
              </w:rPr>
              <w:t>Year Average</w:t>
            </w:r>
          </w:p>
        </w:tc>
      </w:tr>
      <w:tr>
        <w:trPr>
          <w:trHeight w:val="216"/>
        </w:trPr>
        <w:tc>
          <w:tcPr>
            <w:tcW w:w="4960" w:type="dxa"/>
            <w:vAlign w:val="bottom"/>
          </w:tcPr>
          <w:p>
            <w:pPr>
              <w:spacing w:after="0"/>
              <w:rPr>
                <w:sz w:val="18"/>
                <w:szCs w:val="18"/>
                <w:color w:val="auto"/>
              </w:rPr>
            </w:pPr>
          </w:p>
        </w:tc>
        <w:tc>
          <w:tcPr>
            <w:tcW w:w="2400" w:type="dxa"/>
            <w:vAlign w:val="bottom"/>
          </w:tcPr>
          <w:p>
            <w:pPr>
              <w:jc w:val="center"/>
              <w:ind w:left="1074"/>
              <w:spacing w:after="0"/>
              <w:rPr>
                <w:sz w:val="20"/>
                <w:szCs w:val="20"/>
                <w:color w:val="auto"/>
              </w:rPr>
            </w:pPr>
            <w:r>
              <w:rPr>
                <w:rFonts w:ascii="Arial" w:cs="Arial" w:eastAsia="Arial" w:hAnsi="Arial"/>
                <w:sz w:val="18"/>
                <w:szCs w:val="18"/>
                <w:b w:val="1"/>
                <w:bCs w:val="1"/>
                <w:color w:val="auto"/>
                <w:w w:val="92"/>
              </w:rPr>
              <w:t>from 2018-</w:t>
            </w:r>
          </w:p>
        </w:tc>
      </w:tr>
      <w:tr>
        <w:trPr>
          <w:trHeight w:val="234"/>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2400" w:type="dxa"/>
            <w:vAlign w:val="bottom"/>
          </w:tcPr>
          <w:p>
            <w:pPr>
              <w:jc w:val="center"/>
              <w:ind w:left="1074"/>
              <w:spacing w:after="0"/>
              <w:rPr>
                <w:sz w:val="20"/>
                <w:szCs w:val="20"/>
                <w:color w:val="auto"/>
              </w:rPr>
            </w:pPr>
            <w:r>
              <w:rPr>
                <w:rFonts w:ascii="Arial" w:cs="Arial" w:eastAsia="Arial" w:hAnsi="Arial"/>
                <w:sz w:val="18"/>
                <w:szCs w:val="18"/>
                <w:b w:val="1"/>
                <w:bCs w:val="1"/>
                <w:color w:val="auto"/>
                <w:w w:val="89"/>
              </w:rPr>
              <w:t>2022</w:t>
            </w:r>
          </w:p>
        </w:tc>
      </w:tr>
      <w:tr>
        <w:trPr>
          <w:trHeight w:val="27"/>
        </w:trPr>
        <w:tc>
          <w:tcPr>
            <w:tcW w:w="4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37"/>
        </w:trPr>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7"/>
        </w:trPr>
        <w:tc>
          <w:tcPr>
            <w:tcW w:w="4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37"/>
        </w:trPr>
        <w:tc>
          <w:tcPr>
            <w:tcW w:w="49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Distributions to non-controlling interests acquired</w:t>
            </w: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7"/>
        </w:trPr>
        <w:tc>
          <w:tcPr>
            <w:tcW w:w="4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Estimated Cash Available for Distribution</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NRG Yield’s future results will be unaffected by unusual or non-recurring items.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EBITDA represents net income before interest (including loss on debt extinguishment), taxes, depreciation and amortization. EBITDA is presented because NRG Yield considers it an important supplemental measure of its performance and believes debt and equity holders frequently use EBITDA to analyze operating performance and debt service capacity. EBITDA has limitations as an analytical tool,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3"/>
          <w:szCs w:val="23"/>
          <w:color w:val="auto"/>
          <w:vertAlign w:val="superscript"/>
        </w:rPr>
      </w:pPr>
      <w:r>
        <w:rPr>
          <w:rFonts w:ascii="Arial" w:cs="Arial" w:eastAsia="Arial" w:hAnsi="Arial"/>
          <w:sz w:val="13"/>
          <w:szCs w:val="13"/>
          <w:color w:val="auto"/>
        </w:rPr>
        <w:t>Reimbursement of network upgrades</w:t>
      </w:r>
    </w:p>
    <w:p>
      <w:pPr>
        <w:spacing w:after="0" w:line="59"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Adjustment to reflect debt service paid by the Utah solar assets prior to ownership by NRG Yield</w:t>
      </w:r>
    </w:p>
    <w:p>
      <w:pPr>
        <w:sectPr>
          <w:pgSz w:w="11900" w:h="16838" w:orient="portrait"/>
          <w:cols w:equalWidth="0" w:num="1">
            <w:col w:w="11420"/>
          </w:cols>
          <w:pgMar w:left="240" w:top="360" w:right="239"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60"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color w:val="auto"/>
        </w:rPr>
        <w:t>you should not consider it in isolation, or as a substitute for analysis of our operating results as reported under GAAP. Some of these limitations are:</w:t>
      </w:r>
    </w:p>
    <w:p>
      <w:pPr>
        <w:spacing w:after="0" w:line="3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in this industry may calculate EBITDA differently than NRG Yield does, limiting its usefulness as a comparative measure.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these limitations, EBITDA should not be considered as a measure of discretionary cash available to use to invest in the growth of NRG Yield’s business. NRG Yield compensates for these limitations by relying primarily on our GAAP results and using EBITDA and Adjusted EBITDA only supplementally. See the statements of cash flow included in the financial statements that are a part of this news release.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asset write offs and impairments; and factors which we do not consider indicative of future operating performance. The reader is encouraged to evaluate each adjustment and the reasons NRG Yield considers it appropriate for supplemental analysis. As an analytical tool, Adjusted EBITDA is subject to all of the limitations applicable to EBITDA. In addition, in evaluating Adjusted EBITDA, the reader should be aware that in the future NRG Yield may incur expenses similar to the adjustments in this news release.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dispositions or retirements of assets, any mark-to-market gains or losses from accounting for derivatives, adjustments to exclude the Adjusted EBITDA related to the non-controlling interest,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Available for Distribution (CAFD) is adjusted EBITDA plus cash distributions from unconsolidated affiliates, cash receipts from notes receivable, less cash distributions to noncontrolling interests, maintenance capital expenditures, pro-rata adjusted EBITDA from unconsolidated affiliates, cash interest paid, income taxes paid, principal amortization of indebtedness, and changes in prepaid and accrued capacity payments. Management believes cash available for distribution is a relevant supplemental measure of the Company’s ability to earn and distribute cash returns to investors.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cash available for distribution is useful to investors in evaluating our operating performance because securities analysts and other interested parties use such calculations as a measure of our ability to make quarterly distributions. In addition, cash available for distribution is used by our management team for determining future acquisitions and managing our growth. The GAAP measure most directly comparable to cash available for distribution is cash from operating activities.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However, cash available for distribution has limitations as an analytical tool because it does not include changes in operating assets and liabilities and excludes the effect of certain other cash flow items, all of which could have a material effect on our financial condition and results from operations. Cash available for distribution is a non GAAP measure and should not be considered an alternative to cash from operating activities or any other performance or liquidity measure determined in accordance with GAAP, nor is it indicative of funds available to fund our cash needs. In addition, our calculations of cash available for distribution are not necessarily comparable to cash available for distribution as calculated by other companies. Investors should not rely on these measures as a substitute for any GAAP measure, including cash from operating activities.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2019-12-07T19:05:23Z</dcterms:created>
  <dcterms:modified xsi:type="dcterms:W3CDTF">2019-12-07T19:05:23Z</dcterms:modified>
</cp:coreProperties>
</file>