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ONEAL E STANLEY</w:t>
              </w:r>
            </w:hyperlink>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vMerge w:val="continue"/>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CLEARWAY ENERGY, INC.</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09/01/2022</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5"/>
            <w:vMerge w:val="restart"/>
          </w:tcPr>
          <w:p>
            <w:pPr>
              <w:spacing w:after="0"/>
              <w:rPr>
                <w:sz w:val="20"/>
                <w:szCs w:val="20"/>
                <w:color w:val="auto"/>
              </w:rPr>
            </w:pPr>
            <w:r>
              <w:rPr>
                <w:rFonts w:ascii="Arial" w:cs="Arial" w:eastAsia="Arial" w:hAnsi="Arial"/>
                <w:sz w:val="17"/>
                <w:szCs w:val="17"/>
                <w:color w:val="0000FF"/>
              </w:rPr>
              <w:t>300 CARNEGIE CENTER, SUITE 300</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5"/>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7"/>
                <w:szCs w:val="17"/>
                <w:color w:val="0000FF"/>
              </w:rPr>
              <w:t>PRINCETON   NJ</w:t>
            </w: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21"/>
          </w:tcPr>
          <w:p>
            <w:pPr>
              <w:ind w:left="1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5"/>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4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5"/>
            <w:vMerge w:val="restart"/>
          </w:tcPr>
          <w:p>
            <w:pPr>
              <w:jc w:val="right"/>
              <w:ind w:right="55"/>
              <w:spacing w:after="0"/>
              <w:rPr>
                <w:sz w:val="20"/>
                <w:szCs w:val="20"/>
                <w:color w:val="auto"/>
              </w:rPr>
            </w:pPr>
            <w:r>
              <w:rPr>
                <w:rFonts w:ascii="Arial" w:cs="Arial" w:eastAsia="Arial" w:hAnsi="Arial"/>
                <w:sz w:val="17"/>
                <w:szCs w:val="17"/>
                <w:color w:val="0000FF"/>
              </w:rPr>
              <w:t>09/01/2022</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353</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22"/>
                <w:szCs w:val="22"/>
                <w:color w:val="auto"/>
              </w:rPr>
            </w:pPr>
          </w:p>
        </w:tc>
        <w:tc>
          <w:tcPr>
            <w:tcW w:w="1200" w:type="dxa"/>
            <w:vAlign w:val="bottom"/>
            <w:gridSpan w:val="2"/>
            <w:vMerge w:val="restart"/>
          </w:tcPr>
          <w:p>
            <w:pPr>
              <w:ind w:left="280"/>
              <w:spacing w:after="0"/>
              <w:rPr>
                <w:sz w:val="20"/>
                <w:szCs w:val="20"/>
                <w:color w:val="auto"/>
              </w:rPr>
            </w:pPr>
            <w:r>
              <w:rPr>
                <w:rFonts w:ascii="Arial" w:cs="Arial" w:eastAsia="Arial" w:hAnsi="Arial"/>
                <w:sz w:val="17"/>
                <w:szCs w:val="17"/>
                <w:color w:val="0000FF"/>
              </w:rPr>
              <w:t>43,732</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3,426 dividend equivalent rights that may only be settled in Class C Common Stock.</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09/06/2022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2337"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2022-09-06T15:29:00Z</dcterms:created>
  <dcterms:modified xsi:type="dcterms:W3CDTF">2022-09-06T15:29:00Z</dcterms:modified>
</cp:coreProperties>
</file>