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12</w:t>
      </w:r>
    </w:p>
    <w:p>
      <w:pPr>
        <w:sectPr>
          <w:pgSz w:w="11900" w:h="16838" w:orient="portrait"/>
          <w:cols w:equalWidth="0" w:num="1">
            <w:col w:w="9739"/>
          </w:cols>
          <w:pgMar w:left="720" w:top="744" w:right="1440" w:bottom="1440" w:gutter="0" w:footer="0" w:header="0"/>
        </w:sectPr>
      </w:pPr>
    </w:p>
    <w:p>
      <w:pPr>
        <w:spacing w:after="0" w:line="255"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7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Washington, D.C. 20549</w:t>
      </w:r>
    </w:p>
    <w:p>
      <w:pPr>
        <w:spacing w:after="0" w:line="25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5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3)*</w:t>
      </w:r>
    </w:p>
    <w:p>
      <w:pPr>
        <w:spacing w:after="0" w:line="255"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Clearway Energy,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55" w:lineRule="exact"/>
        <w:rPr>
          <w:sz w:val="24"/>
          <w:szCs w:val="24"/>
          <w:color w:val="auto"/>
        </w:rPr>
      </w:pPr>
    </w:p>
    <w:p>
      <w:pPr>
        <w:ind w:left="2560"/>
        <w:spacing w:after="0"/>
        <w:rPr>
          <w:sz w:val="20"/>
          <w:szCs w:val="20"/>
          <w:color w:val="auto"/>
        </w:rPr>
      </w:pPr>
      <w:r>
        <w:rPr>
          <w:rFonts w:ascii="Courier New" w:cs="Courier New" w:eastAsia="Courier New" w:hAnsi="Courier New"/>
          <w:sz w:val="18"/>
          <w:szCs w:val="18"/>
          <w:color w:val="auto"/>
        </w:rPr>
        <w:t>Class C Common Stock, par value $0.01</w:t>
      </w:r>
    </w:p>
    <w:p>
      <w:pPr>
        <w:spacing w:after="0" w:line="255"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5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18539C204</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2022</w:t>
      </w:r>
    </w:p>
    <w:p>
      <w:pPr>
        <w:spacing w:after="0" w:line="12"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7" w:lineRule="exact"/>
        <w:rPr>
          <w:sz w:val="24"/>
          <w:szCs w:val="24"/>
          <w:color w:val="auto"/>
        </w:rPr>
      </w:pPr>
    </w:p>
    <w:p>
      <w:pPr>
        <w:ind w:left="100" w:right="779"/>
        <w:spacing w:after="0" w:line="251"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8" w:lineRule="exact"/>
        <w:rPr>
          <w:sz w:val="24"/>
          <w:szCs w:val="24"/>
          <w:color w:val="auto"/>
        </w:rPr>
      </w:pPr>
    </w:p>
    <w:p>
      <w:pPr>
        <w:jc w:val="both"/>
        <w:ind w:left="100" w:right="7799" w:firstLine="8"/>
        <w:spacing w:after="0" w:line="211"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60" w:lineRule="exact"/>
        <w:rPr>
          <w:sz w:val="24"/>
          <w:szCs w:val="24"/>
          <w:color w:val="auto"/>
        </w:rPr>
      </w:pPr>
    </w:p>
    <w:p>
      <w:pPr>
        <w:ind w:left="100" w:right="9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left="100" w:right="67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215900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744" w:right="1440" w:bottom="1440" w:gutter="0" w:footer="0" w:header="0"/>
          <w:type w:val="continuous"/>
        </w:sectPr>
      </w:pPr>
    </w:p>
    <w:bookmarkStart w:id="1" w:name="page2"/>
    <w:bookmarkEnd w:id="1"/>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12</w:t>
      </w:r>
    </w:p>
    <w:p>
      <w:pPr>
        <w:spacing w:after="0" w:line="257" w:lineRule="exact"/>
        <w:rPr>
          <w:sz w:val="20"/>
          <w:szCs w:val="20"/>
          <w:color w:val="auto"/>
        </w:rPr>
      </w:pPr>
    </w:p>
    <w:p>
      <w:pPr>
        <w:ind w:left="660" w:right="5739" w:hanging="552"/>
        <w:spacing w:after="0" w:line="572" w:lineRule="auto"/>
        <w:tabs>
          <w:tab w:leader="none" w:pos="65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Limited</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080" w:hanging="422"/>
        <w:spacing w:after="0"/>
        <w:tabs>
          <w:tab w:leader="none" w:pos="10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660" w:right="5199" w:hanging="552"/>
        <w:spacing w:after="0" w:line="537" w:lineRule="auto"/>
        <w:tabs>
          <w:tab w:leader="none" w:pos="65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Australian Corporation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200" w:right="669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200" w:right="649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00" w:right="615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200" w:right="5959" w:hanging="542"/>
        <w:spacing w:after="0" w:line="537" w:lineRule="auto"/>
        <w:tabs>
          <w:tab w:leader="none" w:pos="119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60" w:right="2619" w:hanging="552"/>
        <w:spacing w:after="0" w:line="537" w:lineRule="auto"/>
        <w:tabs>
          <w:tab w:leader="none" w:pos="64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670,896</w:t>
      </w:r>
    </w:p>
    <w:p>
      <w:pPr>
        <w:spacing w:after="0" w:line="5" w:lineRule="exact"/>
        <w:rPr>
          <w:rFonts w:ascii="Courier New" w:cs="Courier New" w:eastAsia="Courier New" w:hAnsi="Courier New"/>
          <w:sz w:val="18"/>
          <w:szCs w:val="18"/>
          <w:color w:val="auto"/>
        </w:rPr>
      </w:pPr>
    </w:p>
    <w:p>
      <w:pPr>
        <w:ind w:left="660" w:right="3799" w:hanging="552"/>
        <w:spacing w:after="0" w:line="251" w:lineRule="auto"/>
        <w:tabs>
          <w:tab w:leader="none" w:pos="6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880" w:hanging="222"/>
        <w:spacing w:after="0"/>
        <w:tabs>
          <w:tab w:leader="none" w:pos="8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p>
      <w:pPr>
        <w:spacing w:after="0" w:line="257" w:lineRule="exact"/>
        <w:rPr>
          <w:rFonts w:ascii="Courier New" w:cs="Courier New" w:eastAsia="Courier New" w:hAnsi="Courier New"/>
          <w:sz w:val="18"/>
          <w:szCs w:val="18"/>
          <w:color w:val="auto"/>
        </w:rPr>
      </w:pPr>
    </w:p>
    <w:p>
      <w:pPr>
        <w:ind w:left="660" w:right="6499" w:hanging="552"/>
        <w:spacing w:after="0" w:line="583" w:lineRule="auto"/>
        <w:tabs>
          <w:tab w:leader="none" w:pos="65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47625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879" w:right="1440" w:bottom="1440" w:gutter="0" w:footer="0" w:header="0"/>
        </w:sectPr>
      </w:pPr>
    </w:p>
    <w:bookmarkStart w:id="2" w:name="page3"/>
    <w:bookmarkEnd w:id="2"/>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12</w:t>
      </w:r>
    </w:p>
    <w:p>
      <w:pPr>
        <w:spacing w:after="0" w:line="255" w:lineRule="exact"/>
        <w:rPr>
          <w:sz w:val="20"/>
          <w:szCs w:val="20"/>
          <w:color w:val="auto"/>
        </w:rPr>
      </w:pP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55" w:lineRule="exact"/>
        <w:rPr>
          <w:rFonts w:ascii="Courier New" w:cs="Courier New" w:eastAsia="Courier New" w:hAnsi="Courier New"/>
          <w:sz w:val="18"/>
          <w:szCs w:val="18"/>
          <w:color w:val="auto"/>
        </w:rPr>
      </w:pPr>
    </w:p>
    <w:p>
      <w:pPr>
        <w:ind w:left="6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RARE Infrastructure International Pty Ltd.</w:t>
      </w:r>
    </w:p>
    <w:p>
      <w:pPr>
        <w:spacing w:after="0" w:line="255"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080" w:hanging="422"/>
        <w:spacing w:after="0"/>
        <w:tabs>
          <w:tab w:leader="none" w:pos="10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660" w:right="5199" w:hanging="552"/>
        <w:spacing w:after="0" w:line="537" w:lineRule="auto"/>
        <w:tabs>
          <w:tab w:leader="none" w:pos="65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Australian Corporation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1200" w:right="669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200" w:right="649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00" w:right="615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200" w:right="5959" w:hanging="542"/>
        <w:spacing w:after="0" w:line="537" w:lineRule="auto"/>
        <w:tabs>
          <w:tab w:leader="none" w:pos="119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00" w:right="2619" w:hanging="492"/>
        <w:spacing w:after="0" w:line="5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1,085,499</w:t>
      </w:r>
    </w:p>
    <w:p>
      <w:pPr>
        <w:spacing w:after="0" w:line="5" w:lineRule="exact"/>
        <w:rPr>
          <w:rFonts w:ascii="Courier New" w:cs="Courier New" w:eastAsia="Courier New" w:hAnsi="Courier New"/>
          <w:sz w:val="18"/>
          <w:szCs w:val="18"/>
          <w:color w:val="auto"/>
        </w:rPr>
      </w:pPr>
    </w:p>
    <w:p>
      <w:pPr>
        <w:ind w:left="660" w:right="3799" w:hanging="552"/>
        <w:spacing w:after="0" w:line="251" w:lineRule="auto"/>
        <w:tabs>
          <w:tab w:leader="none" w:pos="65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880" w:hanging="222"/>
        <w:spacing w:after="0"/>
        <w:tabs>
          <w:tab w:leader="none" w:pos="8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57" w:lineRule="exact"/>
        <w:rPr>
          <w:rFonts w:ascii="Courier New" w:cs="Courier New" w:eastAsia="Courier New" w:hAnsi="Courier New"/>
          <w:sz w:val="18"/>
          <w:szCs w:val="18"/>
          <w:color w:val="auto"/>
        </w:rPr>
      </w:pPr>
    </w:p>
    <w:p>
      <w:pPr>
        <w:ind w:left="660" w:right="6499" w:hanging="552"/>
        <w:spacing w:after="0" w:line="583" w:lineRule="auto"/>
        <w:tabs>
          <w:tab w:leader="none" w:pos="65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2362200</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122" w:right="1440" w:bottom="1440" w:gutter="0" w:footer="0" w:header="0"/>
        </w:sectPr>
      </w:pPr>
    </w:p>
    <w:bookmarkStart w:id="3" w:name="page4"/>
    <w:bookmarkEnd w:id="3"/>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12</w:t>
      </w:r>
    </w:p>
    <w:p>
      <w:pPr>
        <w:spacing w:after="0" w:line="255" w:lineRule="exact"/>
        <w:rPr>
          <w:sz w:val="20"/>
          <w:szCs w:val="20"/>
          <w:color w:val="auto"/>
        </w:rPr>
      </w:pPr>
    </w:p>
    <w:p>
      <w:pPr>
        <w:ind w:left="1040" w:hanging="532"/>
        <w:spacing w:after="0"/>
        <w:tabs>
          <w:tab w:leader="none" w:pos="10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55"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RARE Infrastructure (North America) Pty Ltd</w:t>
      </w:r>
    </w:p>
    <w:p>
      <w:pPr>
        <w:spacing w:after="0" w:line="255"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480" w:hanging="422"/>
        <w:spacing w:after="0"/>
        <w:tabs>
          <w:tab w:leader="none" w:pos="14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13"/>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1060" w:right="5199" w:hanging="552"/>
        <w:spacing w:after="0" w:line="537" w:lineRule="auto"/>
        <w:tabs>
          <w:tab w:leader="none" w:pos="105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Australian Corporation</w:t>
      </w:r>
    </w:p>
    <w:p>
      <w:pPr>
        <w:spacing w:after="0" w:line="200" w:lineRule="exact"/>
        <w:rPr>
          <w:sz w:val="20"/>
          <w:szCs w:val="20"/>
          <w:color w:val="auto"/>
        </w:rPr>
      </w:pPr>
    </w:p>
    <w:p>
      <w:pPr>
        <w:spacing w:after="0" w:line="265" w:lineRule="exact"/>
        <w:rPr>
          <w:sz w:val="20"/>
          <w:szCs w:val="20"/>
          <w:color w:val="auto"/>
        </w:rPr>
      </w:pPr>
    </w:p>
    <w:p>
      <w:pPr>
        <w:ind w:left="1600" w:right="669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600" w:right="649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600" w:right="615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600" w:right="5959" w:hanging="542"/>
        <w:spacing w:after="0" w:line="537" w:lineRule="auto"/>
        <w:tabs>
          <w:tab w:leader="none" w:pos="159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1060" w:right="2619" w:hanging="552"/>
        <w:spacing w:after="0" w:line="537" w:lineRule="auto"/>
        <w:tabs>
          <w:tab w:leader="none" w:pos="104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577,474</w:t>
      </w:r>
    </w:p>
    <w:p>
      <w:pPr>
        <w:spacing w:after="0" w:line="5" w:lineRule="exact"/>
        <w:rPr>
          <w:rFonts w:ascii="Courier New" w:cs="Courier New" w:eastAsia="Courier New" w:hAnsi="Courier New"/>
          <w:sz w:val="18"/>
          <w:szCs w:val="18"/>
          <w:color w:val="auto"/>
        </w:rPr>
      </w:pPr>
    </w:p>
    <w:p>
      <w:pPr>
        <w:ind w:left="1060" w:right="3799" w:hanging="552"/>
        <w:spacing w:after="0" w:line="251" w:lineRule="auto"/>
        <w:tabs>
          <w:tab w:leader="none" w:pos="105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1280" w:hanging="222"/>
        <w:spacing w:after="0"/>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spacing w:after="0" w:line="257" w:lineRule="exact"/>
        <w:rPr>
          <w:rFonts w:ascii="Courier New" w:cs="Courier New" w:eastAsia="Courier New" w:hAnsi="Courier New"/>
          <w:sz w:val="18"/>
          <w:szCs w:val="18"/>
          <w:color w:val="auto"/>
        </w:rPr>
      </w:pPr>
    </w:p>
    <w:p>
      <w:pPr>
        <w:ind w:left="1060" w:right="6499" w:hanging="552"/>
        <w:spacing w:after="0" w:line="583" w:lineRule="auto"/>
        <w:tabs>
          <w:tab w:leader="none" w:pos="105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2516505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865" w:right="1440" w:bottom="1440" w:gutter="0" w:footer="0" w:header="0"/>
        </w:sectPr>
      </w:pPr>
    </w:p>
    <w:bookmarkStart w:id="4" w:name="page5"/>
    <w:bookmarkEnd w:id="4"/>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12</w:t>
      </w:r>
    </w:p>
    <w:p>
      <w:pPr>
        <w:spacing w:after="0" w:line="257" w:lineRule="exact"/>
        <w:rPr>
          <w:sz w:val="20"/>
          <w:szCs w:val="20"/>
          <w:color w:val="auto"/>
        </w:rPr>
      </w:pPr>
    </w:p>
    <w:p>
      <w:pPr>
        <w:ind w:left="1060" w:right="6059" w:hanging="552"/>
        <w:spacing w:after="0" w:line="572" w:lineRule="auto"/>
        <w:tabs>
          <w:tab w:leader="none" w:pos="105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LLC</w:t>
      </w:r>
    </w:p>
    <w:p>
      <w:pPr>
        <w:ind w:left="1040" w:hanging="532"/>
        <w:spacing w:after="0"/>
        <w:tabs>
          <w:tab w:leader="none" w:pos="10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1480" w:hanging="422"/>
        <w:spacing w:after="0"/>
        <w:tabs>
          <w:tab w:leader="none" w:pos="14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4" w:lineRule="exact"/>
        <w:rPr>
          <w:rFonts w:ascii="Courier New" w:cs="Courier New" w:eastAsia="Courier New" w:hAnsi="Courier New"/>
          <w:sz w:val="18"/>
          <w:szCs w:val="18"/>
          <w:color w:val="auto"/>
        </w:rPr>
      </w:pPr>
    </w:p>
    <w:p>
      <w:pPr>
        <w:spacing w:after="0"/>
        <w:tabs>
          <w:tab w:leader="none" w:pos="0" w:val="left"/>
        </w:tabs>
        <w:numPr>
          <w:ilvl w:val="1"/>
          <w:numId w:val="18"/>
        </w:numPr>
        <w:rPr>
          <w:rFonts w:ascii="Courier New" w:cs="Courier New" w:eastAsia="Courier New" w:hAnsi="Courier New"/>
          <w:sz w:val="18"/>
          <w:szCs w:val="18"/>
          <w:color w:val="auto"/>
        </w:rPr>
      </w:pPr>
    </w:p>
    <w:p>
      <w:pPr>
        <w:spacing w:after="0" w:line="253"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1060" w:right="5199" w:hanging="552"/>
        <w:spacing w:after="0" w:line="537" w:lineRule="auto"/>
        <w:tabs>
          <w:tab w:leader="none" w:pos="105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0"/>
          <w:szCs w:val="20"/>
          <w:color w:val="auto"/>
        </w:rPr>
      </w:pPr>
    </w:p>
    <w:p>
      <w:pPr>
        <w:spacing w:after="0" w:line="265" w:lineRule="exact"/>
        <w:rPr>
          <w:sz w:val="20"/>
          <w:szCs w:val="20"/>
          <w:color w:val="auto"/>
        </w:rPr>
      </w:pPr>
    </w:p>
    <w:p>
      <w:pPr>
        <w:ind w:left="1600" w:right="669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1600" w:right="649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600" w:right="615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600" w:right="5959" w:hanging="542"/>
        <w:spacing w:after="0" w:line="537" w:lineRule="auto"/>
        <w:tabs>
          <w:tab w:leader="none" w:pos="159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1060" w:right="2619" w:hanging="552"/>
        <w:spacing w:after="0" w:line="537" w:lineRule="auto"/>
        <w:tabs>
          <w:tab w:leader="none" w:pos="104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11,966</w:t>
      </w:r>
    </w:p>
    <w:p>
      <w:pPr>
        <w:spacing w:after="0" w:line="5" w:lineRule="exact"/>
        <w:rPr>
          <w:rFonts w:ascii="Courier New" w:cs="Courier New" w:eastAsia="Courier New" w:hAnsi="Courier New"/>
          <w:sz w:val="18"/>
          <w:szCs w:val="18"/>
          <w:color w:val="auto"/>
        </w:rPr>
      </w:pPr>
    </w:p>
    <w:p>
      <w:pPr>
        <w:ind w:left="1060" w:right="3799" w:hanging="552"/>
        <w:spacing w:after="0" w:line="251" w:lineRule="auto"/>
        <w:tabs>
          <w:tab w:leader="none" w:pos="105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6" w:lineRule="exact"/>
        <w:rPr>
          <w:rFonts w:ascii="Courier New" w:cs="Courier New" w:eastAsia="Courier New" w:hAnsi="Courier New"/>
          <w:sz w:val="18"/>
          <w:szCs w:val="18"/>
          <w:color w:val="auto"/>
        </w:rPr>
      </w:pPr>
    </w:p>
    <w:p>
      <w:pPr>
        <w:ind w:left="1040" w:hanging="532"/>
        <w:spacing w:after="0"/>
        <w:tabs>
          <w:tab w:leader="none" w:pos="10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rFonts w:ascii="Courier New" w:cs="Courier New" w:eastAsia="Courier New" w:hAnsi="Courier New"/>
          <w:sz w:val="18"/>
          <w:szCs w:val="18"/>
          <w:color w:val="auto"/>
        </w:rPr>
      </w:pPr>
    </w:p>
    <w:p>
      <w:pPr>
        <w:ind w:left="1280" w:hanging="222"/>
        <w:spacing w:after="0"/>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57" w:lineRule="exact"/>
        <w:rPr>
          <w:rFonts w:ascii="Courier New" w:cs="Courier New" w:eastAsia="Courier New" w:hAnsi="Courier New"/>
          <w:sz w:val="18"/>
          <w:szCs w:val="18"/>
          <w:color w:val="auto"/>
        </w:rPr>
      </w:pPr>
    </w:p>
    <w:p>
      <w:pPr>
        <w:ind w:left="1060" w:right="6499" w:hanging="552"/>
        <w:spacing w:after="0" w:line="583" w:lineRule="auto"/>
        <w:tabs>
          <w:tab w:leader="none" w:pos="105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2362200</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108" w:right="1440" w:bottom="1440" w:gutter="0" w:footer="0" w:header="0"/>
        </w:sectPr>
      </w:pPr>
    </w:p>
    <w:bookmarkStart w:id="5" w:name="page6"/>
    <w:bookmarkEnd w:id="5"/>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12</w:t>
      </w:r>
    </w:p>
    <w:p>
      <w:pPr>
        <w:sectPr>
          <w:pgSz w:w="11900" w:h="16838" w:orient="portrait"/>
          <w:cols w:equalWidth="0" w:num="1">
            <w:col w:w="10139"/>
          </w:cols>
          <w:pgMar w:left="320" w:top="1108" w:right="1440" w:bottom="1440" w:gutter="0" w:footer="0" w:header="0"/>
        </w:sectPr>
      </w:pP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1.</w:t>
      </w:r>
    </w:p>
    <w:p>
      <w:pPr>
        <w:spacing w:after="0" w:line="257" w:lineRule="exact"/>
        <w:rPr>
          <w:sz w:val="20"/>
          <w:szCs w:val="20"/>
          <w:color w:val="auto"/>
        </w:rPr>
      </w:pPr>
    </w:p>
    <w:p>
      <w:pPr>
        <w:ind w:left="1100" w:right="6759" w:hanging="592"/>
        <w:spacing w:after="0" w:line="251" w:lineRule="auto"/>
        <w:tabs>
          <w:tab w:leader="none" w:pos="11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Clearway Energy, Inc.</w:t>
      </w:r>
    </w:p>
    <w:p>
      <w:pPr>
        <w:spacing w:after="0" w:line="246" w:lineRule="exact"/>
        <w:rPr>
          <w:rFonts w:ascii="Courier New" w:cs="Courier New" w:eastAsia="Courier New" w:hAnsi="Courier New"/>
          <w:sz w:val="18"/>
          <w:szCs w:val="18"/>
          <w:color w:val="auto"/>
        </w:rPr>
      </w:pPr>
    </w:p>
    <w:p>
      <w:pPr>
        <w:ind w:left="1160" w:hanging="652"/>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300 Carnegie Center, Suite 300</w:t>
      </w:r>
    </w:p>
    <w:p>
      <w:pPr>
        <w:ind w:left="1200"/>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1160" w:hanging="652"/>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41" w:lineRule="exact"/>
        <w:rPr>
          <w:rFonts w:ascii="Courier New" w:cs="Courier New" w:eastAsia="Courier New" w:hAnsi="Courier New"/>
          <w:sz w:val="18"/>
          <w:szCs w:val="18"/>
          <w:color w:val="auto"/>
        </w:rPr>
      </w:pPr>
    </w:p>
    <w:p>
      <w:pPr>
        <w:ind w:left="1620" w:hanging="424"/>
        <w:spacing w:after="0"/>
        <w:tabs>
          <w:tab w:leader="none" w:pos="16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ClearBridge Investments Limited</w:t>
      </w:r>
    </w:p>
    <w:p>
      <w:pPr>
        <w:spacing w:after="0" w:line="24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(ii)ClearBridge RARE Infrastructure International Pty Ltd</w:t>
      </w:r>
    </w:p>
    <w:p>
      <w:pPr>
        <w:spacing w:after="0" w:line="24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(iii)ClearBridge RARE Infrastructure (North America) Pty Ltd</w:t>
      </w:r>
    </w:p>
    <w:p>
      <w:pPr>
        <w:spacing w:after="0" w:line="251"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(iv)ClearBridge Investments, LLC</w:t>
      </w:r>
    </w:p>
    <w:p>
      <w:pPr>
        <w:spacing w:after="0" w:line="255" w:lineRule="exact"/>
        <w:rPr>
          <w:sz w:val="20"/>
          <w:szCs w:val="20"/>
          <w:color w:val="auto"/>
        </w:rPr>
      </w:pPr>
    </w:p>
    <w:p>
      <w:pPr>
        <w:ind w:left="1160" w:hanging="652"/>
        <w:spacing w:after="0"/>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4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 (ii), and (iii):</w:t>
      </w:r>
    </w:p>
    <w:p>
      <w:pPr>
        <w:ind w:left="1200"/>
        <w:spacing w:after="0" w:line="238" w:lineRule="auto"/>
        <w:rPr>
          <w:sz w:val="20"/>
          <w:szCs w:val="20"/>
          <w:color w:val="auto"/>
        </w:rPr>
      </w:pPr>
      <w:r>
        <w:rPr>
          <w:rFonts w:ascii="Courier New" w:cs="Courier New" w:eastAsia="Courier New" w:hAnsi="Courier New"/>
          <w:sz w:val="18"/>
          <w:szCs w:val="18"/>
          <w:color w:val="auto"/>
        </w:rPr>
        <w:t>Level 13, 35 Clarence Street</w:t>
      </w:r>
    </w:p>
    <w:p>
      <w:pPr>
        <w:ind w:left="1200"/>
        <w:spacing w:after="0" w:line="238" w:lineRule="auto"/>
        <w:rPr>
          <w:sz w:val="20"/>
          <w:szCs w:val="20"/>
          <w:color w:val="auto"/>
        </w:rPr>
      </w:pPr>
      <w:r>
        <w:rPr>
          <w:rFonts w:ascii="Courier New" w:cs="Courier New" w:eastAsia="Courier New" w:hAnsi="Courier New"/>
          <w:sz w:val="18"/>
          <w:szCs w:val="18"/>
          <w:color w:val="auto"/>
        </w:rPr>
        <w:t>Sydney, C3 2000</w:t>
      </w:r>
    </w:p>
    <w:p>
      <w:pPr>
        <w:spacing w:after="0" w:line="241"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(iv):</w:t>
      </w:r>
    </w:p>
    <w:p>
      <w:pPr>
        <w:ind w:left="1200"/>
        <w:spacing w:after="0" w:line="185" w:lineRule="auto"/>
        <w:rPr>
          <w:sz w:val="20"/>
          <w:szCs w:val="20"/>
          <w:color w:val="auto"/>
        </w:rPr>
      </w:pPr>
      <w:r>
        <w:rPr>
          <w:rFonts w:ascii="Courier New" w:cs="Courier New" w:eastAsia="Courier New" w:hAnsi="Courier New"/>
          <w:sz w:val="17"/>
          <w:szCs w:val="17"/>
          <w:color w:val="auto"/>
        </w:rPr>
        <w:t>620 8</w:t>
      </w:r>
      <w:r>
        <w:rPr>
          <w:rFonts w:ascii="Courier New" w:cs="Courier New" w:eastAsia="Courier New" w:hAnsi="Courier New"/>
          <w:sz w:val="28"/>
          <w:szCs w:val="28"/>
          <w:color w:val="auto"/>
          <w:vertAlign w:val="superscript"/>
        </w:rPr>
        <w:t>th</w:t>
      </w:r>
      <w:r>
        <w:rPr>
          <w:rFonts w:ascii="Courier New" w:cs="Courier New" w:eastAsia="Courier New" w:hAnsi="Courier New"/>
          <w:sz w:val="17"/>
          <w:szCs w:val="17"/>
          <w:color w:val="auto"/>
        </w:rPr>
        <w:t xml:space="preserve"> Ave.</w:t>
      </w:r>
    </w:p>
    <w:p>
      <w:pPr>
        <w:ind w:left="1200"/>
        <w:spacing w:after="0" w:line="238" w:lineRule="auto"/>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60" w:hanging="652"/>
        <w:spacing w:after="0"/>
        <w:tabs>
          <w:tab w:leader="none" w:pos="11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(i), (ii), and (iii): Australian Corporation</w:t>
      </w:r>
    </w:p>
    <w:p>
      <w:pPr>
        <w:ind w:left="1200"/>
        <w:spacing w:after="0" w:line="238" w:lineRule="auto"/>
        <w:rPr>
          <w:sz w:val="20"/>
          <w:szCs w:val="20"/>
          <w:color w:val="auto"/>
        </w:rPr>
      </w:pPr>
      <w:r>
        <w:rPr>
          <w:rFonts w:ascii="Courier New" w:cs="Courier New" w:eastAsia="Courier New" w:hAnsi="Courier New"/>
          <w:sz w:val="18"/>
          <w:szCs w:val="18"/>
          <w:color w:val="auto"/>
        </w:rPr>
        <w:t>(iv): Delaware</w:t>
      </w:r>
    </w:p>
    <w:p>
      <w:pPr>
        <w:spacing w:after="0" w:line="255" w:lineRule="exact"/>
        <w:rPr>
          <w:sz w:val="20"/>
          <w:szCs w:val="20"/>
          <w:color w:val="auto"/>
        </w:rPr>
      </w:pPr>
    </w:p>
    <w:p>
      <w:pPr>
        <w:ind w:left="1160" w:hanging="652"/>
        <w:spacing w:after="0"/>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Common Stock, Class C, par value $0.01 per share</w:t>
      </w:r>
    </w:p>
    <w:p>
      <w:pPr>
        <w:spacing w:after="0" w:line="257" w:lineRule="exact"/>
        <w:rPr>
          <w:sz w:val="20"/>
          <w:szCs w:val="20"/>
          <w:color w:val="auto"/>
        </w:rPr>
      </w:pPr>
    </w:p>
    <w:p>
      <w:pPr>
        <w:ind w:left="1100" w:right="7679" w:hanging="592"/>
        <w:spacing w:after="0" w:line="537" w:lineRule="auto"/>
        <w:tabs>
          <w:tab w:leader="none" w:pos="11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108" w:right="1440" w:bottom="1440" w:gutter="0" w:footer="0" w:header="0"/>
          <w:type w:val="continuous"/>
        </w:sectPr>
      </w:pPr>
    </w:p>
    <w:bookmarkStart w:id="6" w:name="page7"/>
    <w:bookmarkEnd w:id="6"/>
    <w:p>
      <w:pPr>
        <w:ind w:left="500" w:right="1400" w:hanging="499"/>
        <w:spacing w:after="0" w:line="209" w:lineRule="exact"/>
        <w:rPr>
          <w:sz w:val="20"/>
          <w:szCs w:val="20"/>
          <w:color w:val="auto"/>
        </w:rPr>
      </w:pPr>
      <w:r>
        <w:rPr>
          <w:rFonts w:ascii="Courier New" w:cs="Courier New" w:eastAsia="Courier New" w:hAnsi="Courier New"/>
          <w:sz w:val="18"/>
          <w:szCs w:val="18"/>
          <w:color w:val="auto"/>
        </w:rPr>
        <w:t>CUSIP NO.</w:t>
      </w:r>
      <w:r>
        <w:rPr>
          <w:sz w:val="20"/>
          <w:szCs w:val="20"/>
          <w:color w:val="auto"/>
        </w:rPr>
        <w:t xml:space="preserve"> </w:t>
      </w:r>
      <w:r>
        <w:rPr>
          <w:rFonts w:ascii="Courier New" w:cs="Courier New" w:eastAsia="Courier New" w:hAnsi="Courier New"/>
          <w:sz w:val="18"/>
          <w:szCs w:val="18"/>
          <w:color w:val="auto"/>
        </w:rPr>
        <w:t>18539C204 13G Page 7 of 12 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w:t>
      </w:r>
    </w:p>
    <w:p>
      <w:pPr>
        <w:spacing w:after="0" w:line="12"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12" w:lineRule="exact"/>
        <w:rPr>
          <w:sz w:val="20"/>
          <w:szCs w:val="20"/>
          <w:color w:val="auto"/>
        </w:rPr>
      </w:pPr>
    </w:p>
    <w:p>
      <w:pPr>
        <w:ind w:left="1740" w:hanging="432"/>
        <w:spacing w:after="0"/>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8o).</w:t>
      </w:r>
    </w:p>
    <w:p>
      <w:pPr>
        <w:spacing w:after="0" w:line="255" w:lineRule="exact"/>
        <w:rPr>
          <w:rFonts w:ascii="Courier New" w:cs="Courier New" w:eastAsia="Courier New" w:hAnsi="Courier New"/>
          <w:sz w:val="18"/>
          <w:szCs w:val="18"/>
          <w:color w:val="auto"/>
        </w:rPr>
      </w:pPr>
    </w:p>
    <w:p>
      <w:pPr>
        <w:ind w:left="1740" w:hanging="432"/>
        <w:spacing w:after="0"/>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57" w:lineRule="exact"/>
        <w:rPr>
          <w:rFonts w:ascii="Courier New" w:cs="Courier New" w:eastAsia="Courier New" w:hAnsi="Courier New"/>
          <w:sz w:val="18"/>
          <w:szCs w:val="18"/>
          <w:color w:val="auto"/>
        </w:rPr>
      </w:pPr>
    </w:p>
    <w:p>
      <w:pPr>
        <w:ind w:left="2200" w:right="1400" w:hanging="892"/>
        <w:spacing w:after="0" w:line="251" w:lineRule="auto"/>
        <w:tabs>
          <w:tab w:leader="none" w:pos="17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2200" w:right="1300" w:hanging="892"/>
        <w:spacing w:after="0" w:line="209" w:lineRule="exact"/>
        <w:tabs>
          <w:tab w:leader="none" w:pos="17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50" w:lineRule="exact"/>
        <w:rPr>
          <w:rFonts w:ascii="Courier New" w:cs="Courier New" w:eastAsia="Courier New" w:hAnsi="Courier New"/>
          <w:sz w:val="18"/>
          <w:szCs w:val="18"/>
          <w:color w:val="auto"/>
        </w:rPr>
      </w:pPr>
    </w:p>
    <w:p>
      <w:pPr>
        <w:ind w:left="1740" w:hanging="432"/>
        <w:spacing w:after="0" w:line="209" w:lineRule="exact"/>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55" w:lineRule="exact"/>
        <w:rPr>
          <w:rFonts w:ascii="Courier New" w:cs="Courier New" w:eastAsia="Courier New" w:hAnsi="Courier New"/>
          <w:sz w:val="18"/>
          <w:szCs w:val="18"/>
          <w:color w:val="auto"/>
        </w:rPr>
      </w:pPr>
    </w:p>
    <w:p>
      <w:pPr>
        <w:ind w:left="1740" w:hanging="432"/>
        <w:spacing w:after="0"/>
        <w:tabs>
          <w:tab w:leader="none" w:pos="1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22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57" w:lineRule="exact"/>
        <w:rPr>
          <w:sz w:val="20"/>
          <w:szCs w:val="20"/>
          <w:color w:val="auto"/>
        </w:rPr>
      </w:pPr>
    </w:p>
    <w:p>
      <w:pPr>
        <w:ind w:left="2200" w:right="2380" w:hanging="892"/>
        <w:spacing w:after="0" w:line="209" w:lineRule="exact"/>
        <w:tabs>
          <w:tab w:leader="none" w:pos="17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57" w:lineRule="exact"/>
        <w:rPr>
          <w:rFonts w:ascii="Courier New" w:cs="Courier New" w:eastAsia="Courier New" w:hAnsi="Courier New"/>
          <w:sz w:val="18"/>
          <w:szCs w:val="18"/>
          <w:color w:val="auto"/>
        </w:rPr>
      </w:pPr>
    </w:p>
    <w:p>
      <w:pPr>
        <w:ind w:left="2200" w:right="2060" w:hanging="892"/>
        <w:spacing w:after="0" w:line="251" w:lineRule="auto"/>
        <w:tabs>
          <w:tab w:leader="none" w:pos="17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2200" w:right="1700" w:hanging="892"/>
        <w:spacing w:after="0" w:line="211" w:lineRule="exact"/>
        <w:tabs>
          <w:tab w:leader="none" w:pos="17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52" w:lineRule="exact"/>
        <w:rPr>
          <w:rFonts w:ascii="Courier New" w:cs="Courier New" w:eastAsia="Courier New" w:hAnsi="Courier New"/>
          <w:sz w:val="18"/>
          <w:szCs w:val="18"/>
          <w:color w:val="auto"/>
        </w:rPr>
      </w:pPr>
    </w:p>
    <w:p>
      <w:pPr>
        <w:ind w:left="1740" w:hanging="432"/>
        <w:spacing w:after="0" w:line="209" w:lineRule="exact"/>
        <w:tabs>
          <w:tab w:leader="none" w:pos="1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740" w:hanging="432"/>
        <w:spacing w:after="0" w:line="209" w:lineRule="exact"/>
        <w:tabs>
          <w:tab w:leader="none" w:pos="1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57" w:lineRule="exact"/>
        <w:rPr>
          <w:sz w:val="20"/>
          <w:szCs w:val="20"/>
          <w:color w:val="auto"/>
        </w:rPr>
      </w:pPr>
    </w:p>
    <w:p>
      <w:pPr>
        <w:ind w:left="1300" w:right="14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38" w:lineRule="auto"/>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1"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The securities reported herein are beneficially owned by one or more open end investment companies or other managed accounts that are investment management clients of ClearBridge Investments Limited ("CBL"), ClearBridge RARE Infrastructure International Pty Ltd (“RII”), ClearBridge RARE Infrastructure (North America) Pty Ltd (“CRINA”) and ClearBridge Investments, LLC (“CIL”), each an indirect wholly owned subsidiary of Franklin Resources, Inc. ("FRI"). When an investment management contract (including a sub advisory agreement) delegates to CBL, CRII, CRINA, or CIL investment discretion or voting power over the securities held in the investment advisory accounts that are subject to that agreement, FRI treats CBL, CRII, CRINA, or CIL as applicable, as having sole investment discretion or voting authority, as the case may be, unless the agreement specifies otherwise. Accordingly, each of CBL, CRII, CRINA and CIL reports on Schedule 13G that it has sole investment discretion and voting authority over the securities covered by any such investment management agreement, unless otherwise noted in this Item 4. As a result, for purposes of Rule 13d-3 under the Act, each of CBL, CRII, CRINA, and CIL may be deemed to be the beneficial owner of the securities reported in this Schedule 13G.</w:t>
      </w:r>
    </w:p>
    <w:p>
      <w:pPr>
        <w:spacing w:after="0" w:line="247"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 39538 (January 12, 1998) relating to organizations, such as FRI, where related entities exercise voting and investment powers over the securities being reported independently from each other. The voting and investment powers held by CBL, CRII, CRINA, and CIL are exercised independently from FRI (the ultimate parent holding company of each of CBL, CRII, CRINA, and CIL) and from all other investment management subsidiaries of FRI (FRI, its affiliates and investment management subsidiaries other than CBL, CRII, CRINA, and CIL are, collectively, “FRI affiliates”). Furthermore, internal policies and procedures of each of CBL, CRII, CRINA and CIL, on the one hand, and FRI affiliates, on the other hand, establish informational barriers that prevent the flow between CBL, CRII, CRINA and CIL, on the one hand, and the FRI affiliates, on the other hand, of information that relates to the voting and investment powers over the securities owned by their respective investment management clients. Consequently, each of CBL, CRII, CRINA, and CIL, on the one hand, and the FRI affiliates, on the other hand,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 w:name="page8"/>
    <w:bookmarkEnd w:id="7"/>
    <w:p>
      <w:pPr>
        <w:spacing w:after="0"/>
        <w:tabs>
          <w:tab w:leader="none" w:pos="1180" w:val="left"/>
          <w:tab w:leader="none" w:pos="5180" w:val="left"/>
          <w:tab w:leader="none" w:pos="85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12</w:t>
      </w:r>
    </w:p>
    <w:p>
      <w:pPr>
        <w:spacing w:after="0" w:line="244" w:lineRule="exact"/>
        <w:rPr>
          <w:sz w:val="20"/>
          <w:szCs w:val="20"/>
          <w:color w:val="auto"/>
        </w:rPr>
      </w:pPr>
    </w:p>
    <w:p>
      <w:pPr>
        <w:ind w:right="120"/>
        <w:spacing w:after="0" w:line="237" w:lineRule="auto"/>
        <w:rPr>
          <w:sz w:val="20"/>
          <w:szCs w:val="20"/>
          <w:color w:val="auto"/>
        </w:rPr>
      </w:pPr>
      <w:r>
        <w:rPr>
          <w:rFonts w:ascii="Courier New" w:cs="Courier New" w:eastAsia="Courier New" w:hAnsi="Courier New"/>
          <w:sz w:val="18"/>
          <w:szCs w:val="18"/>
          <w:color w:val="auto"/>
        </w:rPr>
        <w:t>the securities over which they hold investment and voting power separately from each other for purposes of Section 13 of the Act.</w:t>
      </w:r>
    </w:p>
    <w:p>
      <w:pPr>
        <w:spacing w:after="0" w:line="245" w:lineRule="exact"/>
        <w:rPr>
          <w:sz w:val="20"/>
          <w:szCs w:val="20"/>
          <w:color w:val="auto"/>
        </w:rPr>
      </w:pPr>
    </w:p>
    <w:p>
      <w:pPr>
        <w:ind w:right="120"/>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each of CBL, CRII, CRINA and CIL exercises voting and investment powers on behalf of its investment management clients independently of FRI affiliates, beneficial ownership of the securities reported by CBL, CRII, CRINA and CIL is not attributed to the Principal Shareholders. Each of CBL, CRII, CRINA and CIL disclaims any pecuniary interest in any of the securities reported in this Schedule 13G. In addition, the filing of this Schedule 13G on behalf of CBL, CRII, CRINA and CIL should not be construed as an admission that CBL, CRII, CRINA or CIL is, and each of CBL, CRII, CRINA and CIL disclaims that it is, the beneficial owner, as defined in Rule 13d-3, of any of such securities.</w:t>
      </w:r>
    </w:p>
    <w:p>
      <w:pPr>
        <w:spacing w:after="0" w:line="246"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Furthermore, each of CBL, CRII, CRINA and CIL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CBL, CRII, CRINA or CIL, or the FRI affiliates provide investment management services.</w:t>
      </w:r>
    </w:p>
    <w:p>
      <w:pPr>
        <w:spacing w:after="0" w:line="258" w:lineRule="exact"/>
        <w:rPr>
          <w:sz w:val="20"/>
          <w:szCs w:val="20"/>
          <w:color w:val="auto"/>
        </w:rPr>
      </w:pPr>
    </w:p>
    <w:p>
      <w:pPr>
        <w:ind w:left="1520" w:right="6860" w:hanging="812"/>
        <w:spacing w:after="0" w:line="537" w:lineRule="auto"/>
        <w:tabs>
          <w:tab w:leader="none" w:pos="157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2,348,835</w:t>
      </w:r>
    </w:p>
    <w:p>
      <w:pPr>
        <w:spacing w:after="0" w:line="3" w:lineRule="exact"/>
        <w:rPr>
          <w:rFonts w:ascii="Courier New" w:cs="Courier New" w:eastAsia="Courier New" w:hAnsi="Courier New"/>
          <w:sz w:val="18"/>
          <w:szCs w:val="18"/>
          <w:color w:val="auto"/>
        </w:rPr>
      </w:pPr>
    </w:p>
    <w:p>
      <w:pPr>
        <w:ind w:left="1580" w:hanging="872"/>
        <w:spacing w:after="0"/>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500"/>
        <w:spacing w:after="0"/>
        <w:rPr>
          <w:sz w:val="20"/>
          <w:szCs w:val="20"/>
          <w:color w:val="auto"/>
        </w:rPr>
      </w:pPr>
      <w:r>
        <w:rPr>
          <w:rFonts w:ascii="Courier New" w:cs="Courier New" w:eastAsia="Courier New" w:hAnsi="Courier New"/>
          <w:sz w:val="18"/>
          <w:szCs w:val="18"/>
          <w:color w:val="auto"/>
        </w:rPr>
        <w:t>2.9%</w:t>
      </w:r>
    </w:p>
    <w:p>
      <w:pPr>
        <w:spacing w:after="0" w:line="255" w:lineRule="exact"/>
        <w:rPr>
          <w:sz w:val="20"/>
          <w:szCs w:val="20"/>
          <w:color w:val="auto"/>
        </w:rPr>
      </w:pPr>
    </w:p>
    <w:p>
      <w:pPr>
        <w:ind w:left="1580" w:hanging="872"/>
        <w:spacing w:after="0"/>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55" w:lineRule="exact"/>
        <w:rPr>
          <w:sz w:val="20"/>
          <w:szCs w:val="20"/>
          <w:color w:val="auto"/>
        </w:rPr>
      </w:pPr>
    </w:p>
    <w:p>
      <w:pPr>
        <w:ind w:left="1920" w:hanging="754"/>
        <w:spacing w:after="0"/>
        <w:tabs>
          <w:tab w:leader="none" w:pos="19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5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ClearBridge Investments Limited:</w:t>
            </w:r>
          </w:p>
        </w:tc>
        <w:tc>
          <w:tcPr>
            <w:tcW w:w="1360" w:type="dxa"/>
            <w:vAlign w:val="bottom"/>
          </w:tcPr>
          <w:p>
            <w:pPr>
              <w:jc w:val="right"/>
              <w:ind w:right="50"/>
              <w:spacing w:after="0"/>
              <w:rPr>
                <w:sz w:val="20"/>
                <w:szCs w:val="20"/>
                <w:color w:val="auto"/>
              </w:rPr>
            </w:pPr>
            <w:r>
              <w:rPr>
                <w:rFonts w:ascii="Courier New" w:cs="Courier New" w:eastAsia="Courier New" w:hAnsi="Courier New"/>
                <w:sz w:val="18"/>
                <w:szCs w:val="18"/>
                <w:color w:val="auto"/>
              </w:rPr>
              <w:t>670,896</w:t>
            </w:r>
          </w:p>
        </w:tc>
      </w:tr>
      <w:tr>
        <w:trPr>
          <w:trHeight w:val="445"/>
        </w:trPr>
        <w:tc>
          <w:tcPr>
            <w:tcW w:w="600" w:type="dxa"/>
            <w:vAlign w:val="bottom"/>
          </w:tcPr>
          <w:p>
            <w:pPr>
              <w:spacing w:after="0"/>
              <w:rPr>
                <w:sz w:val="24"/>
                <w:szCs w:val="24"/>
                <w:color w:val="auto"/>
              </w:rPr>
            </w:pPr>
          </w:p>
        </w:tc>
        <w:tc>
          <w:tcPr>
            <w:tcW w:w="20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ClearBridge RARE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Infrastructure International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1,085,499</w:t>
            </w:r>
          </w:p>
        </w:tc>
      </w:tr>
      <w:tr>
        <w:trPr>
          <w:trHeight w:val="446"/>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40" w:type="dxa"/>
            <w:vAlign w:val="bottom"/>
          </w:tcPr>
          <w:p>
            <w:pPr>
              <w:ind w:left="40"/>
              <w:spacing w:after="0"/>
              <w:rPr>
                <w:sz w:val="20"/>
                <w:szCs w:val="20"/>
                <w:color w:val="auto"/>
              </w:rPr>
            </w:pPr>
            <w:r>
              <w:rPr>
                <w:rFonts w:ascii="Courier New" w:cs="Courier New" w:eastAsia="Courier New" w:hAnsi="Courier New"/>
                <w:sz w:val="18"/>
                <w:szCs w:val="18"/>
                <w:color w:val="auto"/>
              </w:rPr>
              <w:t>RARE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Infrastructure(North America)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577,474</w:t>
            </w:r>
          </w:p>
        </w:tc>
      </w:tr>
      <w:tr>
        <w:trPr>
          <w:trHeight w:val="445"/>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Investments, LLC</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11,966</w:t>
            </w:r>
          </w:p>
        </w:tc>
      </w:tr>
      <w:tr>
        <w:trPr>
          <w:trHeight w:val="661"/>
        </w:trPr>
        <w:tc>
          <w:tcPr>
            <w:tcW w:w="6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66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360" w:type="dxa"/>
            <w:vAlign w:val="bottom"/>
          </w:tcPr>
          <w:p>
            <w:pPr>
              <w:jc w:val="right"/>
              <w:ind w:right="90"/>
              <w:spacing w:after="0"/>
              <w:rPr>
                <w:sz w:val="20"/>
                <w:szCs w:val="20"/>
                <w:color w:val="auto"/>
              </w:rPr>
            </w:pPr>
            <w:r>
              <w:rPr>
                <w:rFonts w:ascii="Courier New" w:cs="Courier New" w:eastAsia="Courier New" w:hAnsi="Courier New"/>
                <w:sz w:val="18"/>
                <w:szCs w:val="18"/>
                <w:color w:val="auto"/>
              </w:rPr>
              <w:t>0</w:t>
            </w:r>
          </w:p>
        </w:tc>
      </w:tr>
    </w:tbl>
    <w:p>
      <w:pPr>
        <w:spacing w:after="0" w:line="255" w:lineRule="exact"/>
        <w:rPr>
          <w:sz w:val="20"/>
          <w:szCs w:val="20"/>
          <w:color w:val="auto"/>
        </w:rPr>
      </w:pPr>
    </w:p>
    <w:p>
      <w:pPr>
        <w:ind w:left="1940" w:hanging="974"/>
        <w:spacing w:after="0"/>
        <w:tabs>
          <w:tab w:leader="none" w:pos="19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ClearBridge Investments Limited:</w:t>
            </w:r>
          </w:p>
        </w:tc>
        <w:tc>
          <w:tcPr>
            <w:tcW w:w="1360" w:type="dxa"/>
            <w:vAlign w:val="bottom"/>
          </w:tcPr>
          <w:p>
            <w:pPr>
              <w:jc w:val="right"/>
              <w:ind w:right="50"/>
              <w:spacing w:after="0"/>
              <w:rPr>
                <w:sz w:val="20"/>
                <w:szCs w:val="20"/>
                <w:color w:val="auto"/>
              </w:rPr>
            </w:pPr>
            <w:r>
              <w:rPr>
                <w:rFonts w:ascii="Courier New" w:cs="Courier New" w:eastAsia="Courier New" w:hAnsi="Courier New"/>
                <w:sz w:val="18"/>
                <w:szCs w:val="18"/>
                <w:color w:val="auto"/>
              </w:rPr>
              <w:t>670,896</w:t>
            </w:r>
          </w:p>
        </w:tc>
      </w:tr>
      <w:tr>
        <w:trPr>
          <w:trHeight w:val="445"/>
        </w:trPr>
        <w:tc>
          <w:tcPr>
            <w:tcW w:w="600" w:type="dxa"/>
            <w:vAlign w:val="bottom"/>
          </w:tcPr>
          <w:p>
            <w:pPr>
              <w:spacing w:after="0"/>
              <w:rPr>
                <w:sz w:val="24"/>
                <w:szCs w:val="24"/>
                <w:color w:val="auto"/>
              </w:rPr>
            </w:pPr>
          </w:p>
        </w:tc>
        <w:tc>
          <w:tcPr>
            <w:tcW w:w="20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ClearBridge RARE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Infrastructure International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1,085,499</w:t>
            </w:r>
          </w:p>
        </w:tc>
      </w:tr>
      <w:tr>
        <w:trPr>
          <w:trHeight w:val="446"/>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40" w:type="dxa"/>
            <w:vAlign w:val="bottom"/>
          </w:tcPr>
          <w:p>
            <w:pPr>
              <w:ind w:left="40"/>
              <w:spacing w:after="0"/>
              <w:rPr>
                <w:sz w:val="20"/>
                <w:szCs w:val="20"/>
                <w:color w:val="auto"/>
              </w:rPr>
            </w:pPr>
            <w:r>
              <w:rPr>
                <w:rFonts w:ascii="Courier New" w:cs="Courier New" w:eastAsia="Courier New" w:hAnsi="Courier New"/>
                <w:sz w:val="18"/>
                <w:szCs w:val="18"/>
                <w:color w:val="auto"/>
              </w:rPr>
              <w:t>RARE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Infrastructure(North America) Pty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577,474</w:t>
            </w:r>
          </w:p>
        </w:tc>
      </w:tr>
      <w:tr>
        <w:trPr>
          <w:trHeight w:val="445"/>
        </w:trPr>
        <w:tc>
          <w:tcPr>
            <w:tcW w:w="6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8"/>
                <w:szCs w:val="18"/>
                <w:color w:val="auto"/>
              </w:rPr>
              <w:t>ClearBridge</w:t>
            </w:r>
          </w:p>
        </w:tc>
        <w:tc>
          <w:tcPr>
            <w:tcW w:w="5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Investments, LLC</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11,966</w:t>
            </w:r>
          </w:p>
        </w:tc>
      </w:tr>
      <w:tr>
        <w:trPr>
          <w:trHeight w:val="702"/>
        </w:trPr>
        <w:tc>
          <w:tcPr>
            <w:tcW w:w="6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66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Shared power to dispose or to direct the disposition of</w:t>
            </w:r>
          </w:p>
        </w:tc>
        <w:tc>
          <w:tcPr>
            <w:tcW w:w="1360" w:type="dxa"/>
            <w:vAlign w:val="bottom"/>
          </w:tcPr>
          <w:p>
            <w:pPr>
              <w:jc w:val="right"/>
              <w:ind w:right="70"/>
              <w:spacing w:after="0"/>
              <w:rPr>
                <w:sz w:val="20"/>
                <w:szCs w:val="20"/>
                <w:color w:val="auto"/>
              </w:rPr>
            </w:pPr>
            <w:r>
              <w:rPr>
                <w:rFonts w:ascii="Courier New" w:cs="Courier New" w:eastAsia="Courier New" w:hAnsi="Courier New"/>
                <w:sz w:val="18"/>
                <w:szCs w:val="18"/>
                <w:color w:val="auto"/>
              </w:rPr>
              <w:t>0</w:t>
            </w:r>
          </w:p>
        </w:tc>
      </w:tr>
    </w:tbl>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57" w:lineRule="exact"/>
        <w:rPr>
          <w:sz w:val="20"/>
          <w:szCs w:val="20"/>
          <w:color w:val="auto"/>
        </w:rPr>
      </w:pPr>
    </w:p>
    <w:p>
      <w:pPr>
        <w:ind w:left="1300" w:right="1520"/>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 w:name="page9"/>
    <w:bookmarkEnd w:id="8"/>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12</w:t>
      </w:r>
    </w:p>
    <w:p>
      <w:pPr>
        <w:spacing w:after="0" w:line="242"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44" w:lineRule="exact"/>
        <w:rPr>
          <w:sz w:val="20"/>
          <w:szCs w:val="20"/>
          <w:color w:val="auto"/>
        </w:rPr>
      </w:pPr>
    </w:p>
    <w:p>
      <w:pPr>
        <w:jc w:val="both"/>
        <w:ind w:left="1020" w:right="199"/>
        <w:spacing w:after="0" w:line="256" w:lineRule="auto"/>
        <w:rPr>
          <w:sz w:val="20"/>
          <w:szCs w:val="20"/>
          <w:color w:val="auto"/>
        </w:rPr>
      </w:pPr>
      <w:r>
        <w:rPr>
          <w:rFonts w:ascii="Courier New" w:cs="Courier New" w:eastAsia="Courier New" w:hAnsi="Courier New"/>
          <w:sz w:val="17"/>
          <w:szCs w:val="17"/>
          <w:color w:val="auto"/>
        </w:rPr>
        <w:t>The clients of each of CBL, CRII, CRINA and CIL,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5" w:lineRule="exact"/>
        <w:rPr>
          <w:sz w:val="20"/>
          <w:szCs w:val="20"/>
          <w:color w:val="auto"/>
        </w:rPr>
      </w:pPr>
    </w:p>
    <w:p>
      <w:pPr>
        <w:ind w:left="900" w:right="1219" w:hanging="799"/>
        <w:spacing w:after="0" w:line="251"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4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Exhibit B</w:t>
      </w: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222250</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122" w:right="1440" w:bottom="1440" w:gutter="0" w:footer="0" w:header="0"/>
        </w:sectPr>
      </w:pPr>
    </w:p>
    <w:bookmarkStart w:id="9" w:name="page10"/>
    <w:bookmarkEnd w:id="9"/>
    <w:p>
      <w:pPr>
        <w:spacing w:after="0"/>
        <w:tabs>
          <w:tab w:leader="none" w:pos="1180" w:val="left"/>
          <w:tab w:leader="none" w:pos="4740" w:val="left"/>
          <w:tab w:leader="none" w:pos="808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12</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57" w:lineRule="exact"/>
        <w:rPr>
          <w:sz w:val="20"/>
          <w:szCs w:val="20"/>
          <w:color w:val="auto"/>
        </w:rPr>
      </w:pPr>
    </w:p>
    <w:p>
      <w:pPr>
        <w:ind w:left="100" w:right="260"/>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or effect, other than activities solely in connection with a nomination under § 240.14a-11</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Exhibits</w:t>
      </w:r>
    </w:p>
    <w:p>
      <w:pPr>
        <w:spacing w:after="0" w:line="264" w:lineRule="exact"/>
        <w:rPr>
          <w:sz w:val="20"/>
          <w:szCs w:val="20"/>
          <w:color w:val="auto"/>
        </w:rPr>
      </w:pPr>
    </w:p>
    <w:p>
      <w:pPr>
        <w:ind w:left="100"/>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223" w:lineRule="exact"/>
        <w:rPr>
          <w:sz w:val="20"/>
          <w:szCs w:val="20"/>
          <w:color w:val="auto"/>
        </w:rPr>
      </w:pPr>
    </w:p>
    <w:p>
      <w:pPr>
        <w:ind w:left="140"/>
        <w:spacing w:after="0" w:line="209"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Item 8 Identification and Classification of Members of the Group</w:t>
      </w:r>
    </w:p>
    <w:p>
      <w:pPr>
        <w:spacing w:after="0" w:line="25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100" w:right="360"/>
        <w:spacing w:after="0" w:line="25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8"/>
          <w:szCs w:val="18"/>
          <w:color w:val="auto"/>
        </w:rPr>
        <w:t>Dated:</w:t>
        <w:tab/>
        <w:t>February 13, 2023</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/s/ANNETTE GOLDEN</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Annette Golden</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Head of Legal Risk, Compliance Company Secretary of ClearBridge Investments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/s/ANNETTE GOLDEN</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Annette Golden</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Head of Legal Risk, Compliance Company Secretary of ClearBridge Investments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/s/ANNETTE GOLDEN</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Annette Golden</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Chief Compliance Officer of 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/s/BRIAN R. MURPHY</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Brian R. Murphy</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Chief Compliance Officer of ClearBridge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504825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60"/>
          </w:cols>
          <w:pgMar w:left="720" w:top="1122" w:right="1319" w:bottom="1440" w:gutter="0" w:footer="0" w:header="0"/>
        </w:sectPr>
      </w:pPr>
    </w:p>
    <w:bookmarkStart w:id="10" w:name="page11"/>
    <w:bookmarkEnd w:id="10"/>
    <w:p>
      <w:pPr>
        <w:spacing w:after="0" w:line="155" w:lineRule="exact"/>
        <w:rPr>
          <w:sz w:val="20"/>
          <w:szCs w:val="20"/>
          <w:color w:val="auto"/>
        </w:rPr>
      </w:pPr>
    </w:p>
    <w:p>
      <w:pPr>
        <w:spacing w:after="0"/>
        <w:tabs>
          <w:tab w:leader="none" w:pos="1180" w:val="left"/>
          <w:tab w:leader="none" w:pos="4740" w:val="left"/>
          <w:tab w:leader="none" w:pos="8420" w:val="left"/>
        </w:tabs>
        <w:rPr>
          <w:sz w:val="20"/>
          <w:szCs w:val="20"/>
          <w:color w:val="auto"/>
        </w:rPr>
      </w:pPr>
      <w:r>
        <w:rPr>
          <w:rFonts w:ascii="Courier New" w:cs="Courier New" w:eastAsia="Courier New" w:hAnsi="Courier New"/>
          <w:sz w:val="18"/>
          <w:szCs w:val="18"/>
          <w:color w:val="auto"/>
        </w:rPr>
        <w:t>CUSIP NO.</w:t>
        <w:tab/>
        <w:t>18539C204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12</w:t>
      </w:r>
    </w:p>
    <w:p>
      <w:pPr>
        <w:spacing w:after="0" w:line="30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500" w:right="360"/>
        <w:spacing w:after="0" w:line="22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0"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8"/>
          <w:szCs w:val="18"/>
          <w:color w:val="auto"/>
        </w:rPr>
        <w:t>IN WITNESS WHEREOF, the undersigned have executed this agreement on February 13, 2023.</w:t>
      </w: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ClearBridge Investments Limited</w:t>
      </w:r>
    </w:p>
    <w:p>
      <w:pPr>
        <w:spacing w:after="0" w:line="200" w:lineRule="exact"/>
        <w:rPr>
          <w:sz w:val="20"/>
          <w:szCs w:val="20"/>
          <w:color w:val="auto"/>
        </w:rPr>
      </w:pPr>
    </w:p>
    <w:p>
      <w:pPr>
        <w:spacing w:after="0" w:line="258" w:lineRule="exact"/>
        <w:rPr>
          <w:sz w:val="20"/>
          <w:szCs w:val="20"/>
          <w:color w:val="auto"/>
        </w:rPr>
      </w:pPr>
    </w:p>
    <w:p>
      <w:pPr>
        <w:ind w:left="50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/s/ANNETTE GOLDEN</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Annette Golden</w:t>
      </w:r>
    </w:p>
    <w:p>
      <w:pPr>
        <w:jc w:val="right"/>
        <w:spacing w:after="0" w:line="238" w:lineRule="auto"/>
        <w:rPr>
          <w:sz w:val="20"/>
          <w:szCs w:val="20"/>
          <w:color w:val="auto"/>
        </w:rPr>
      </w:pPr>
      <w:r>
        <w:rPr>
          <w:rFonts w:ascii="Courier New" w:cs="Courier New" w:eastAsia="Courier New" w:hAnsi="Courier New"/>
          <w:sz w:val="18"/>
          <w:szCs w:val="18"/>
          <w:color w:val="auto"/>
        </w:rPr>
        <w:t>Head of Legal Risk, Compliance Company Secretary of ClearBridge Investments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RARE Infrastructure International Pty Ltd</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/s/ANNETTE GOLDEN</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Annette Golden</w:t>
      </w:r>
    </w:p>
    <w:p>
      <w:pPr>
        <w:jc w:val="right"/>
        <w:spacing w:after="0" w:line="238" w:lineRule="auto"/>
        <w:rPr>
          <w:sz w:val="20"/>
          <w:szCs w:val="20"/>
          <w:color w:val="auto"/>
        </w:rPr>
      </w:pPr>
      <w:r>
        <w:rPr>
          <w:rFonts w:ascii="Courier New" w:cs="Courier New" w:eastAsia="Courier New" w:hAnsi="Courier New"/>
          <w:sz w:val="18"/>
          <w:szCs w:val="18"/>
          <w:color w:val="auto"/>
        </w:rPr>
        <w:t>Head of Legal Risk, Compliance Company Secretary of ClearBridge Investments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/s/ANNETTE GOLDEN</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Annette Golden</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Chief Compliance Officer of ClearBridge RARE Infrastructure (North America) Pty Ltd</w:t>
      </w: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85" w:lineRule="exact"/>
        <w:rPr>
          <w:sz w:val="20"/>
          <w:szCs w:val="20"/>
          <w:color w:val="auto"/>
        </w:rPr>
      </w:pPr>
    </w:p>
    <w:p>
      <w:pPr>
        <w:ind w:left="540"/>
        <w:spacing w:after="0"/>
        <w:tabs>
          <w:tab w:leader="none" w:pos="12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/s/BRIAN R. MURPHY</w:t>
      </w:r>
    </w:p>
    <w:p>
      <w:pPr>
        <w:spacing w:after="0" w:line="14" w:lineRule="exact"/>
        <w:rPr>
          <w:sz w:val="20"/>
          <w:szCs w:val="20"/>
          <w:color w:val="auto"/>
        </w:rPr>
      </w:pPr>
    </w:p>
    <w:p>
      <w:pPr>
        <w:ind w:left="120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Brian R. Murphy</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Chief Compliance Officer of ClearBridge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1610995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260"/>
          </w:cols>
          <w:pgMar w:left="320" w:top="1440" w:right="1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5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18539C204</w:t>
            </w:r>
          </w:p>
        </w:tc>
        <w:tc>
          <w:tcPr>
            <w:tcW w:w="2380" w:type="dxa"/>
            <w:vAlign w:val="bottom"/>
          </w:tcPr>
          <w:p>
            <w:pPr>
              <w:ind w:left="460"/>
              <w:spacing w:after="0"/>
              <w:rPr>
                <w:sz w:val="20"/>
                <w:szCs w:val="20"/>
                <w:color w:val="auto"/>
              </w:rPr>
            </w:pPr>
            <w:r>
              <w:rPr>
                <w:rFonts w:ascii="Courier New" w:cs="Courier New" w:eastAsia="Courier New" w:hAnsi="Courier New"/>
                <w:sz w:val="18"/>
                <w:szCs w:val="18"/>
                <w:color w:val="auto"/>
              </w:rPr>
              <w:t>13G</w:t>
            </w:r>
          </w:p>
        </w:tc>
        <w:tc>
          <w:tcPr>
            <w:tcW w:w="9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Page 12 of 12</w:t>
            </w:r>
          </w:p>
        </w:tc>
      </w:tr>
      <w:tr>
        <w:trPr>
          <w:trHeight w:val="716"/>
        </w:trPr>
        <w:tc>
          <w:tcPr>
            <w:tcW w:w="1560" w:type="dxa"/>
            <w:vAlign w:val="bottom"/>
          </w:tcPr>
          <w:p>
            <w:pPr>
              <w:ind w:left="500"/>
              <w:spacing w:after="0"/>
              <w:rPr>
                <w:sz w:val="20"/>
                <w:szCs w:val="20"/>
                <w:color w:val="auto"/>
              </w:rPr>
            </w:pPr>
            <w:r>
              <w:rPr>
                <w:rFonts w:ascii="Courier New" w:cs="Courier New" w:eastAsia="Courier New" w:hAnsi="Courier New"/>
                <w:sz w:val="18"/>
                <w:szCs w:val="18"/>
                <w:color w:val="auto"/>
              </w:rPr>
              <w:t>EXHIBIT B</w:t>
            </w:r>
          </w:p>
        </w:tc>
        <w:tc>
          <w:tcPr>
            <w:tcW w:w="2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13"/>
        </w:trPr>
        <w:tc>
          <w:tcPr>
            <w:tcW w:w="430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ClearBridge Investments Limited</w:t>
            </w:r>
          </w:p>
        </w:tc>
        <w:tc>
          <w:tcPr>
            <w:tcW w:w="2380" w:type="dxa"/>
            <w:vAlign w:val="bottom"/>
          </w:tcPr>
          <w:p>
            <w:pPr>
              <w:spacing w:after="0"/>
              <w:rPr>
                <w:sz w:val="24"/>
                <w:szCs w:val="24"/>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Item 3 Classification: 3(j)</w:t>
            </w:r>
          </w:p>
        </w:tc>
      </w:tr>
      <w:tr>
        <w:trPr>
          <w:trHeight w:val="284"/>
        </w:trPr>
        <w:tc>
          <w:tcPr>
            <w:tcW w:w="66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ClearBridge RARE Infrastructure International Pty Ltd</w:t>
            </w:r>
          </w:p>
        </w:tc>
        <w:tc>
          <w:tcPr>
            <w:tcW w:w="940" w:type="dxa"/>
            <w:vAlign w:val="bottom"/>
          </w:tcPr>
          <w:p>
            <w:pPr>
              <w:ind w:left="240"/>
              <w:spacing w:after="0"/>
              <w:rPr>
                <w:sz w:val="20"/>
                <w:szCs w:val="20"/>
                <w:color w:val="auto"/>
              </w:rPr>
            </w:pPr>
            <w:r>
              <w:rPr>
                <w:rFonts w:ascii="Courier New" w:cs="Courier New" w:eastAsia="Courier New" w:hAnsi="Courier New"/>
                <w:sz w:val="18"/>
                <w:szCs w:val="18"/>
                <w:color w:val="auto"/>
              </w:rPr>
              <w:t>Item 3</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Classification: 3(j)</w:t>
            </w:r>
          </w:p>
        </w:tc>
      </w:tr>
      <w:tr>
        <w:trPr>
          <w:trHeight w:val="297"/>
        </w:trPr>
        <w:tc>
          <w:tcPr>
            <w:tcW w:w="66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ClearBridge RARE Infrastructure (North America) Pty Ltd</w:t>
            </w:r>
          </w:p>
        </w:tc>
        <w:tc>
          <w:tcPr>
            <w:tcW w:w="940" w:type="dxa"/>
            <w:vAlign w:val="bottom"/>
          </w:tcPr>
          <w:p>
            <w:pPr>
              <w:ind w:left="240"/>
              <w:spacing w:after="0"/>
              <w:rPr>
                <w:sz w:val="20"/>
                <w:szCs w:val="20"/>
                <w:color w:val="auto"/>
              </w:rPr>
            </w:pPr>
            <w:r>
              <w:rPr>
                <w:rFonts w:ascii="Courier New" w:cs="Courier New" w:eastAsia="Courier New" w:hAnsi="Courier New"/>
                <w:sz w:val="18"/>
                <w:szCs w:val="18"/>
                <w:color w:val="auto"/>
              </w:rPr>
              <w:t>Item 3</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Classification: 3(j)</w:t>
            </w:r>
          </w:p>
        </w:tc>
      </w:tr>
      <w:tr>
        <w:trPr>
          <w:trHeight w:val="283"/>
        </w:trPr>
        <w:tc>
          <w:tcPr>
            <w:tcW w:w="43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ClearBridge Investments, LLC</w:t>
            </w:r>
          </w:p>
        </w:tc>
        <w:tc>
          <w:tcPr>
            <w:tcW w:w="238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8"/>
                <w:szCs w:val="18"/>
                <w:color w:val="auto"/>
              </w:rPr>
              <w:t>Item 3</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Classification: 3(e)</w:t>
            </w:r>
          </w:p>
        </w:tc>
      </w:tr>
    </w:tbl>
    <w:p>
      <w:pPr>
        <w:spacing w:after="0" w:line="1" w:lineRule="exact"/>
        <w:rPr>
          <w:sz w:val="20"/>
          <w:szCs w:val="20"/>
          <w:color w:val="auto"/>
        </w:rPr>
      </w:pPr>
    </w:p>
    <w:sectPr>
      <w:pgSz w:w="11900" w:h="16838" w:orient="portrait"/>
      <w:cols w:equalWidth="0" w:num="1">
        <w:col w:w="10139"/>
      </w:cols>
      <w:pgMar w:left="320" w:top="8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lvl w:ilvl="1">
      <w:lvlJc w:val="left"/>
      <w:lvlText w:val="(%2)"/>
      <w:numFmt w:val="lowerLetter"/>
      <w:start w:val="1"/>
    </w:lvl>
  </w:abstractNum>
  <w:abstractNum w:abstractNumId="3">
    <w:nsid w:val="3F2DBA31"/>
    <w:multiLevelType w:val="hybridMultilevel"/>
    <w:lvl w:ilvl="0">
      <w:lvlJc w:val="left"/>
      <w:lvlText w:val="%1."/>
      <w:numFmt w:val="decimal"/>
      <w:start w:val="3"/>
    </w:lvl>
    <w:lvl w:ilvl="1">
      <w:lvlJc w:val="left"/>
      <w:lvlText w:val="%2"/>
      <w:numFmt w:val="lowerLetter"/>
      <w:start w:val="1"/>
    </w:lvl>
  </w:abstractNum>
  <w:abstractNum w:abstractNumId="4">
    <w:nsid w:val="7C83E458"/>
    <w:multiLevelType w:val="hybridMultilevel"/>
    <w:lvl w:ilvl="0">
      <w:lvlJc w:val="left"/>
      <w:lvlText w:val="%1"/>
      <w:numFmt w:val="decimal"/>
      <w:start w:val="1"/>
    </w:lvl>
    <w:lvl w:ilvl="1">
      <w:lvlJc w:val="left"/>
      <w:lvlText w:val="%2."/>
      <w:numFmt w:val="decimal"/>
      <w:start w:val="5"/>
    </w:lvl>
  </w:abstractNum>
  <w:abstractNum w:abstractNumId="5">
    <w:nsid w:val="257130A3"/>
    <w:multiLevelType w:val="hybridMultilevel"/>
    <w:lvl w:ilvl="0">
      <w:lvlJc w:val="left"/>
      <w:lvlText w:val="%1."/>
      <w:numFmt w:val="decimal"/>
      <w:start w:val="9"/>
    </w:lvl>
    <w:lvl w:ilvl="1">
      <w:lvlJc w:val="left"/>
      <w:lvlText w:val="%2."/>
      <w:numFmt w:val="decimal"/>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1"/>
    </w:lvl>
  </w:abstractNum>
  <w:abstractNum w:abstractNumId="8">
    <w:nsid w:val="628C895D"/>
    <w:multiLevelType w:val="hybridMultilevel"/>
    <w:lvl w:ilvl="0">
      <w:lvlJc w:val="left"/>
      <w:lvlText w:val="%1."/>
      <w:numFmt w:val="decimal"/>
      <w:start w:val="3"/>
    </w:lvl>
    <w:lvl w:ilvl="1">
      <w:lvlJc w:val="left"/>
      <w:lvlText w:val="%2"/>
      <w:numFmt w:val="lowerLetter"/>
      <w:start w:val="1"/>
    </w:lvl>
  </w:abstractNum>
  <w:abstractNum w:abstractNumId="9">
    <w:nsid w:val="333AB105"/>
    <w:multiLevelType w:val="hybridMultilevel"/>
    <w:lvl w:ilvl="0">
      <w:lvlJc w:val="left"/>
      <w:lvlText w:val="%1"/>
      <w:numFmt w:val="decimal"/>
      <w:start w:val="1"/>
    </w:lvl>
    <w:lvl w:ilvl="1">
      <w:lvlJc w:val="left"/>
      <w:lvlText w:val="%2."/>
      <w:numFmt w:val="decimal"/>
      <w:start w:val="5"/>
    </w:lvl>
  </w:abstractNum>
  <w:abstractNum w:abstractNumId="10">
    <w:nsid w:val="721DA317"/>
    <w:multiLevelType w:val="hybridMultilevel"/>
    <w:lvl w:ilvl="0">
      <w:lvlJc w:val="left"/>
      <w:lvlText w:val="%1."/>
      <w:numFmt w:val="decimal"/>
      <w:start w:val="9"/>
    </w:lvl>
    <w:lvl w:ilvl="1">
      <w:lvlJc w:val="left"/>
      <w:lvlText w:val="%2."/>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lvl w:ilvl="1">
      <w:lvlJc w:val="left"/>
      <w:lvlText w:val="(%2)"/>
      <w:numFmt w:val="lowerLetter"/>
      <w:start w:val="1"/>
    </w:lvl>
  </w:abstractNum>
  <w:abstractNum w:abstractNumId="13">
    <w:nsid w:val="6763845E"/>
    <w:multiLevelType w:val="hybridMultilevel"/>
    <w:lvl w:ilvl="0">
      <w:lvlJc w:val="left"/>
      <w:lvlText w:val="%1."/>
      <w:numFmt w:val="decimal"/>
      <w:start w:val="3"/>
    </w:lvl>
    <w:lvl w:ilvl="1">
      <w:lvlJc w:val="left"/>
      <w:lvlText w:val="%2"/>
      <w:numFmt w:val="lowerLetter"/>
      <w:start w:val="1"/>
    </w:lvl>
  </w:abstractNum>
  <w:abstractNum w:abstractNumId="14">
    <w:nsid w:val="75A2A8D4"/>
    <w:multiLevelType w:val="hybridMultilevel"/>
    <w:lvl w:ilvl="0">
      <w:lvlJc w:val="left"/>
      <w:lvlText w:val="%1"/>
      <w:numFmt w:val="decimal"/>
      <w:start w:val="1"/>
    </w:lvl>
    <w:lvl w:ilvl="1">
      <w:lvlJc w:val="left"/>
      <w:lvlText w:val="%2."/>
      <w:numFmt w:val="decimal"/>
      <w:start w:val="5"/>
    </w:lvl>
  </w:abstractNum>
  <w:abstractNum w:abstractNumId="15">
    <w:nsid w:val="8EDBDAB"/>
    <w:multiLevelType w:val="hybridMultilevel"/>
    <w:lvl w:ilvl="0">
      <w:lvlJc w:val="left"/>
      <w:lvlText w:val="%1."/>
      <w:numFmt w:val="decimal"/>
      <w:start w:val="9"/>
    </w:lvl>
    <w:lvl w:ilvl="1">
      <w:lvlJc w:val="left"/>
      <w:lvlText w:val="%2."/>
      <w:numFmt w:val="decimal"/>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lvl w:ilvl="1">
      <w:lvlJc w:val="left"/>
      <w:lvlText w:val="(%2)"/>
      <w:numFmt w:val="lowerLetter"/>
      <w:start w:val="1"/>
    </w:lvl>
  </w:abstractNum>
  <w:abstractNum w:abstractNumId="18">
    <w:nsid w:val="B03E0C6"/>
    <w:multiLevelType w:val="hybridMultilevel"/>
    <w:lvl w:ilvl="0">
      <w:lvlJc w:val="left"/>
      <w:lvlText w:val="%1."/>
      <w:numFmt w:val="decimal"/>
      <w:start w:val="3"/>
    </w:lvl>
    <w:lvl w:ilvl="1">
      <w:lvlJc w:val="left"/>
      <w:lvlText w:val="%2"/>
      <w:numFmt w:val="lowerLetter"/>
      <w:start w:val="1"/>
    </w:lvl>
  </w:abstractNum>
  <w:abstractNum w:abstractNumId="19">
    <w:nsid w:val="189A769B"/>
    <w:multiLevelType w:val="hybridMultilevel"/>
    <w:lvl w:ilvl="0">
      <w:lvlJc w:val="left"/>
      <w:lvlText w:val="%1"/>
      <w:numFmt w:val="decimal"/>
      <w:start w:val="1"/>
    </w:lvl>
    <w:lvl w:ilvl="1">
      <w:lvlJc w:val="left"/>
      <w:lvlText w:val="%2."/>
      <w:numFmt w:val="decimal"/>
      <w:start w:val="5"/>
    </w:lvl>
  </w:abstractNum>
  <w:abstractNum w:abstractNumId="20">
    <w:nsid w:val="54E49EB4"/>
    <w:multiLevelType w:val="hybridMultilevel"/>
    <w:lvl w:ilvl="0">
      <w:lvlJc w:val="left"/>
      <w:lvlText w:val="%1."/>
      <w:numFmt w:val="decimal"/>
      <w:start w:val="9"/>
    </w:lvl>
    <w:lvl w:ilvl="1">
      <w:lvlJc w:val="left"/>
      <w:lvlText w:val="%2."/>
      <w:numFmt w:val="decimal"/>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lvl w:ilvl="1">
      <w:lvlJc w:val="left"/>
      <w:lvlText w:val="(%2)"/>
      <w:numFmt w:val="lowerLetter"/>
      <w:start w:val="9"/>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lowerLetter"/>
      <w:start w:val="4"/>
    </w:lvl>
  </w:abstractNum>
  <w:abstractNum w:abstractNumId="26">
    <w:nsid w:val="8138641"/>
    <w:multiLevelType w:val="hybridMultilevel"/>
    <w:lvl w:ilvl="0">
      <w:lvlJc w:val="left"/>
      <w:lvlText w:val="(%1)"/>
      <w:numFmt w:val="lowerLetter"/>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7"/>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3"/>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2023-02-13T17:00:44Z</dcterms:created>
  <dcterms:modified xsi:type="dcterms:W3CDTF">2023-02-13T17:00:44Z</dcterms:modified>
</cp:coreProperties>
</file>