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07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More Daniel 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06/01/2024</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06/01/2024</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4,822</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(2)</w:t>
            </w:r>
          </w:p>
        </w:tc>
        <w:tc>
          <w:tcPr>
            <w:tcW w:w="13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53,834</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bottom w:val="single" w:sz="8" w:color="2C2C2C"/>
            </w:tcBorders>
            <w:gridSpan w:val="4"/>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06/03/2024</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800</w:t>
            </w: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(3)</w:t>
            </w:r>
          </w:p>
        </w:tc>
        <w:tc>
          <w:tcPr>
            <w:tcW w:w="13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7"/>
                <w:szCs w:val="17"/>
                <w:color w:val="0000FF"/>
              </w:rPr>
              <w:t>54,634</w:t>
            </w:r>
            <w:r>
              <w:rPr>
                <w:rFonts w:ascii="Times New Roman" w:cs="Times New Roman" w:eastAsia="Times New Roman" w:hAnsi="Times New Roman"/>
                <w:sz w:val="22"/>
                <w:szCs w:val="22"/>
                <w:color w:val="008000"/>
                <w:vertAlign w:val="superscript"/>
              </w:rPr>
              <w:t>(4)</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4,822 Deferred Stock Units issued to the Reporting Person by Clearway Energy, Inc. under Clearway Energy, Inc.'s Amended and Restated 2013 Equity Incentive Plan.</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Deferred Stock Unit is equivalent to one share of Clearway Energy, Inc.'s Class C Common Stock, par value $.01 per share. The reporting person will receive from Clearway Energy, Inc. one such share of Class C Common Stock for each Deferred Stock Unit he owns upon termination of his service on Clearway Energy, Inc.'s Board of Directors or change in ownership or effective control of Clearway Energy, Inc.</w:t>
      </w:r>
    </w:p>
    <w:p>
      <w:pPr>
        <w:spacing w:after="0" w:line="2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8,640 dividend equivalent rights that may only be settled in Class C Common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06/04/2024</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39398"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2024-06-04T15:49:59Z</dcterms:created>
  <dcterms:modified xsi:type="dcterms:W3CDTF">2024-06-04T15:49:59Z</dcterms:modified>
</cp:coreProperties>
</file>