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Ford Brian R.</w:t>
              </w:r>
            </w:hyperlink>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Borders>
              <w:bottom w:val="single" w:sz="8" w:color="0000EE"/>
            </w:tcBorders>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0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0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12/02/2024</w:t>
            </w:r>
          </w:p>
        </w:tc>
        <w:tc>
          <w:tcPr>
            <w:tcW w:w="18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CLEARWAY ENERGY, INC.</w:t>
            </w:r>
          </w:p>
        </w:tc>
        <w:tc>
          <w:tcPr>
            <w:tcW w:w="13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8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3"/>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300 CARNEGIE CENTER, SUITE 300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9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5"/>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 $.01 per</w:t>
            </w: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12/02/2024</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color w:val="0000FF"/>
              </w:rPr>
              <w:t>124</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80" w:type="dxa"/>
            <w:vAlign w:val="bottom"/>
            <w:gridSpan w:val="3"/>
            <w:vMerge w:val="restart"/>
          </w:tcPr>
          <w:p>
            <w:pPr>
              <w:jc w:val="center"/>
              <w:ind w:left="29"/>
              <w:spacing w:after="0"/>
              <w:rPr>
                <w:sz w:val="20"/>
                <w:szCs w:val="20"/>
                <w:color w:val="auto"/>
              </w:rPr>
            </w:pPr>
            <w:r>
              <w:rPr>
                <w:rFonts w:ascii="Times New Roman" w:cs="Times New Roman" w:eastAsia="Times New Roman" w:hAnsi="Times New Roman"/>
                <w:sz w:val="17"/>
                <w:szCs w:val="17"/>
                <w:color w:val="0000FF"/>
                <w:w w:val="93"/>
              </w:rPr>
              <w:t>9,153</w:t>
            </w:r>
            <w:r>
              <w:rPr>
                <w:rFonts w:ascii="Times New Roman" w:cs="Times New Roman" w:eastAsia="Times New Roman" w:hAnsi="Times New Roman"/>
                <w:sz w:val="22"/>
                <w:szCs w:val="22"/>
                <w:color w:val="008000"/>
                <w:w w:val="93"/>
                <w:vertAlign w:val="superscript"/>
              </w:rPr>
              <w:t>(2)</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12/02/2024</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0000FF"/>
              </w:rPr>
              <w:t>1,119</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380" w:type="dxa"/>
            <w:vAlign w:val="bottom"/>
            <w:gridSpan w:val="3"/>
            <w:vMerge w:val="restart"/>
          </w:tcPr>
          <w:p>
            <w:pPr>
              <w:jc w:val="center"/>
              <w:ind w:left="29"/>
              <w:spacing w:after="0"/>
              <w:rPr>
                <w:sz w:val="20"/>
                <w:szCs w:val="20"/>
                <w:color w:val="auto"/>
              </w:rPr>
            </w:pPr>
            <w:r>
              <w:rPr>
                <w:rFonts w:ascii="Times New Roman" w:cs="Times New Roman" w:eastAsia="Times New Roman" w:hAnsi="Times New Roman"/>
                <w:sz w:val="17"/>
                <w:szCs w:val="17"/>
                <w:color w:val="0000FF"/>
                <w:w w:val="93"/>
              </w:rPr>
              <w:t>77,883</w:t>
            </w:r>
            <w:r>
              <w:rPr>
                <w:rFonts w:ascii="Times New Roman" w:cs="Times New Roman" w:eastAsia="Times New Roman" w:hAnsi="Times New Roman"/>
                <w:sz w:val="22"/>
                <w:szCs w:val="22"/>
                <w:color w:val="008000"/>
                <w:w w:val="93"/>
                <w:vertAlign w:val="superscript"/>
              </w:rPr>
              <w:t>(3)</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80" w:type="dxa"/>
            <w:vAlign w:val="bottom"/>
            <w:gridSpan w:val="3"/>
            <w:vMerge w:val="restart"/>
          </w:tcPr>
          <w:p>
            <w:pPr>
              <w:jc w:val="center"/>
              <w:ind w:left="29"/>
              <w:spacing w:after="0"/>
              <w:rPr>
                <w:sz w:val="20"/>
                <w:szCs w:val="20"/>
                <w:color w:val="auto"/>
              </w:rPr>
            </w:pPr>
            <w:r>
              <w:rPr>
                <w:rFonts w:ascii="Times New Roman" w:cs="Times New Roman" w:eastAsia="Times New Roman" w:hAnsi="Times New Roman"/>
                <w:sz w:val="17"/>
                <w:szCs w:val="17"/>
                <w:color w:val="0000FF"/>
              </w:rPr>
              <w:t>1,000</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Spouse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vMerge w:val="continue"/>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3,606 dividend equivalent rights that may only be settled in Class A Common Stock. There has been a de minimus adjustment of 2 shares to the number of dividend equivalent rights as a result of rounding fractional shares.</w:t>
      </w:r>
    </w:p>
    <w:p>
      <w:pPr>
        <w:spacing w:after="0" w:line="7"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20,373 dividend equivalent rights that may only be settled in Class C Common Stock. There has been a de minimus adjustment of 2 shares to the number of dividend equivalent rights as a result of rounding fractional shares.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are held by Reporting Person's spouse.</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12/04/2024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58874" TargetMode="External"/><Relationship Id="rId14"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2024-12-04T16:35:35Z</dcterms:created>
  <dcterms:modified xsi:type="dcterms:W3CDTF">2024-12-04T16:35:35Z</dcterms:modified>
</cp:coreProperties>
</file>