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31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31715"/>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513"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80" w:type="dxa"/>
            <w:vAlign w:val="bottom"/>
            <w:gridSpan w:val="3"/>
          </w:tcPr>
          <w:p>
            <w:pPr>
              <w:ind w:left="16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3640" w:type="dxa"/>
            <w:vAlign w:val="bottom"/>
            <w:gridSpan w:val="4"/>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BlackRock Portfolio Management LLC</w:t>
              </w:r>
            </w:hyperlink>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3"/>
          </w:tcPr>
          <w:p>
            <w:pPr>
              <w:spacing w:after="0" w:line="18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Clearway Energy,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CWEN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3640" w:type="dxa"/>
            <w:vAlign w:val="bottom"/>
            <w:gridSpan w:val="4"/>
            <w:vMerge w:val="continue"/>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780" w:type="dxa"/>
            <w:vAlign w:val="bottom"/>
            <w:tcBorders>
              <w:top w:val="single" w:sz="8" w:color="0000EE"/>
            </w:tcBorders>
          </w:tcPr>
          <w:p>
            <w:pPr>
              <w:spacing w:after="0"/>
              <w:rPr>
                <w:sz w:val="5"/>
                <w:szCs w:val="5"/>
                <w:color w:val="auto"/>
              </w:rPr>
            </w:pPr>
          </w:p>
        </w:tc>
        <w:tc>
          <w:tcPr>
            <w:tcW w:w="18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780" w:type="dxa"/>
            <w:vAlign w:val="bottom"/>
            <w:tcBorders>
              <w:top w:val="single" w:sz="8" w:color="0000EE"/>
              <w:bottom w:val="single" w:sz="8" w:color="9A9A9A"/>
            </w:tcBorders>
          </w:tcPr>
          <w:p>
            <w:pPr>
              <w:spacing w:after="0"/>
              <w:rPr>
                <w:sz w:val="16"/>
                <w:szCs w:val="16"/>
                <w:color w:val="auto"/>
              </w:rPr>
            </w:pPr>
          </w:p>
        </w:tc>
        <w:tc>
          <w:tcPr>
            <w:tcW w:w="1220" w:type="dxa"/>
            <w:vAlign w:val="bottom"/>
            <w:tcBorders>
              <w:top w:val="single" w:sz="8" w:color="0000EE"/>
              <w:bottom w:val="single" w:sz="8" w:color="9A9A9A"/>
            </w:tcBorders>
          </w:tcPr>
          <w:p>
            <w:pPr>
              <w:spacing w:after="0"/>
              <w:rPr>
                <w:sz w:val="16"/>
                <w:szCs w:val="16"/>
                <w:color w:val="auto"/>
              </w:rPr>
            </w:pPr>
          </w:p>
        </w:tc>
        <w:tc>
          <w:tcPr>
            <w:tcW w:w="1380" w:type="dxa"/>
            <w:vAlign w:val="bottom"/>
            <w:tcBorders>
              <w:top w:val="single" w:sz="8" w:color="0000EE"/>
              <w:bottom w:val="single" w:sz="8" w:color="9A9A9A"/>
            </w:tcBorders>
          </w:tcPr>
          <w:p>
            <w:pPr>
              <w:spacing w:after="0"/>
              <w:rPr>
                <w:sz w:val="16"/>
                <w:szCs w:val="16"/>
                <w:color w:val="auto"/>
              </w:rPr>
            </w:pPr>
          </w:p>
        </w:tc>
        <w:tc>
          <w:tcPr>
            <w:tcW w:w="26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Borders>
              <w:bottom w:val="single" w:sz="8" w:color="2C2C2C"/>
            </w:tcBorders>
          </w:tcPr>
          <w:p>
            <w:pPr>
              <w:spacing w:after="0"/>
              <w:rPr>
                <w:sz w:val="16"/>
                <w:szCs w:val="16"/>
                <w:color w:val="auto"/>
              </w:rPr>
            </w:pPr>
          </w:p>
        </w:tc>
        <w:tc>
          <w:tcPr>
            <w:tcW w:w="120" w:type="dxa"/>
            <w:vAlign w:val="bottom"/>
            <w:tcBorders>
              <w:bottom w:val="single" w:sz="8" w:color="2C2C2C"/>
            </w:tcBorders>
          </w:tcPr>
          <w:p>
            <w:pPr>
              <w:spacing w:after="0"/>
              <w:rPr>
                <w:sz w:val="16"/>
                <w:szCs w:val="16"/>
                <w:color w:val="auto"/>
              </w:rPr>
            </w:pPr>
          </w:p>
        </w:tc>
        <w:tc>
          <w:tcPr>
            <w:tcW w:w="1780" w:type="dxa"/>
            <w:vAlign w:val="bottom"/>
            <w:tcBorders>
              <w:bottom w:val="single" w:sz="8" w:color="2C2C2C"/>
            </w:tcBorders>
          </w:tcPr>
          <w:p>
            <w:pPr>
              <w:spacing w:after="0"/>
              <w:rPr>
                <w:sz w:val="16"/>
                <w:szCs w:val="16"/>
                <w:color w:val="auto"/>
              </w:rPr>
            </w:pPr>
          </w:p>
        </w:tc>
        <w:tc>
          <w:tcPr>
            <w:tcW w:w="1840" w:type="dxa"/>
            <w:vAlign w:val="bottom"/>
            <w:tcBorders>
              <w:bottom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40" w:type="dxa"/>
            <w:vAlign w:val="bottom"/>
          </w:tcPr>
          <w:p>
            <w:pPr>
              <w:spacing w:after="0"/>
              <w:rPr>
                <w:sz w:val="12"/>
                <w:szCs w:val="12"/>
                <w:color w:val="auto"/>
              </w:rPr>
            </w:pPr>
          </w:p>
        </w:tc>
        <w:tc>
          <w:tcPr>
            <w:tcW w:w="780" w:type="dxa"/>
            <w:vAlign w:val="bottom"/>
            <w:tcBorders>
              <w:top w:val="single" w:sz="8" w:color="EEEEEE"/>
            </w:tcBorders>
            <w:vMerge w:val="restart"/>
          </w:tcPr>
          <w:p>
            <w:pPr>
              <w:spacing w:after="0"/>
              <w:rPr>
                <w:sz w:val="20"/>
                <w:szCs w:val="20"/>
                <w:color w:val="auto"/>
              </w:rPr>
            </w:pPr>
            <w:r>
              <w:rPr>
                <w:rFonts w:ascii="Arial" w:cs="Arial" w:eastAsia="Arial" w:hAnsi="Arial"/>
                <w:sz w:val="13"/>
                <w:szCs w:val="13"/>
                <w:color w:val="auto"/>
              </w:rPr>
              <w:t>(Last)</w:t>
            </w:r>
          </w:p>
        </w:tc>
        <w:tc>
          <w:tcPr>
            <w:tcW w:w="1220" w:type="dxa"/>
            <w:vAlign w:val="bottom"/>
            <w:tcBorders>
              <w:top w:val="single" w:sz="8" w:color="EEEEEE"/>
            </w:tcBorders>
            <w:vMerge w:val="restart"/>
          </w:tcPr>
          <w:p>
            <w:pPr>
              <w:ind w:left="440"/>
              <w:spacing w:after="0"/>
              <w:rPr>
                <w:sz w:val="20"/>
                <w:szCs w:val="20"/>
                <w:color w:val="auto"/>
              </w:rPr>
            </w:pPr>
            <w:r>
              <w:rPr>
                <w:rFonts w:ascii="Arial" w:cs="Arial" w:eastAsia="Arial" w:hAnsi="Arial"/>
                <w:sz w:val="13"/>
                <w:szCs w:val="13"/>
                <w:color w:val="auto"/>
              </w:rPr>
              <w:t>(First)</w:t>
            </w:r>
          </w:p>
        </w:tc>
        <w:tc>
          <w:tcPr>
            <w:tcW w:w="1640" w:type="dxa"/>
            <w:vAlign w:val="bottom"/>
            <w:tcBorders>
              <w:top w:val="single" w:sz="8" w:color="EEEEEE"/>
            </w:tcBorders>
            <w:gridSpan w:val="2"/>
            <w:vMerge w:val="restart"/>
          </w:tcPr>
          <w:p>
            <w:pPr>
              <w:ind w:left="440"/>
              <w:spacing w:after="0"/>
              <w:rPr>
                <w:sz w:val="20"/>
                <w:szCs w:val="20"/>
                <w:color w:val="auto"/>
              </w:rPr>
            </w:pPr>
            <w:r>
              <w:rPr>
                <w:rFonts w:ascii="Arial" w:cs="Arial" w:eastAsia="Arial" w:hAnsi="Arial"/>
                <w:sz w:val="13"/>
                <w:szCs w:val="13"/>
                <w:color w:val="auto"/>
              </w:rPr>
              <w:t>(Middle)</w:t>
            </w:r>
          </w:p>
        </w:tc>
        <w:tc>
          <w:tcPr>
            <w:tcW w:w="280" w:type="dxa"/>
            <w:vAlign w:val="bottom"/>
            <w:gridSpan w:val="3"/>
          </w:tcPr>
          <w:p>
            <w:pPr>
              <w:ind w:left="160"/>
              <w:spacing w:after="0" w:line="146" w:lineRule="exact"/>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line="146" w:lineRule="exact"/>
              <w:rPr>
                <w:sz w:val="20"/>
                <w:szCs w:val="20"/>
                <w:color w:val="auto"/>
              </w:rPr>
            </w:pPr>
            <w:r>
              <w:rPr>
                <w:rFonts w:ascii="Arial" w:cs="Arial" w:eastAsia="Arial" w:hAnsi="Arial"/>
                <w:sz w:val="13"/>
                <w:szCs w:val="13"/>
                <w:color w:val="auto"/>
              </w:rPr>
              <w:t>Date of Earliest Transaction (Month/Day/Year)</w:t>
            </w:r>
          </w:p>
        </w:tc>
        <w:tc>
          <w:tcPr>
            <w:tcW w:w="0" w:type="dxa"/>
            <w:vAlign w:val="bottom"/>
          </w:tcPr>
          <w:p>
            <w:pPr>
              <w:spacing w:after="0"/>
              <w:rPr>
                <w:sz w:val="1"/>
                <w:szCs w:val="1"/>
                <w:color w:val="auto"/>
              </w:rPr>
            </w:pPr>
          </w:p>
        </w:tc>
      </w:tr>
      <w:tr>
        <w:trPr>
          <w:trHeight w:val="220"/>
        </w:trPr>
        <w:tc>
          <w:tcPr>
            <w:tcW w:w="40" w:type="dxa"/>
            <w:vAlign w:val="bottom"/>
          </w:tcPr>
          <w:p>
            <w:pPr>
              <w:spacing w:after="0"/>
              <w:rPr>
                <w:sz w:val="19"/>
                <w:szCs w:val="19"/>
                <w:color w:val="auto"/>
              </w:rPr>
            </w:pPr>
          </w:p>
        </w:tc>
        <w:tc>
          <w:tcPr>
            <w:tcW w:w="780" w:type="dxa"/>
            <w:vAlign w:val="bottom"/>
            <w:vMerge w:val="continue"/>
          </w:tcPr>
          <w:p>
            <w:pPr>
              <w:spacing w:after="0"/>
              <w:rPr>
                <w:sz w:val="19"/>
                <w:szCs w:val="19"/>
                <w:color w:val="auto"/>
              </w:rPr>
            </w:pPr>
          </w:p>
        </w:tc>
        <w:tc>
          <w:tcPr>
            <w:tcW w:w="1220" w:type="dxa"/>
            <w:vAlign w:val="bottom"/>
            <w:vMerge w:val="continue"/>
          </w:tcPr>
          <w:p>
            <w:pPr>
              <w:spacing w:after="0"/>
              <w:rPr>
                <w:sz w:val="19"/>
                <w:szCs w:val="19"/>
                <w:color w:val="auto"/>
              </w:rPr>
            </w:pPr>
          </w:p>
        </w:tc>
        <w:tc>
          <w:tcPr>
            <w:tcW w:w="1640" w:type="dxa"/>
            <w:vAlign w:val="bottom"/>
            <w:gridSpan w:val="2"/>
            <w:vMerge w:val="continue"/>
          </w:tcPr>
          <w:p>
            <w:pPr>
              <w:spacing w:after="0"/>
              <w:rPr>
                <w:sz w:val="19"/>
                <w:szCs w:val="19"/>
                <w:color w:val="auto"/>
              </w:rPr>
            </w:pPr>
          </w:p>
        </w:tc>
        <w:tc>
          <w:tcPr>
            <w:tcW w:w="2060" w:type="dxa"/>
            <w:vAlign w:val="bottom"/>
            <w:gridSpan w:val="4"/>
          </w:tcPr>
          <w:p>
            <w:pPr>
              <w:ind w:left="160"/>
              <w:spacing w:after="0"/>
              <w:rPr>
                <w:sz w:val="20"/>
                <w:szCs w:val="20"/>
                <w:color w:val="auto"/>
              </w:rPr>
            </w:pPr>
            <w:r>
              <w:rPr>
                <w:rFonts w:ascii="Times New Roman" w:cs="Times New Roman" w:eastAsia="Times New Roman" w:hAnsi="Times New Roman"/>
                <w:sz w:val="17"/>
                <w:szCs w:val="17"/>
                <w:color w:val="0000FF"/>
              </w:rPr>
              <w:t>05/12/2025</w:t>
            </w:r>
          </w:p>
        </w:tc>
        <w:tc>
          <w:tcPr>
            <w:tcW w:w="18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ind w:left="120"/>
        <w:spacing w:after="0"/>
        <w:rPr>
          <w:sz w:val="20"/>
          <w:szCs w:val="20"/>
          <w:color w:val="auto"/>
        </w:rPr>
      </w:pPr>
      <w:r>
        <w:rPr>
          <w:rFonts w:ascii="Times New Roman" w:cs="Times New Roman" w:eastAsia="Times New Roman" w:hAnsi="Times New Roman"/>
          <w:sz w:val="17"/>
          <w:szCs w:val="17"/>
          <w:color w:val="0000FF"/>
        </w:rPr>
        <w:t>50 HUDSON YARDS</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525"/>
        <w:spacing w:after="0"/>
        <w:tabs>
          <w:tab w:leader="none" w:pos="1712" w:val="left"/>
        </w:tabs>
        <w:rPr>
          <w:sz w:val="20"/>
          <w:szCs w:val="20"/>
          <w:color w:val="auto"/>
        </w:rPr>
      </w:pPr>
      <w:r>
        <w:rPr>
          <w:rFonts w:ascii="Arial" w:cs="Arial" w:eastAsia="Arial" w:hAnsi="Arial"/>
          <w:sz w:val="13"/>
          <w:szCs w:val="13"/>
          <w:color w:val="auto"/>
        </w:rPr>
        <w:t>Director</w:t>
      </w:r>
      <w:r>
        <w:rPr>
          <w:sz w:val="20"/>
          <w:szCs w:val="20"/>
          <w:color w:val="auto"/>
        </w:rPr>
        <w:tab/>
      </w:r>
      <w:r>
        <w:rPr>
          <w:sz w:val="1"/>
          <w:szCs w:val="1"/>
          <w:color w:val="auto"/>
        </w:rPr>
        <w:drawing>
          <wp:inline distT="0" distB="0" distL="0" distR="0">
            <wp:extent cx="127000" cy="10477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7000" cy="104775"/>
                    </a:xfrm>
                    <a:prstGeom prst="rect">
                      <a:avLst/>
                    </a:prstGeom>
                    <a:noFill/>
                    <a:ln>
                      <a:noFill/>
                    </a:ln>
                  </pic:spPr>
                </pic:pic>
              </a:graphicData>
            </a:graphic>
          </wp:inline>
        </w:drawing>
      </w:r>
      <w:r>
        <w:rPr>
          <w:rFonts w:ascii="Arial" w:cs="Arial" w:eastAsia="Arial" w:hAnsi="Arial"/>
          <w:sz w:val="13"/>
          <w:szCs w:val="13"/>
          <w:color w:val="auto"/>
        </w:rPr>
        <w:t xml:space="preserve">  10% Owner</w:t>
      </w:r>
    </w:p>
    <w:p>
      <w:pPr>
        <w:spacing w:after="0" w:line="51" w:lineRule="exact"/>
        <w:rPr>
          <w:sz w:val="20"/>
          <w:szCs w:val="20"/>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5" w:lineRule="exact"/>
        <w:rPr>
          <w:sz w:val="20"/>
          <w:szCs w:val="20"/>
          <w:color w:val="auto"/>
        </w:rPr>
      </w:pPr>
    </w:p>
    <w:p>
      <w:pPr>
        <w:sectPr>
          <w:pgSz w:w="11900" w:h="16838" w:orient="portrait"/>
          <w:cols w:equalWidth="0" w:num="2">
            <w:col w:w="7660" w:space="75"/>
            <w:col w:w="3345"/>
          </w:cols>
          <w:pgMar w:left="460" w:top="219" w:right="359" w:bottom="513" w:gutter="0" w:footer="0" w:header="0"/>
          <w:type w:val="continuous"/>
        </w:sectPr>
      </w:pPr>
    </w:p>
    <w:p>
      <w:pPr>
        <w:spacing w:after="0" w:line="240"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10001</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0"/>
          <w:szCs w:val="20"/>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409" w:lineRule="exact"/>
        <w:rPr>
          <w:sz w:val="20"/>
          <w:szCs w:val="20"/>
          <w:color w:val="auto"/>
        </w:rPr>
      </w:pPr>
    </w:p>
    <w:p>
      <w:pPr>
        <w:sectPr>
          <w:pgSz w:w="11900" w:h="16838" w:orient="portrait"/>
          <w:cols w:equalWidth="0" w:num="2">
            <w:col w:w="3760" w:space="160"/>
            <w:col w:w="7160"/>
          </w:cols>
          <w:pgMar w:left="460" w:top="219" w:right="359" w:bottom="513"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20" w:type="dxa"/>
            <w:vAlign w:val="bottom"/>
          </w:tcPr>
          <w:p>
            <w:pPr>
              <w:ind w:left="300"/>
              <w:spacing w:after="0"/>
              <w:rPr>
                <w:sz w:val="20"/>
                <w:szCs w:val="20"/>
                <w:color w:val="auto"/>
              </w:rPr>
            </w:pPr>
            <w:r>
              <w:rPr>
                <w:rFonts w:ascii="Arial" w:cs="Arial" w:eastAsia="Arial" w:hAnsi="Arial"/>
                <w:sz w:val="12"/>
                <w:szCs w:val="12"/>
                <w:b w:val="1"/>
                <w:bCs w:val="1"/>
                <w:color w:val="auto"/>
                <w:w w:val="98"/>
              </w:rPr>
              <w:t>2.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160" w:type="dxa"/>
            <w:vAlign w:val="bottom"/>
          </w:tcPr>
          <w:p>
            <w:pPr>
              <w:spacing w:after="0"/>
              <w:rPr>
                <w:sz w:val="20"/>
                <w:szCs w:val="20"/>
                <w:color w:val="auto"/>
              </w:rPr>
            </w:pPr>
            <w:r>
              <w:rPr>
                <w:rFonts w:ascii="Arial" w:cs="Arial" w:eastAsia="Arial" w:hAnsi="Arial"/>
                <w:sz w:val="12"/>
                <w:szCs w:val="12"/>
                <w:b w:val="1"/>
                <w:bCs w:val="1"/>
                <w:color w:val="auto"/>
              </w:rPr>
              <w:t>3.</w:t>
            </w:r>
          </w:p>
        </w:tc>
        <w:tc>
          <w:tcPr>
            <w:tcW w:w="580" w:type="dxa"/>
            <w:vAlign w:val="bottom"/>
          </w:tcPr>
          <w:p>
            <w:pPr>
              <w:spacing w:after="0"/>
              <w:rPr>
                <w:sz w:val="13"/>
                <w:szCs w:val="13"/>
                <w:color w:val="auto"/>
              </w:rPr>
            </w:pPr>
          </w:p>
        </w:tc>
        <w:tc>
          <w:tcPr>
            <w:tcW w:w="186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rPr>
              <w:t>5. Amount of</w:t>
            </w:r>
          </w:p>
        </w:tc>
        <w:tc>
          <w:tcPr>
            <w:tcW w:w="1160" w:type="dxa"/>
            <w:vAlign w:val="bottom"/>
            <w:gridSpan w:val="2"/>
          </w:tcPr>
          <w:p>
            <w:pPr>
              <w:ind w:left="280"/>
              <w:spacing w:after="0"/>
              <w:rPr>
                <w:sz w:val="20"/>
                <w:szCs w:val="20"/>
                <w:color w:val="auto"/>
              </w:rPr>
            </w:pPr>
            <w:r>
              <w:rPr>
                <w:rFonts w:ascii="Arial" w:cs="Arial" w:eastAsia="Arial" w:hAnsi="Arial"/>
                <w:sz w:val="12"/>
                <w:szCs w:val="12"/>
                <w:b w:val="1"/>
                <w:bCs w:val="1"/>
                <w:color w:val="auto"/>
              </w:rPr>
              <w:t>6. Ownership</w:t>
            </w:r>
          </w:p>
        </w:tc>
        <w:tc>
          <w:tcPr>
            <w:tcW w:w="1260" w:type="dxa"/>
            <w:vAlign w:val="bottom"/>
            <w:gridSpan w:val="4"/>
          </w:tcPr>
          <w:p>
            <w:pPr>
              <w:ind w:left="4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18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w:t>
            </w: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1160" w:type="dxa"/>
            <w:vAlign w:val="bottom"/>
            <w:gridSpan w:val="2"/>
          </w:tcPr>
          <w:p>
            <w:pPr>
              <w:ind w:left="280"/>
              <w:spacing w:after="0" w:line="133" w:lineRule="exact"/>
              <w:rPr>
                <w:sz w:val="20"/>
                <w:szCs w:val="20"/>
                <w:color w:val="auto"/>
              </w:rPr>
            </w:pPr>
            <w:r>
              <w:rPr>
                <w:rFonts w:ascii="Arial" w:cs="Arial" w:eastAsia="Arial" w:hAnsi="Arial"/>
                <w:sz w:val="12"/>
                <w:szCs w:val="12"/>
                <w:b w:val="1"/>
                <w:bCs w:val="1"/>
                <w:color w:val="auto"/>
              </w:rPr>
              <w:t>Form: Direct</w:t>
            </w:r>
          </w:p>
        </w:tc>
        <w:tc>
          <w:tcPr>
            <w:tcW w:w="126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Indirect 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(Month/Day/Year)  if any</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and 5)</w:t>
            </w:r>
          </w:p>
        </w:tc>
        <w:tc>
          <w:tcPr>
            <w:tcW w:w="4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 or</w:t>
            </w:r>
          </w:p>
        </w:tc>
        <w:tc>
          <w:tcPr>
            <w:tcW w:w="240" w:type="dxa"/>
            <w:vAlign w:val="bottom"/>
          </w:tcPr>
          <w:p>
            <w:pPr>
              <w:spacing w:after="0"/>
              <w:rPr>
                <w:sz w:val="11"/>
                <w:szCs w:val="11"/>
                <w:color w:val="auto"/>
              </w:rPr>
            </w:pPr>
          </w:p>
        </w:tc>
        <w:tc>
          <w:tcPr>
            <w:tcW w:w="126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Ownership (Instr.</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16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Indirect (I)</w:t>
            </w:r>
          </w:p>
        </w:tc>
        <w:tc>
          <w:tcPr>
            <w:tcW w:w="240" w:type="dxa"/>
            <w:vAlign w:val="bottom"/>
          </w:tcPr>
          <w:p>
            <w:pPr>
              <w:spacing w:after="0"/>
              <w:rPr>
                <w:sz w:val="11"/>
                <w:szCs w:val="11"/>
                <w:color w:val="auto"/>
              </w:rPr>
            </w:pPr>
          </w:p>
        </w:tc>
        <w:tc>
          <w:tcPr>
            <w:tcW w:w="4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Borders>
              <w:bottom w:val="single" w:sz="8" w:color="808080"/>
            </w:tcBorders>
          </w:tcPr>
          <w:p>
            <w:pPr>
              <w:spacing w:after="0"/>
              <w:rPr>
                <w:sz w:val="13"/>
                <w:szCs w:val="13"/>
                <w:color w:val="auto"/>
              </w:rPr>
            </w:pPr>
          </w:p>
        </w:tc>
        <w:tc>
          <w:tcPr>
            <w:tcW w:w="160" w:type="dxa"/>
            <w:vAlign w:val="bottom"/>
            <w:tcBorders>
              <w:bottom w:val="single" w:sz="8" w:color="808080"/>
            </w:tcBorders>
          </w:tcPr>
          <w:p>
            <w:pPr>
              <w:spacing w:after="0"/>
              <w:rPr>
                <w:sz w:val="13"/>
                <w:szCs w:val="13"/>
                <w:color w:val="auto"/>
              </w:rPr>
            </w:pPr>
          </w:p>
        </w:tc>
        <w:tc>
          <w:tcPr>
            <w:tcW w:w="580" w:type="dxa"/>
            <w:vAlign w:val="bottom"/>
            <w:tcBorders>
              <w:bottom w:val="single" w:sz="8" w:color="808080"/>
            </w:tcBorders>
          </w:tcPr>
          <w:p>
            <w:pPr>
              <w:spacing w:after="0"/>
              <w:rPr>
                <w:sz w:val="13"/>
                <w:szCs w:val="13"/>
                <w:color w:val="auto"/>
              </w:rPr>
            </w:pPr>
          </w:p>
        </w:tc>
        <w:tc>
          <w:tcPr>
            <w:tcW w:w="820" w:type="dxa"/>
            <w:vAlign w:val="bottom"/>
            <w:tcBorders>
              <w:bottom w:val="single" w:sz="8" w:color="808080"/>
            </w:tcBorders>
          </w:tcPr>
          <w:p>
            <w:pPr>
              <w:spacing w:after="0"/>
              <w:rPr>
                <w:sz w:val="13"/>
                <w:szCs w:val="13"/>
                <w:color w:val="auto"/>
              </w:rPr>
            </w:pPr>
          </w:p>
        </w:tc>
        <w:tc>
          <w:tcPr>
            <w:tcW w:w="460" w:type="dxa"/>
            <w:vAlign w:val="bottom"/>
            <w:tcBorders>
              <w:bottom w:val="single" w:sz="8" w:color="808080"/>
            </w:tcBorders>
          </w:tcPr>
          <w:p>
            <w:pPr>
              <w:spacing w:after="0"/>
              <w:rPr>
                <w:sz w:val="13"/>
                <w:szCs w:val="13"/>
                <w:color w:val="auto"/>
              </w:rPr>
            </w:pPr>
          </w:p>
        </w:tc>
        <w:tc>
          <w:tcPr>
            <w:tcW w:w="540" w:type="dxa"/>
            <w:vAlign w:val="bottom"/>
            <w:tcBorders>
              <w:bottom w:val="single" w:sz="8" w:color="808080"/>
            </w:tcBorders>
          </w:tcPr>
          <w:p>
            <w:pPr>
              <w:spacing w:after="0"/>
              <w:rPr>
                <w:sz w:val="13"/>
                <w:szCs w:val="13"/>
                <w:color w:val="auto"/>
              </w:rPr>
            </w:pPr>
          </w:p>
        </w:tc>
        <w:tc>
          <w:tcPr>
            <w:tcW w:w="40" w:type="dxa"/>
            <w:vAlign w:val="bottom"/>
          </w:tcPr>
          <w:p>
            <w:pPr>
              <w:spacing w:after="0"/>
              <w:rPr>
                <w:sz w:val="13"/>
                <w:szCs w:val="13"/>
                <w:color w:val="auto"/>
              </w:rPr>
            </w:pP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(Instr. 4)</w:t>
            </w: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2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Borders>
              <w:top w:val="single" w:sz="8" w:color="2C2C2C"/>
            </w:tcBorders>
          </w:tcPr>
          <w:p>
            <w:pPr>
              <w:spacing w:after="0"/>
              <w:rPr>
                <w:sz w:val="7"/>
                <w:szCs w:val="7"/>
                <w:color w:val="auto"/>
              </w:rPr>
            </w:pPr>
          </w:p>
        </w:tc>
        <w:tc>
          <w:tcPr>
            <w:tcW w:w="160" w:type="dxa"/>
            <w:vAlign w:val="bottom"/>
            <w:tcBorders>
              <w:top w:val="single" w:sz="8" w:color="2C2C2C"/>
            </w:tcBorders>
          </w:tcPr>
          <w:p>
            <w:pPr>
              <w:spacing w:after="0"/>
              <w:rPr>
                <w:sz w:val="7"/>
                <w:szCs w:val="7"/>
                <w:color w:val="auto"/>
              </w:rPr>
            </w:pPr>
          </w:p>
        </w:tc>
        <w:tc>
          <w:tcPr>
            <w:tcW w:w="580" w:type="dxa"/>
            <w:vAlign w:val="bottom"/>
            <w:tcBorders>
              <w:top w:val="single" w:sz="8" w:color="2C2C2C"/>
            </w:tcBorders>
          </w:tcPr>
          <w:p>
            <w:pPr>
              <w:spacing w:after="0"/>
              <w:rPr>
                <w:sz w:val="7"/>
                <w:szCs w:val="7"/>
                <w:color w:val="auto"/>
              </w:rPr>
            </w:pPr>
          </w:p>
        </w:tc>
        <w:tc>
          <w:tcPr>
            <w:tcW w:w="820" w:type="dxa"/>
            <w:vAlign w:val="bottom"/>
            <w:tcBorders>
              <w:top w:val="single" w:sz="8" w:color="2C2C2C"/>
            </w:tcBorders>
          </w:tcPr>
          <w:p>
            <w:pPr>
              <w:spacing w:after="0"/>
              <w:rPr>
                <w:sz w:val="7"/>
                <w:szCs w:val="7"/>
                <w:color w:val="auto"/>
              </w:rPr>
            </w:pPr>
          </w:p>
        </w:tc>
        <w:tc>
          <w:tcPr>
            <w:tcW w:w="460" w:type="dxa"/>
            <w:vAlign w:val="bottom"/>
            <w:tcBorders>
              <w:top w:val="single" w:sz="8" w:color="2C2C2C"/>
            </w:tcBorders>
            <w:vMerge w:val="restart"/>
          </w:tcPr>
          <w:p>
            <w:pPr>
              <w:ind w:left="20"/>
              <w:spacing w:after="0"/>
              <w:rPr>
                <w:sz w:val="20"/>
                <w:szCs w:val="20"/>
                <w:color w:val="auto"/>
              </w:rPr>
            </w:pPr>
            <w:r>
              <w:rPr>
                <w:rFonts w:ascii="Arial" w:cs="Arial" w:eastAsia="Arial" w:hAnsi="Arial"/>
                <w:sz w:val="12"/>
                <w:szCs w:val="12"/>
                <w:b w:val="1"/>
                <w:bCs w:val="1"/>
                <w:color w:val="auto"/>
              </w:rPr>
              <w:t>(A) or</w:t>
            </w:r>
          </w:p>
        </w:tc>
        <w:tc>
          <w:tcPr>
            <w:tcW w:w="540" w:type="dxa"/>
            <w:vAlign w:val="bottom"/>
            <w:tcBorders>
              <w:top w:val="single" w:sz="8" w:color="2C2C2C"/>
            </w:tcBorders>
          </w:tcPr>
          <w:p>
            <w:pPr>
              <w:spacing w:after="0"/>
              <w:rPr>
                <w:sz w:val="7"/>
                <w:szCs w:val="7"/>
                <w:color w:val="auto"/>
              </w:rPr>
            </w:pPr>
          </w:p>
        </w:tc>
        <w:tc>
          <w:tcPr>
            <w:tcW w:w="40" w:type="dxa"/>
            <w:vAlign w:val="bottom"/>
          </w:tcPr>
          <w:p>
            <w:pPr>
              <w:spacing w:after="0"/>
              <w:rPr>
                <w:sz w:val="7"/>
                <w:szCs w:val="7"/>
                <w:color w:val="auto"/>
              </w:rPr>
            </w:pPr>
          </w:p>
        </w:tc>
        <w:tc>
          <w:tcPr>
            <w:tcW w:w="860" w:type="dxa"/>
            <w:vAlign w:val="bottom"/>
            <w:gridSpan w:val="2"/>
          </w:tcPr>
          <w:p>
            <w:pPr>
              <w:ind w:left="20"/>
              <w:spacing w:after="0" w:line="86" w:lineRule="exact"/>
              <w:rPr>
                <w:sz w:val="20"/>
                <w:szCs w:val="20"/>
                <w:color w:val="auto"/>
              </w:rPr>
            </w:pPr>
            <w:r>
              <w:rPr>
                <w:rFonts w:ascii="Arial" w:cs="Arial" w:eastAsia="Arial" w:hAnsi="Arial"/>
                <w:sz w:val="8"/>
                <w:szCs w:val="8"/>
                <w:b w:val="1"/>
                <w:bCs w:val="1"/>
                <w:color w:val="auto"/>
              </w:rPr>
              <w:t>Reported</w:t>
            </w:r>
          </w:p>
        </w:tc>
        <w:tc>
          <w:tcPr>
            <w:tcW w:w="920" w:type="dxa"/>
            <w:vAlign w:val="bottom"/>
          </w:tcPr>
          <w:p>
            <w:pPr>
              <w:spacing w:after="0"/>
              <w:rPr>
                <w:sz w:val="7"/>
                <w:szCs w:val="7"/>
                <w:color w:val="auto"/>
              </w:rPr>
            </w:pPr>
          </w:p>
        </w:tc>
        <w:tc>
          <w:tcPr>
            <w:tcW w:w="240" w:type="dxa"/>
            <w:vAlign w:val="bottom"/>
          </w:tcPr>
          <w:p>
            <w:pPr>
              <w:spacing w:after="0"/>
              <w:rPr>
                <w:sz w:val="7"/>
                <w:szCs w:val="7"/>
                <w:color w:val="auto"/>
              </w:rPr>
            </w:pPr>
          </w:p>
        </w:tc>
        <w:tc>
          <w:tcPr>
            <w:tcW w:w="48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gridSpan w:val="2"/>
          </w:tcPr>
          <w:p>
            <w:pPr>
              <w:spacing w:after="0"/>
              <w:rPr>
                <w:sz w:val="20"/>
                <w:szCs w:val="20"/>
                <w:color w:val="auto"/>
              </w:rPr>
            </w:pPr>
            <w:r>
              <w:rPr>
                <w:rFonts w:ascii="Arial" w:cs="Arial" w:eastAsia="Arial" w:hAnsi="Arial"/>
                <w:sz w:val="12"/>
                <w:szCs w:val="12"/>
                <w:b w:val="1"/>
                <w:bCs w:val="1"/>
                <w:color w:val="auto"/>
              </w:rPr>
              <w:t>Code  V</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460" w:type="dxa"/>
            <w:vAlign w:val="bottom"/>
            <w:vMerge w:val="continue"/>
          </w:tcPr>
          <w:p>
            <w:pPr>
              <w:spacing w:after="0"/>
              <w:rPr>
                <w:sz w:val="13"/>
                <w:szCs w:val="13"/>
                <w:color w:val="auto"/>
              </w:rPr>
            </w:pPr>
          </w:p>
        </w:tc>
        <w:tc>
          <w:tcPr>
            <w:tcW w:w="580" w:type="dxa"/>
            <w:vAlign w:val="bottom"/>
            <w:gridSpan w:val="2"/>
          </w:tcPr>
          <w:p>
            <w:pPr>
              <w:jc w:val="right"/>
              <w:ind w:right="260"/>
              <w:spacing w:after="0"/>
              <w:rPr>
                <w:sz w:val="20"/>
                <w:szCs w:val="20"/>
                <w:color w:val="auto"/>
              </w:rPr>
            </w:pPr>
            <w:r>
              <w:rPr>
                <w:rFonts w:ascii="Arial" w:cs="Arial" w:eastAsia="Arial" w:hAnsi="Arial"/>
                <w:sz w:val="12"/>
                <w:szCs w:val="12"/>
                <w:b w:val="1"/>
                <w:bCs w:val="1"/>
                <w:color w:val="auto"/>
              </w:rPr>
              <w:t>Price</w:t>
            </w: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w w:val="99"/>
              </w:rPr>
              <w:t>Transaction(s)</w:t>
            </w:r>
          </w:p>
        </w:tc>
        <w:tc>
          <w:tcPr>
            <w:tcW w:w="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820" w:type="dxa"/>
            <w:vAlign w:val="bottom"/>
            <w:tcBorders>
              <w:bottom w:val="single" w:sz="8" w:color="2C2C2C"/>
            </w:tcBorders>
          </w:tcPr>
          <w:p>
            <w:pPr>
              <w:spacing w:after="0"/>
              <w:rPr>
                <w:sz w:val="15"/>
                <w:szCs w:val="15"/>
                <w:color w:val="auto"/>
              </w:rPr>
            </w:pPr>
          </w:p>
        </w:tc>
        <w:tc>
          <w:tcPr>
            <w:tcW w:w="54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160" w:type="dxa"/>
            <w:vAlign w:val="bottom"/>
            <w:tcBorders>
              <w:bottom w:val="single" w:sz="8" w:color="2C2C2C"/>
            </w:tcBorders>
          </w:tcPr>
          <w:p>
            <w:pPr>
              <w:spacing w:after="0"/>
              <w:rPr>
                <w:sz w:val="15"/>
                <w:szCs w:val="15"/>
                <w:color w:val="auto"/>
              </w:rPr>
            </w:pPr>
          </w:p>
        </w:tc>
        <w:tc>
          <w:tcPr>
            <w:tcW w:w="580" w:type="dxa"/>
            <w:vAlign w:val="bottom"/>
            <w:tcBorders>
              <w:bottom w:val="single" w:sz="8" w:color="2C2C2C"/>
            </w:tcBorders>
          </w:tcPr>
          <w:p>
            <w:pPr>
              <w:spacing w:after="0"/>
              <w:rPr>
                <w:sz w:val="15"/>
                <w:szCs w:val="15"/>
                <w:color w:val="auto"/>
              </w:rPr>
            </w:pPr>
          </w:p>
        </w:tc>
        <w:tc>
          <w:tcPr>
            <w:tcW w:w="820" w:type="dxa"/>
            <w:vAlign w:val="bottom"/>
            <w:tcBorders>
              <w:bottom w:val="single" w:sz="8" w:color="2C2C2C"/>
            </w:tcBorders>
          </w:tcPr>
          <w:p>
            <w:pPr>
              <w:spacing w:after="0"/>
              <w:rPr>
                <w:sz w:val="15"/>
                <w:szCs w:val="15"/>
                <w:color w:val="auto"/>
              </w:rPr>
            </w:pPr>
          </w:p>
        </w:tc>
        <w:tc>
          <w:tcPr>
            <w:tcW w:w="460" w:type="dxa"/>
            <w:vAlign w:val="bottom"/>
            <w:tcBorders>
              <w:bottom w:val="single" w:sz="8" w:color="2C2C2C"/>
            </w:tcBorders>
          </w:tcPr>
          <w:p>
            <w:pPr>
              <w:ind w:left="20"/>
              <w:spacing w:after="0"/>
              <w:rPr>
                <w:sz w:val="20"/>
                <w:szCs w:val="20"/>
                <w:color w:val="auto"/>
              </w:rPr>
            </w:pPr>
            <w:r>
              <w:rPr>
                <w:rFonts w:ascii="Arial" w:cs="Arial" w:eastAsia="Arial" w:hAnsi="Arial"/>
                <w:sz w:val="12"/>
                <w:szCs w:val="12"/>
                <w:b w:val="1"/>
                <w:bCs w:val="1"/>
                <w:color w:val="auto"/>
              </w:rPr>
              <w:t>(D)</w:t>
            </w:r>
          </w:p>
        </w:tc>
        <w:tc>
          <w:tcPr>
            <w:tcW w:w="54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860" w:type="dxa"/>
            <w:vAlign w:val="bottom"/>
            <w:tcBorders>
              <w:bottom w:val="single" w:sz="8" w:color="2C2C2C"/>
            </w:tcBorders>
            <w:gridSpan w:val="2"/>
          </w:tcPr>
          <w:p>
            <w:pPr>
              <w:ind w:left="20"/>
              <w:spacing w:after="0"/>
              <w:rPr>
                <w:sz w:val="20"/>
                <w:szCs w:val="20"/>
                <w:color w:val="auto"/>
              </w:rPr>
            </w:pPr>
            <w:r>
              <w:rPr>
                <w:rFonts w:ascii="Arial" w:cs="Arial" w:eastAsia="Arial" w:hAnsi="Arial"/>
                <w:sz w:val="12"/>
                <w:szCs w:val="12"/>
                <w:b w:val="1"/>
                <w:bCs w:val="1"/>
                <w:color w:val="auto"/>
                <w:w w:val="99"/>
              </w:rPr>
              <w:t>(Instr. 3 and 4)</w:t>
            </w:r>
          </w:p>
        </w:tc>
        <w:tc>
          <w:tcPr>
            <w:tcW w:w="920" w:type="dxa"/>
            <w:vAlign w:val="bottom"/>
            <w:tcBorders>
              <w:bottom w:val="single" w:sz="8" w:color="2C2C2C"/>
            </w:tcBorders>
          </w:tcPr>
          <w:p>
            <w:pPr>
              <w:spacing w:after="0"/>
              <w:rPr>
                <w:sz w:val="15"/>
                <w:szCs w:val="15"/>
                <w:color w:val="auto"/>
              </w:rPr>
            </w:pPr>
          </w:p>
        </w:tc>
        <w:tc>
          <w:tcPr>
            <w:tcW w:w="240" w:type="dxa"/>
            <w:vAlign w:val="bottom"/>
            <w:tcBorders>
              <w:bottom w:val="single" w:sz="8" w:color="2C2C2C"/>
            </w:tcBorders>
          </w:tcPr>
          <w:p>
            <w:pPr>
              <w:spacing w:after="0"/>
              <w:rPr>
                <w:sz w:val="15"/>
                <w:szCs w:val="15"/>
                <w:color w:val="auto"/>
              </w:rPr>
            </w:pPr>
          </w:p>
        </w:tc>
        <w:tc>
          <w:tcPr>
            <w:tcW w:w="480" w:type="dxa"/>
            <w:vAlign w:val="bottom"/>
            <w:tcBorders>
              <w:bottom w:val="single" w:sz="8" w:color="2C2C2C"/>
            </w:tcBorders>
          </w:tcPr>
          <w:p>
            <w:pPr>
              <w:spacing w:after="0"/>
              <w:rPr>
                <w:sz w:val="15"/>
                <w:szCs w:val="15"/>
                <w:color w:val="auto"/>
              </w:rPr>
            </w:pPr>
          </w:p>
        </w:tc>
        <w:tc>
          <w:tcPr>
            <w:tcW w:w="66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C Common Stock</w:t>
            </w:r>
          </w:p>
        </w:tc>
        <w:tc>
          <w:tcPr>
            <w:tcW w:w="1940" w:type="dxa"/>
            <w:vAlign w:val="bottom"/>
            <w:gridSpan w:val="2"/>
            <w:vMerge w:val="restart"/>
          </w:tcPr>
          <w:p>
            <w:pPr>
              <w:ind w:left="400"/>
              <w:spacing w:after="0"/>
              <w:rPr>
                <w:sz w:val="20"/>
                <w:szCs w:val="20"/>
                <w:color w:val="auto"/>
              </w:rPr>
            </w:pPr>
            <w:r>
              <w:rPr>
                <w:rFonts w:ascii="Times New Roman" w:cs="Times New Roman" w:eastAsia="Times New Roman" w:hAnsi="Times New Roman"/>
                <w:sz w:val="17"/>
                <w:szCs w:val="17"/>
                <w:color w:val="0000FF"/>
              </w:rPr>
              <w:t>05/12/2025</w:t>
            </w:r>
          </w:p>
        </w:tc>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gridSpan w:val="2"/>
            <w:vMerge w:val="restart"/>
          </w:tcPr>
          <w:p>
            <w:pPr>
              <w:ind w:left="80"/>
              <w:spacing w:after="0"/>
              <w:rPr>
                <w:sz w:val="20"/>
                <w:szCs w:val="20"/>
                <w:color w:val="auto"/>
              </w:rPr>
            </w:pPr>
            <w:r>
              <w:rPr>
                <w:rFonts w:ascii="Times New Roman" w:cs="Times New Roman" w:eastAsia="Times New Roman" w:hAnsi="Times New Roman"/>
                <w:sz w:val="26"/>
                <w:szCs w:val="26"/>
                <w:color w:val="0000FF"/>
                <w:vertAlign w:val="subscript"/>
              </w:rPr>
              <w:t>J</w:t>
            </w:r>
            <w:r>
              <w:rPr>
                <w:rFonts w:ascii="Times New Roman" w:cs="Times New Roman" w:eastAsia="Times New Roman" w:hAnsi="Times New Roman"/>
                <w:sz w:val="11"/>
                <w:szCs w:val="11"/>
                <w:color w:val="008000"/>
              </w:rPr>
              <w:t>(1)</w:t>
            </w:r>
          </w:p>
        </w:tc>
        <w:tc>
          <w:tcPr>
            <w:tcW w:w="820" w:type="dxa"/>
            <w:vAlign w:val="bottom"/>
            <w:vMerge w:val="restart"/>
          </w:tcPr>
          <w:p>
            <w:pPr>
              <w:ind w:left="260"/>
              <w:spacing w:after="0"/>
              <w:rPr>
                <w:sz w:val="20"/>
                <w:szCs w:val="20"/>
                <w:color w:val="auto"/>
              </w:rPr>
            </w:pPr>
            <w:r>
              <w:rPr>
                <w:rFonts w:ascii="Times New Roman" w:cs="Times New Roman" w:eastAsia="Times New Roman" w:hAnsi="Times New Roman"/>
                <w:sz w:val="17"/>
                <w:szCs w:val="17"/>
                <w:color w:val="0000FF"/>
              </w:rPr>
              <w:t>821</w:t>
            </w:r>
          </w:p>
        </w:tc>
        <w:tc>
          <w:tcPr>
            <w:tcW w:w="46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vMerge w:val="restart"/>
          </w:tcPr>
          <w:p>
            <w:pPr>
              <w:jc w:val="right"/>
              <w:ind w:right="161"/>
              <w:spacing w:after="0"/>
              <w:rPr>
                <w:sz w:val="20"/>
                <w:szCs w:val="20"/>
                <w:color w:val="auto"/>
              </w:rPr>
            </w:pPr>
            <w:r>
              <w:rPr>
                <w:rFonts w:ascii="Times New Roman" w:cs="Times New Roman" w:eastAsia="Times New Roman" w:hAnsi="Times New Roman"/>
                <w:sz w:val="11"/>
                <w:szCs w:val="11"/>
                <w:color w:val="008000"/>
              </w:rPr>
              <w:t>(1)</w:t>
            </w:r>
          </w:p>
        </w:tc>
        <w:tc>
          <w:tcPr>
            <w:tcW w:w="40" w:type="dxa"/>
            <w:vAlign w:val="bottom"/>
          </w:tcPr>
          <w:p>
            <w:pPr>
              <w:spacing w:after="0"/>
              <w:rPr>
                <w:sz w:val="21"/>
                <w:szCs w:val="21"/>
                <w:color w:val="auto"/>
              </w:rPr>
            </w:pPr>
          </w:p>
        </w:tc>
        <w:tc>
          <w:tcPr>
            <w:tcW w:w="860" w:type="dxa"/>
            <w:vAlign w:val="bottom"/>
            <w:gridSpan w:val="2"/>
            <w:vMerge w:val="restart"/>
          </w:tcPr>
          <w:p>
            <w:pPr>
              <w:ind w:left="240"/>
              <w:spacing w:after="0"/>
              <w:rPr>
                <w:sz w:val="20"/>
                <w:szCs w:val="20"/>
                <w:color w:val="auto"/>
              </w:rPr>
            </w:pPr>
            <w:r>
              <w:rPr>
                <w:rFonts w:ascii="Times New Roman" w:cs="Times New Roman" w:eastAsia="Times New Roman" w:hAnsi="Times New Roman"/>
                <w:sz w:val="17"/>
                <w:szCs w:val="17"/>
                <w:color w:val="0000FF"/>
              </w:rPr>
              <w:t>112,453</w:t>
            </w:r>
          </w:p>
        </w:tc>
        <w:tc>
          <w:tcPr>
            <w:tcW w:w="920" w:type="dxa"/>
            <w:vAlign w:val="bottom"/>
            <w:vMerge w:val="restart"/>
          </w:tcPr>
          <w:p>
            <w:pPr>
              <w:ind w:left="640"/>
              <w:spacing w:after="0"/>
              <w:rPr>
                <w:sz w:val="20"/>
                <w:szCs w:val="20"/>
                <w:color w:val="auto"/>
              </w:rPr>
            </w:pPr>
            <w:r>
              <w:rPr>
                <w:rFonts w:ascii="Times New Roman" w:cs="Times New Roman" w:eastAsia="Times New Roman" w:hAnsi="Times New Roman"/>
                <w:sz w:val="17"/>
                <w:szCs w:val="17"/>
                <w:color w:val="0000FF"/>
              </w:rPr>
              <w:t>I</w:t>
            </w:r>
          </w:p>
        </w:tc>
        <w:tc>
          <w:tcPr>
            <w:tcW w:w="240" w:type="dxa"/>
            <w:vAlign w:val="bottom"/>
          </w:tcPr>
          <w:p>
            <w:pPr>
              <w:spacing w:after="0"/>
              <w:rPr>
                <w:sz w:val="21"/>
                <w:szCs w:val="21"/>
                <w:color w:val="auto"/>
              </w:rPr>
            </w:pPr>
          </w:p>
        </w:tc>
        <w:tc>
          <w:tcPr>
            <w:tcW w:w="48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640" w:type="dxa"/>
            <w:vAlign w:val="bottom"/>
            <w:gridSpan w:val="3"/>
            <w:vMerge w:val="continue"/>
          </w:tcPr>
          <w:p>
            <w:pPr>
              <w:spacing w:after="0"/>
              <w:rPr>
                <w:sz w:val="10"/>
                <w:szCs w:val="10"/>
                <w:color w:val="auto"/>
              </w:rPr>
            </w:pPr>
          </w:p>
        </w:tc>
        <w:tc>
          <w:tcPr>
            <w:tcW w:w="1940" w:type="dxa"/>
            <w:vAlign w:val="bottom"/>
            <w:gridSpan w:val="2"/>
            <w:vMerge w:val="continue"/>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gridSpan w:val="2"/>
            <w:vMerge w:val="continue"/>
          </w:tcPr>
          <w:p>
            <w:pPr>
              <w:spacing w:after="0"/>
              <w:rPr>
                <w:sz w:val="10"/>
                <w:szCs w:val="10"/>
                <w:color w:val="auto"/>
              </w:rPr>
            </w:pPr>
          </w:p>
        </w:tc>
        <w:tc>
          <w:tcPr>
            <w:tcW w:w="820" w:type="dxa"/>
            <w:vAlign w:val="bottom"/>
            <w:vMerge w:val="continue"/>
          </w:tcPr>
          <w:p>
            <w:pPr>
              <w:spacing w:after="0"/>
              <w:rPr>
                <w:sz w:val="10"/>
                <w:szCs w:val="10"/>
                <w:color w:val="auto"/>
              </w:rPr>
            </w:pPr>
          </w:p>
        </w:tc>
        <w:tc>
          <w:tcPr>
            <w:tcW w:w="46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860" w:type="dxa"/>
            <w:vAlign w:val="bottom"/>
            <w:gridSpan w:val="2"/>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1260" w:type="dxa"/>
            <w:vAlign w:val="bottom"/>
            <w:gridSpan w:val="4"/>
            <w:vMerge w:val="restart"/>
          </w:tcPr>
          <w:p>
            <w:pPr>
              <w:ind w:left="40"/>
              <w:spacing w:after="0"/>
              <w:rPr>
                <w:sz w:val="20"/>
                <w:szCs w:val="20"/>
                <w:color w:val="auto"/>
              </w:rPr>
            </w:pPr>
            <w:r>
              <w:rPr>
                <w:rFonts w:ascii="Times New Roman" w:cs="Times New Roman" w:eastAsia="Times New Roman" w:hAnsi="Times New Roman"/>
                <w:sz w:val="17"/>
                <w:szCs w:val="17"/>
                <w:color w:val="0000FF"/>
              </w:rPr>
              <w:t>footnotes</w:t>
            </w:r>
            <w:r>
              <w:rPr>
                <w:rFonts w:ascii="Times New Roman" w:cs="Times New Roman" w:eastAsia="Times New Roman" w:hAnsi="Times New Roman"/>
                <w:sz w:val="22"/>
                <w:szCs w:val="22"/>
                <w:color w:val="008000"/>
                <w:vertAlign w:val="superscript"/>
              </w:rPr>
              <w:t>(2)(3)(4)</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tcPr>
          <w:p>
            <w:pPr>
              <w:spacing w:after="0"/>
              <w:rPr>
                <w:sz w:val="18"/>
                <w:szCs w:val="18"/>
                <w:color w:val="auto"/>
              </w:rPr>
            </w:pPr>
          </w:p>
        </w:tc>
        <w:tc>
          <w:tcPr>
            <w:tcW w:w="54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160" w:type="dxa"/>
            <w:vAlign w:val="bottom"/>
            <w:tcBorders>
              <w:bottom w:val="single" w:sz="8" w:color="2C2C2C"/>
            </w:tcBorders>
          </w:tcPr>
          <w:p>
            <w:pPr>
              <w:spacing w:after="0"/>
              <w:rPr>
                <w:sz w:val="18"/>
                <w:szCs w:val="18"/>
                <w:color w:val="auto"/>
              </w:rPr>
            </w:pPr>
          </w:p>
        </w:tc>
        <w:tc>
          <w:tcPr>
            <w:tcW w:w="58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tcPr>
          <w:p>
            <w:pPr>
              <w:spacing w:after="0"/>
              <w:rPr>
                <w:sz w:val="18"/>
                <w:szCs w:val="18"/>
                <w:color w:val="auto"/>
              </w:rPr>
            </w:pPr>
          </w:p>
        </w:tc>
        <w:tc>
          <w:tcPr>
            <w:tcW w:w="460" w:type="dxa"/>
            <w:vAlign w:val="bottom"/>
            <w:tcBorders>
              <w:bottom w:val="single" w:sz="8" w:color="2C2C2C"/>
            </w:tcBorders>
          </w:tcPr>
          <w:p>
            <w:pPr>
              <w:spacing w:after="0"/>
              <w:rPr>
                <w:sz w:val="18"/>
                <w:szCs w:val="18"/>
                <w:color w:val="auto"/>
              </w:rPr>
            </w:pPr>
          </w:p>
        </w:tc>
        <w:tc>
          <w:tcPr>
            <w:tcW w:w="540" w:type="dxa"/>
            <w:vAlign w:val="bottom"/>
            <w:tcBorders>
              <w:bottom w:val="single" w:sz="8" w:color="2C2C2C"/>
            </w:tcBorders>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920" w:type="dxa"/>
            <w:vAlign w:val="bottom"/>
            <w:tcBorders>
              <w:bottom w:val="single" w:sz="8" w:color="2C2C2C"/>
            </w:tcBorders>
          </w:tcPr>
          <w:p>
            <w:pPr>
              <w:spacing w:after="0"/>
              <w:rPr>
                <w:sz w:val="18"/>
                <w:szCs w:val="18"/>
                <w:color w:val="auto"/>
              </w:rPr>
            </w:pPr>
          </w:p>
        </w:tc>
        <w:tc>
          <w:tcPr>
            <w:tcW w:w="240" w:type="dxa"/>
            <w:vAlign w:val="bottom"/>
            <w:tcBorders>
              <w:bottom w:val="single" w:sz="8" w:color="2C2C2C"/>
            </w:tcBorders>
          </w:tcPr>
          <w:p>
            <w:pPr>
              <w:spacing w:after="0"/>
              <w:rPr>
                <w:sz w:val="18"/>
                <w:szCs w:val="18"/>
                <w:color w:val="auto"/>
              </w:rPr>
            </w:pPr>
          </w:p>
        </w:tc>
        <w:tc>
          <w:tcPr>
            <w:tcW w:w="1260" w:type="dxa"/>
            <w:vAlign w:val="bottom"/>
            <w:tcBorders>
              <w:bottom w:val="single" w:sz="8" w:color="2C2C2C"/>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40" w:type="dxa"/>
            <w:vAlign w:val="bottom"/>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6000" w:type="dxa"/>
            <w:vAlign w:val="bottom"/>
            <w:gridSpan w:val="12"/>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3"/>
          </w:tcPr>
          <w:p>
            <w:pPr>
              <w:spacing w:after="0"/>
              <w:rPr>
                <w:sz w:val="3"/>
                <w:szCs w:val="3"/>
                <w:color w:val="auto"/>
              </w:rPr>
            </w:pPr>
          </w:p>
        </w:tc>
        <w:tc>
          <w:tcPr>
            <w:tcW w:w="140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gridSpan w:val="3"/>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6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00" w:type="dxa"/>
            <w:vAlign w:val="bottom"/>
            <w:gridSpan w:val="2"/>
          </w:tcPr>
          <w:p>
            <w:pPr>
              <w:ind w:left="40"/>
              <w:spacing w:after="0"/>
              <w:rPr>
                <w:sz w:val="20"/>
                <w:szCs w:val="20"/>
                <w:color w:val="auto"/>
              </w:rPr>
            </w:pPr>
            <w:r>
              <w:rPr>
                <w:rFonts w:ascii="Arial" w:cs="Arial" w:eastAsia="Arial" w:hAnsi="Arial"/>
                <w:sz w:val="12"/>
                <w:szCs w:val="12"/>
                <w:b w:val="1"/>
                <w:bCs w:val="1"/>
                <w:color w:val="auto"/>
                <w:w w:val="99"/>
              </w:rPr>
              <w:t>6. Date Exercisable and</w:t>
            </w:r>
          </w:p>
        </w:tc>
        <w:tc>
          <w:tcPr>
            <w:tcW w:w="1040" w:type="dxa"/>
            <w:vAlign w:val="bottom"/>
            <w:gridSpan w:val="3"/>
          </w:tcPr>
          <w:p>
            <w:pPr>
              <w:ind w:left="180"/>
              <w:spacing w:after="0"/>
              <w:rPr>
                <w:sz w:val="20"/>
                <w:szCs w:val="20"/>
                <w:color w:val="auto"/>
              </w:rPr>
            </w:pPr>
            <w:r>
              <w:rPr>
                <w:rFonts w:ascii="Arial" w:cs="Arial" w:eastAsia="Arial" w:hAnsi="Arial"/>
                <w:sz w:val="12"/>
                <w:szCs w:val="12"/>
                <w:b w:val="1"/>
                <w:bCs w:val="1"/>
                <w:color w:val="auto"/>
              </w:rPr>
              <w:t>7. Title and</w:t>
            </w:r>
          </w:p>
        </w:tc>
        <w:tc>
          <w:tcPr>
            <w:tcW w:w="60" w:type="dxa"/>
            <w:vAlign w:val="bottom"/>
          </w:tcPr>
          <w:p>
            <w:pPr>
              <w:spacing w:after="0"/>
              <w:rPr>
                <w:sz w:val="15"/>
                <w:szCs w:val="15"/>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9. Number of</w:t>
            </w:r>
          </w:p>
        </w:tc>
        <w:tc>
          <w:tcPr>
            <w:tcW w:w="240" w:type="dxa"/>
            <w:vAlign w:val="bottom"/>
          </w:tcPr>
          <w:p>
            <w:pPr>
              <w:ind w:left="40"/>
              <w:spacing w:after="0"/>
              <w:rPr>
                <w:sz w:val="20"/>
                <w:szCs w:val="20"/>
                <w:color w:val="auto"/>
              </w:rPr>
            </w:pPr>
            <w:r>
              <w:rPr>
                <w:rFonts w:ascii="Arial" w:cs="Arial" w:eastAsia="Arial" w:hAnsi="Arial"/>
                <w:sz w:val="12"/>
                <w:szCs w:val="12"/>
                <w:b w:val="1"/>
                <w:bCs w:val="1"/>
                <w:color w:val="auto"/>
              </w:rPr>
              <w:t>10.</w:t>
            </w:r>
          </w:p>
        </w:tc>
        <w:tc>
          <w:tcPr>
            <w:tcW w:w="48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14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1040" w:type="dxa"/>
            <w:vAlign w:val="bottom"/>
            <w:gridSpan w:val="3"/>
          </w:tcPr>
          <w:p>
            <w:pPr>
              <w:ind w:left="180"/>
              <w:spacing w:after="0" w:line="133" w:lineRule="exact"/>
              <w:rPr>
                <w:sz w:val="20"/>
                <w:szCs w:val="20"/>
                <w:color w:val="auto"/>
              </w:rPr>
            </w:pPr>
            <w:r>
              <w:rPr>
                <w:rFonts w:ascii="Arial" w:cs="Arial" w:eastAsia="Arial" w:hAnsi="Arial"/>
                <w:sz w:val="12"/>
                <w:szCs w:val="12"/>
                <w:b w:val="1"/>
                <w:bCs w:val="1"/>
                <w:color w:val="auto"/>
              </w:rPr>
              <w:t>Amount of</w:t>
            </w:r>
          </w:p>
        </w:tc>
        <w:tc>
          <w:tcPr>
            <w:tcW w:w="6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3"/>
          </w:tcPr>
          <w:p>
            <w:pPr>
              <w:ind w:left="180"/>
              <w:spacing w:after="0" w:line="133"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Form:</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40" w:type="dxa"/>
            <w:vAlign w:val="bottom"/>
            <w:gridSpan w:val="3"/>
          </w:tcPr>
          <w:p>
            <w:pPr>
              <w:ind w:left="180"/>
              <w:spacing w:after="0" w:line="133" w:lineRule="exact"/>
              <w:rPr>
                <w:sz w:val="20"/>
                <w:szCs w:val="20"/>
                <w:color w:val="auto"/>
              </w:rPr>
            </w:pPr>
            <w:r>
              <w:rPr>
                <w:rFonts w:ascii="Arial" w:cs="Arial" w:eastAsia="Arial" w:hAnsi="Arial"/>
                <w:sz w:val="12"/>
                <w:szCs w:val="12"/>
                <w:b w:val="1"/>
                <w:bCs w:val="1"/>
                <w:color w:val="auto"/>
              </w:rPr>
              <w:t>Underlying</w:t>
            </w:r>
          </w:p>
        </w:tc>
        <w:tc>
          <w:tcPr>
            <w:tcW w:w="6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Acquired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40" w:type="dxa"/>
            <w:vAlign w:val="bottom"/>
            <w:gridSpan w:val="3"/>
          </w:tcPr>
          <w:p>
            <w:pPr>
              <w:ind w:left="180"/>
              <w:spacing w:after="0" w:line="133" w:lineRule="exact"/>
              <w:rPr>
                <w:sz w:val="20"/>
                <w:szCs w:val="20"/>
                <w:color w:val="auto"/>
              </w:rPr>
            </w:pPr>
            <w:r>
              <w:rPr>
                <w:rFonts w:ascii="Arial" w:cs="Arial" w:eastAsia="Arial" w:hAnsi="Arial"/>
                <w:sz w:val="12"/>
                <w:szCs w:val="12"/>
                <w:b w:val="1"/>
                <w:bCs w:val="1"/>
                <w:color w:val="auto"/>
              </w:rPr>
              <w:t>Derivative</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40" w:type="dxa"/>
            <w:vAlign w:val="bottom"/>
            <w:gridSpan w:val="3"/>
          </w:tcPr>
          <w:p>
            <w:pPr>
              <w:ind w:left="180"/>
              <w:spacing w:after="0" w:line="133" w:lineRule="exact"/>
              <w:rPr>
                <w:sz w:val="20"/>
                <w:szCs w:val="20"/>
                <w:color w:val="auto"/>
              </w:rPr>
            </w:pPr>
            <w:r>
              <w:rPr>
                <w:rFonts w:ascii="Arial" w:cs="Arial" w:eastAsia="Arial" w:hAnsi="Arial"/>
                <w:sz w:val="12"/>
                <w:szCs w:val="12"/>
                <w:b w:val="1"/>
                <w:bCs w:val="1"/>
                <w:color w:val="auto"/>
                <w:w w:val="99"/>
              </w:rPr>
              <w:t>Security (Instr.</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Following</w:t>
            </w: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40" w:type="dxa"/>
            <w:vAlign w:val="bottom"/>
            <w:gridSpan w:val="3"/>
          </w:tcPr>
          <w:p>
            <w:pPr>
              <w:ind w:left="180"/>
              <w:spacing w:after="0" w:line="133" w:lineRule="exact"/>
              <w:rPr>
                <w:sz w:val="20"/>
                <w:szCs w:val="20"/>
                <w:color w:val="auto"/>
              </w:rPr>
            </w:pPr>
            <w:r>
              <w:rPr>
                <w:rFonts w:ascii="Arial" w:cs="Arial" w:eastAsia="Arial" w:hAnsi="Arial"/>
                <w:sz w:val="12"/>
                <w:szCs w:val="12"/>
                <w:b w:val="1"/>
                <w:bCs w:val="1"/>
                <w:color w:val="auto"/>
              </w:rPr>
              <w:t>3 and 4)</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(Instr. 4)</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0" w:type="dxa"/>
            <w:vAlign w:val="bottom"/>
          </w:tcPr>
          <w:p>
            <w:pPr>
              <w:spacing w:after="0"/>
              <w:rPr>
                <w:sz w:val="3"/>
                <w:szCs w:val="3"/>
                <w:color w:val="auto"/>
              </w:rPr>
            </w:pPr>
          </w:p>
        </w:tc>
        <w:tc>
          <w:tcPr>
            <w:tcW w:w="920" w:type="dxa"/>
            <w:vAlign w:val="bottom"/>
          </w:tcPr>
          <w:p>
            <w:pPr>
              <w:spacing w:after="0"/>
              <w:rPr>
                <w:sz w:val="3"/>
                <w:szCs w:val="3"/>
                <w:color w:val="auto"/>
              </w:rPr>
            </w:pPr>
          </w:p>
        </w:tc>
        <w:tc>
          <w:tcPr>
            <w:tcW w:w="240" w:type="dxa"/>
            <w:vAlign w:val="bottom"/>
          </w:tcPr>
          <w:p>
            <w:pPr>
              <w:spacing w:after="0"/>
              <w:rPr>
                <w:sz w:val="3"/>
                <w:szCs w:val="3"/>
                <w:color w:val="auto"/>
              </w:rPr>
            </w:pPr>
          </w:p>
        </w:tc>
        <w:tc>
          <w:tcPr>
            <w:tcW w:w="48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80" w:type="dxa"/>
            <w:vAlign w:val="bottom"/>
            <w:gridSpan w:val="2"/>
          </w:tcPr>
          <w:p>
            <w:pPr>
              <w:ind w:left="120"/>
              <w:spacing w:after="0"/>
              <w:rPr>
                <w:sz w:val="20"/>
                <w:szCs w:val="20"/>
                <w:color w:val="auto"/>
              </w:rPr>
            </w:pPr>
            <w:r>
              <w:rPr>
                <w:rFonts w:ascii="Arial" w:cs="Arial" w:eastAsia="Arial" w:hAnsi="Arial"/>
                <w:sz w:val="12"/>
                <w:szCs w:val="12"/>
                <w:b w:val="1"/>
                <w:bCs w:val="1"/>
                <w:color w:val="auto"/>
                <w:w w:val="96"/>
              </w:rPr>
              <w:t>Amount</w:t>
            </w:r>
          </w:p>
        </w:tc>
        <w:tc>
          <w:tcPr>
            <w:tcW w:w="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w w:val="96"/>
              </w:rPr>
              <w:t>Number</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1280" w:type="dxa"/>
            <w:vAlign w:val="bottom"/>
            <w:gridSpan w:val="2"/>
          </w:tcPr>
          <w:p>
            <w:pPr>
              <w:ind w:left="280"/>
              <w:spacing w:after="0" w:line="133" w:lineRule="exact"/>
              <w:rPr>
                <w:sz w:val="20"/>
                <w:szCs w:val="20"/>
                <w:color w:val="auto"/>
              </w:rPr>
            </w:pPr>
            <w:r>
              <w:rPr>
                <w:rFonts w:ascii="Arial" w:cs="Arial" w:eastAsia="Arial" w:hAnsi="Arial"/>
                <w:sz w:val="12"/>
                <w:szCs w:val="12"/>
                <w:b w:val="1"/>
                <w:bCs w:val="1"/>
                <w:color w:val="auto"/>
              </w:rPr>
              <w:t>Expiration</w:t>
            </w:r>
          </w:p>
        </w:tc>
        <w:tc>
          <w:tcPr>
            <w:tcW w:w="5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gridSpan w:val="3"/>
          </w:tcPr>
          <w:p>
            <w:pPr>
              <w:ind w:left="80"/>
              <w:spacing w:after="0"/>
              <w:rPr>
                <w:sz w:val="20"/>
                <w:szCs w:val="20"/>
                <w:color w:val="auto"/>
              </w:rPr>
            </w:pPr>
            <w:r>
              <w:rPr>
                <w:rFonts w:ascii="Arial" w:cs="Arial" w:eastAsia="Arial" w:hAnsi="Arial"/>
                <w:sz w:val="12"/>
                <w:szCs w:val="12"/>
                <w:b w:val="1"/>
                <w:bCs w:val="1"/>
                <w:color w:val="auto"/>
              </w:rPr>
              <w:t>(A)   (D)</w:t>
            </w:r>
          </w:p>
        </w:tc>
        <w:tc>
          <w:tcPr>
            <w:tcW w:w="14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  Date</w:t>
            </w:r>
          </w:p>
        </w:tc>
        <w:tc>
          <w:tcPr>
            <w:tcW w:w="460" w:type="dxa"/>
            <w:vAlign w:val="bottom"/>
          </w:tcPr>
          <w:p>
            <w:pPr>
              <w:ind w:left="18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ind w:left="120"/>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1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the forfeiture of shares of restricted stock of the Issuer previously granted by Clearway Energy Group LLC ("Clearway Energy Group") under its Long Term Equity Incentive Program to one or more of its employees.</w:t>
      </w:r>
    </w:p>
    <w:p>
      <w:pPr>
        <w:spacing w:after="0" w:line="7" w:lineRule="exact"/>
        <w:rPr>
          <w:rFonts w:ascii="Times New Roman" w:cs="Times New Roman" w:eastAsia="Times New Roman" w:hAnsi="Times New Roman"/>
          <w:sz w:val="13"/>
          <w:szCs w:val="13"/>
          <w:color w:val="008000"/>
        </w:rPr>
      </w:pPr>
    </w:p>
    <w:p>
      <w:pPr>
        <w:ind w:left="40" w:right="220" w:firstLine="7"/>
        <w:spacing w:after="0" w:line="247"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securities held directly by Clearway Energy Group. Zephyr Holdings GP, LLC ("Zephyr GP") is the general partner of GIP III Zephyr Acquisition Partners, L.P. ("Zephyr") which is the sole member of Clearway Energy Group. Zephyr GP is owned by GIP III Zephyr Midco Holdings, L.P. ("Midco") and TotalEnergies Renewables USA, LLC. Global Infrastructure Investors III, LLC ("Global Investors") is the sole general partner of Global Infrastructure GP III, L.P. ("Global GP"), which is the general partner of Midco. As a result, each of Zephyr GP, Zephyr, Midco, Global GP and Global Investors (the "GIP Entities") may be deemed to share beneficial ownership of the securities owned by Clearway Energy Group.</w:t>
      </w:r>
    </w:p>
    <w:p>
      <w:pPr>
        <w:spacing w:after="0" w:line="24" w:lineRule="exact"/>
        <w:rPr>
          <w:rFonts w:ascii="Times New Roman" w:cs="Times New Roman" w:eastAsia="Times New Roman" w:hAnsi="Times New Roman"/>
          <w:sz w:val="13"/>
          <w:szCs w:val="13"/>
          <w:color w:val="008000"/>
        </w:rPr>
      </w:pPr>
    </w:p>
    <w:p>
      <w:pPr>
        <w:ind w:left="40" w:right="24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Adebayo Ogunlesi, Michael McGhee, Rajaram Rao, Deepak Agrawal, Julie Ashworth, Jonathan Bram, William Brilliant, Matthew Harris, Tom Horton, Sugam Mehta and Salim Samaha, as the voting members of the Investment Committee of Global Investors, may be deemed to share beneficial ownership of the Issuer securities beneficially owned by Global Investors. Such individuals expressly disclaim any such beneficial ownership.</w:t>
      </w:r>
    </w:p>
    <w:p>
      <w:pPr>
        <w:spacing w:after="0" w:line="20" w:lineRule="exact"/>
        <w:rPr>
          <w:rFonts w:ascii="Times New Roman" w:cs="Times New Roman" w:eastAsia="Times New Roman" w:hAnsi="Times New Roman"/>
          <w:sz w:val="13"/>
          <w:szCs w:val="13"/>
          <w:color w:val="008000"/>
        </w:rPr>
      </w:pPr>
    </w:p>
    <w:p>
      <w:pPr>
        <w:ind w:left="40" w:right="18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BlackRock Portfolio Management LLC and the GIP Entities disclaim beneficial ownership of the securities reported herein, except to the extent of their respective pecuniary interest therein, if any, and, pursuant to Rule 16a-1(a)(4) under the Securities Exchange Act of 1934, as amended, BlackRock Portfolio Management LLC and the GIP Entities state that the inclusion of these securities in this report shall not be deemed an admission of beneficial ownership of the securities reported herein for purposes of Section 16 or for any other purpose.</w:t>
      </w:r>
    </w:p>
    <w:p>
      <w:pPr>
        <w:spacing w:after="0" w:line="1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0"/>
          <w:szCs w:val="20"/>
          <w:color w:val="auto"/>
        </w:rPr>
      </w:pPr>
    </w:p>
    <w:p>
      <w:pPr>
        <w:jc w:val="both"/>
        <w:ind w:left="40" w:right="160"/>
        <w:spacing w:after="0" w:line="253" w:lineRule="auto"/>
        <w:rPr>
          <w:sz w:val="20"/>
          <w:szCs w:val="20"/>
          <w:color w:val="auto"/>
        </w:rPr>
      </w:pPr>
      <w:r>
        <w:rPr>
          <w:rFonts w:ascii="Times New Roman" w:cs="Times New Roman" w:eastAsia="Times New Roman" w:hAnsi="Times New Roman"/>
          <w:sz w:val="13"/>
          <w:szCs w:val="13"/>
          <w:color w:val="008000"/>
        </w:rPr>
        <w:t>In accordance with SEC Release No. 34-39538 (January 12, 1998), BlackRock Portfolio Management LLC is reporting Issuer securities beneficially owned, or deemed to be beneficially owned, by certain business units (collectively, the "Reporting Business Units") of BlackRock, Inc. and its subsidiaries and affiliates. This filing does not include Issuer securities, if any, beneficially owned by other business units whose beneficial ownership of securities is disaggregated from that of the Reporting Business Units in accordance with such release.</w:t>
      </w:r>
    </w:p>
    <w:p>
      <w:pPr>
        <w:spacing w:after="0" w:line="45"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BlackRock Portfolio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9074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907415" cy="8255"/>
                    </a:xfrm>
                    <a:prstGeom prst="rect">
                      <a:avLst/>
                    </a:prstGeom>
                    <a:noFill/>
                  </pic:spPr>
                </pic:pic>
              </a:graphicData>
            </a:graphic>
          </wp:anchor>
        </w:drawing>
      </w:r>
    </w:p>
    <w:p>
      <w:pPr>
        <w:ind w:left="6580"/>
        <w:spacing w:after="0" w:line="201" w:lineRule="auto"/>
        <w:tabs>
          <w:tab w:leader="none" w:pos="8760" w:val="left"/>
        </w:tabs>
        <w:rPr>
          <w:sz w:val="20"/>
          <w:szCs w:val="20"/>
          <w:color w:val="auto"/>
        </w:rPr>
      </w:pPr>
      <w:r>
        <w:rPr>
          <w:rFonts w:ascii="Times New Roman" w:cs="Times New Roman" w:eastAsia="Times New Roman" w:hAnsi="Times New Roman"/>
          <w:sz w:val="17"/>
          <w:szCs w:val="17"/>
          <w:color w:val="0000FF"/>
        </w:rPr>
        <w:t>Management LLC By: /s/</w:t>
      </w:r>
      <w:r>
        <w:rPr>
          <w:sz w:val="20"/>
          <w:szCs w:val="20"/>
          <w:color w:val="auto"/>
        </w:rPr>
        <w:tab/>
      </w:r>
      <w:r>
        <w:rPr>
          <w:rFonts w:ascii="Times New Roman" w:cs="Times New Roman" w:eastAsia="Times New Roman" w:hAnsi="Times New Roman"/>
          <w:sz w:val="26"/>
          <w:szCs w:val="26"/>
          <w:color w:val="0000FF"/>
          <w:vertAlign w:val="subscript"/>
        </w:rPr>
        <w:t>05/14/2025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-27940</wp:posOffset>
            </wp:positionV>
            <wp:extent cx="112712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12712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Julie Ashworth,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21856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121856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42799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1">
                      <a:extLst>
                        <a:ext uri="{28A0092B-C50C-407E-A947-70E740481C1C}"/>
                      </a:extLst>
                    </a:blip>
                    <a:srcRect/>
                    <a:stretch>
                      <a:fillRect/>
                    </a:stretch>
                  </pic:blipFill>
                  <pic:spPr bwMode="auto">
                    <a:xfrm>
                      <a:off x="0" y="0"/>
                      <a:ext cx="427990" cy="8255"/>
                    </a:xfrm>
                    <a:prstGeom prst="rect">
                      <a:avLst/>
                    </a:prstGeom>
                    <a:noFill/>
                  </pic:spPr>
                </pic:pic>
              </a:graphicData>
            </a:graphic>
          </wp:anchor>
        </w:drawing>
      </w:r>
    </w:p>
    <w:p>
      <w:pPr>
        <w:spacing w:after="0" w:line="40"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513"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jpe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20" Type="http://schemas.openxmlformats.org/officeDocument/2006/relationships/image" Target="media/image11.png"/><Relationship Id="rId21" Type="http://schemas.openxmlformats.org/officeDocument/2006/relationships/image" Target="media/image12.png"/><Relationship Id="rId13" Type="http://schemas.openxmlformats.org/officeDocument/2006/relationships/hyperlink" Target="http://www.sec.gov/cgi-bin/browse-edgar?action=getcompany&amp;CIK=0002052113" TargetMode="External"/><Relationship Id="rId14" Type="http://schemas.openxmlformats.org/officeDocument/2006/relationships/hyperlink" Target="http://www.sec.gov/cgi-bin/browse-edgar?action=getcompany&amp;CIK=000156768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2025-05-14T15:38:18Z</dcterms:created>
  <dcterms:modified xsi:type="dcterms:W3CDTF">2025-05-14T15:38:18Z</dcterms:modified>
</cp:coreProperties>
</file>