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611505</wp:posOffset>
            </wp:positionH>
            <wp:positionV relativeFrom="page">
              <wp:posOffset>391795</wp:posOffset>
            </wp:positionV>
            <wp:extent cx="64477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page">
              <wp:posOffset>611505</wp:posOffset>
            </wp:positionH>
            <wp:positionV relativeFrom="page">
              <wp:posOffset>358140</wp:posOffset>
            </wp:positionV>
            <wp:extent cx="644779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333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9" w:lineRule="exact"/>
        <w:rPr>
          <w:sz w:val="24"/>
          <w:szCs w:val="24"/>
          <w:color w:val="auto"/>
        </w:rPr>
      </w:pPr>
    </w:p>
    <w:p>
      <w:pPr>
        <w:ind w:left="500" w:hanging="27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0" w:lineRule="exact"/>
        <w:rPr>
          <w:sz w:val="24"/>
          <w:szCs w:val="24"/>
          <w:color w:val="auto"/>
        </w:rPr>
      </w:pPr>
    </w:p>
    <w:p>
      <w:pPr>
        <w:ind w:left="50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For the Fiscal Year ended</w:t>
      </w:r>
      <w:r>
        <w:rPr>
          <w:sz w:val="20"/>
          <w:szCs w:val="20"/>
          <w:color w:val="auto"/>
        </w:rPr>
        <w:tab/>
      </w:r>
      <w:r>
        <w:rPr>
          <w:rFonts w:ascii="Times New Roman" w:cs="Times New Roman" w:eastAsia="Times New Roman" w:hAnsi="Times New Roman"/>
          <w:sz w:val="11"/>
          <w:szCs w:val="11"/>
          <w:b w:val="1"/>
          <w:bCs w:val="1"/>
          <w:color w:val="auto"/>
        </w:rPr>
        <w:t>December 31, 2025</w:t>
      </w:r>
    </w:p>
    <w:p>
      <w:pPr>
        <w:spacing w:after="0" w:line="37" w:lineRule="exact"/>
        <w:rPr>
          <w:sz w:val="24"/>
          <w:szCs w:val="24"/>
          <w:color w:val="auto"/>
        </w:rPr>
      </w:pPr>
    </w:p>
    <w:p>
      <w:pPr>
        <w:ind w:left="500" w:hanging="278"/>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tbl>
      <w:tblPr>
        <w:tblLayout w:type="fixed"/>
        <w:tblInd w:w="200" w:type="dxa"/>
        <w:tblCellMar>
          <w:top w:w="0" w:type="dxa"/>
          <w:left w:w="0" w:type="dxa"/>
          <w:bottom w:w="0" w:type="dxa"/>
          <w:right w:w="0" w:type="dxa"/>
        </w:tblCellMar>
      </w:tblPr>
      <w:tr>
        <w:trPr>
          <w:trHeight w:val="167"/>
        </w:trPr>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c>
          <w:tcPr>
            <w:tcW w:w="1620" w:type="dxa"/>
            <w:vAlign w:val="bottom"/>
          </w:tcPr>
          <w:p>
            <w:pPr>
              <w:jc w:val="right"/>
              <w:ind w:right="1364"/>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80" w:type="dxa"/>
            <w:vAlign w:val="bottom"/>
            <w:gridSpan w:val="7"/>
          </w:tcPr>
          <w:p>
            <w:pPr>
              <w:jc w:val="center"/>
              <w:ind w:right="2349"/>
              <w:spacing w:after="0"/>
              <w:rPr>
                <w:sz w:val="20"/>
                <w:szCs w:val="20"/>
                <w:color w:val="auto"/>
              </w:rPr>
            </w:pPr>
            <w:r>
              <w:rPr>
                <w:rFonts w:ascii="Times New Roman" w:cs="Times New Roman" w:eastAsia="Times New Roman" w:hAnsi="Times New Roman"/>
                <w:sz w:val="14"/>
                <w:szCs w:val="14"/>
                <w:b w:val="1"/>
                <w:bCs w:val="1"/>
                <w:color w:val="auto"/>
              </w:rPr>
              <w:t>Commission File Number: 001-36002</w:t>
            </w:r>
          </w:p>
        </w:tc>
        <w:tc>
          <w:tcPr>
            <w:tcW w:w="0" w:type="dxa"/>
            <w:vAlign w:val="bottom"/>
          </w:tcPr>
          <w:p>
            <w:pPr>
              <w:spacing w:after="0"/>
              <w:rPr>
                <w:sz w:val="1"/>
                <w:szCs w:val="1"/>
                <w:color w:val="auto"/>
              </w:rPr>
            </w:pPr>
          </w:p>
        </w:tc>
      </w:tr>
      <w:tr>
        <w:trPr>
          <w:trHeight w:val="413"/>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80" w:type="dxa"/>
            <w:vAlign w:val="bottom"/>
            <w:gridSpan w:val="7"/>
          </w:tcPr>
          <w:p>
            <w:pPr>
              <w:jc w:val="center"/>
              <w:ind w:right="2349"/>
              <w:spacing w:after="0"/>
              <w:rPr>
                <w:sz w:val="20"/>
                <w:szCs w:val="20"/>
                <w:color w:val="auto"/>
              </w:rPr>
            </w:pPr>
            <w:r>
              <w:rPr>
                <w:rFonts w:ascii="Times New Roman" w:cs="Times New Roman" w:eastAsia="Times New Roman" w:hAnsi="Times New Roman"/>
                <w:sz w:val="31"/>
                <w:szCs w:val="31"/>
                <w:b w:val="1"/>
                <w:bCs w:val="1"/>
                <w:color w:val="auto"/>
                <w:w w:val="99"/>
              </w:rPr>
              <w:t>Clearway Energy, Inc.</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80" w:type="dxa"/>
            <w:vAlign w:val="bottom"/>
            <w:gridSpan w:val="7"/>
          </w:tcPr>
          <w:p>
            <w:pPr>
              <w:jc w:val="center"/>
              <w:ind w:right="234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2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gridSpan w:val="2"/>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46-1777204</w:t>
            </w:r>
          </w:p>
        </w:tc>
        <w:tc>
          <w:tcPr>
            <w:tcW w:w="0" w:type="dxa"/>
            <w:vAlign w:val="bottom"/>
          </w:tcPr>
          <w:p>
            <w:pPr>
              <w:spacing w:after="0"/>
              <w:rPr>
                <w:sz w:val="1"/>
                <w:szCs w:val="1"/>
                <w:color w:val="auto"/>
              </w:rPr>
            </w:pPr>
          </w:p>
        </w:tc>
      </w:tr>
      <w:tr>
        <w:trPr>
          <w:trHeight w:val="144"/>
        </w:trPr>
        <w:tc>
          <w:tcPr>
            <w:tcW w:w="3260" w:type="dxa"/>
            <w:vAlign w:val="bottom"/>
            <w:gridSpan w:val="4"/>
          </w:tcPr>
          <w:p>
            <w:pPr>
              <w:jc w:val="center"/>
              <w:ind w:left="573"/>
              <w:spacing w:after="0" w:line="144" w:lineRule="exact"/>
              <w:rPr>
                <w:sz w:val="20"/>
                <w:szCs w:val="20"/>
                <w:color w:val="auto"/>
              </w:rPr>
            </w:pPr>
            <w:r>
              <w:rPr>
                <w:rFonts w:ascii="Times New Roman" w:cs="Times New Roman" w:eastAsia="Times New Roman" w:hAnsi="Times New Roman"/>
                <w:sz w:val="14"/>
                <w:szCs w:val="14"/>
                <w:i w:val="1"/>
                <w:iCs w:val="1"/>
                <w:color w:val="auto"/>
              </w:rPr>
              <w:t>(State or other jurisdiction</w:t>
            </w:r>
          </w:p>
        </w:tc>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20" w:type="dxa"/>
            <w:vAlign w:val="bottom"/>
          </w:tcPr>
          <w:p>
            <w:pPr>
              <w:jc w:val="center"/>
              <w:ind w:right="369"/>
              <w:spacing w:after="0" w:line="144"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32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ind w:right="349"/>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22"/>
        </w:trPr>
        <w:tc>
          <w:tcPr>
            <w:tcW w:w="32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tc>
        <w:tc>
          <w:tcPr>
            <w:tcW w:w="21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Princeton</w:t>
            </w: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 Jersey</w:t>
            </w:r>
          </w:p>
        </w:tc>
        <w:tc>
          <w:tcPr>
            <w:tcW w:w="3660" w:type="dxa"/>
            <w:vAlign w:val="bottom"/>
            <w:gridSpan w:val="2"/>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08540</w:t>
            </w: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20" w:type="dxa"/>
            <w:vAlign w:val="bottom"/>
            <w:gridSpan w:val="4"/>
          </w:tcPr>
          <w:p>
            <w:pPr>
              <w:ind w:left="1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ind w:right="369"/>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40" w:type="dxa"/>
            <w:vAlign w:val="bottom"/>
            <w:gridSpan w:val="3"/>
          </w:tcPr>
          <w:p>
            <w:pPr>
              <w:jc w:val="center"/>
              <w:ind w:left="1544"/>
              <w:spacing w:after="0"/>
              <w:rPr>
                <w:sz w:val="20"/>
                <w:szCs w:val="20"/>
                <w:color w:val="auto"/>
              </w:rPr>
            </w:pPr>
            <w:r>
              <w:rPr>
                <w:rFonts w:ascii="Times New Roman" w:cs="Times New Roman" w:eastAsia="Times New Roman" w:hAnsi="Times New Roman"/>
                <w:sz w:val="13"/>
                <w:szCs w:val="13"/>
                <w:b w:val="1"/>
                <w:bCs w:val="1"/>
                <w:color w:val="auto"/>
                <w:w w:val="98"/>
              </w:rPr>
              <w:t>(609) 608-1525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80" w:type="dxa"/>
            <w:vAlign w:val="bottom"/>
            <w:gridSpan w:val="7"/>
          </w:tcPr>
          <w:p>
            <w:pPr>
              <w:jc w:val="center"/>
              <w:ind w:right="2529"/>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980" w:type="dxa"/>
            <w:vAlign w:val="bottom"/>
            <w:gridSpan w:val="7"/>
          </w:tcPr>
          <w:p>
            <w:pPr>
              <w:jc w:val="center"/>
              <w:ind w:right="2529"/>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1840" w:type="dxa"/>
            <w:vAlign w:val="bottom"/>
            <w:gridSpan w:val="3"/>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4"/>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540" w:type="dxa"/>
            <w:vAlign w:val="bottom"/>
          </w:tcPr>
          <w:p>
            <w:pPr>
              <w:spacing w:after="0"/>
              <w:rPr>
                <w:sz w:val="15"/>
                <w:szCs w:val="15"/>
                <w:color w:val="auto"/>
              </w:rPr>
            </w:pPr>
          </w:p>
        </w:tc>
        <w:tc>
          <w:tcPr>
            <w:tcW w:w="3660" w:type="dxa"/>
            <w:vAlign w:val="bottom"/>
            <w:gridSpan w:val="2"/>
          </w:tcPr>
          <w:p>
            <w:pPr>
              <w:jc w:val="center"/>
              <w:ind w:left="97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gridSpan w:val="4"/>
          </w:tcPr>
          <w:p>
            <w:pPr>
              <w:jc w:val="center"/>
              <w:ind w:left="593"/>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1620" w:type="dxa"/>
            <w:vAlign w:val="bottom"/>
          </w:tcPr>
          <w:p>
            <w:pPr>
              <w:spacing w:after="0"/>
              <w:rPr>
                <w:sz w:val="16"/>
                <w:szCs w:val="16"/>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CWEN.A</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184"/>
        </w:trPr>
        <w:tc>
          <w:tcPr>
            <w:tcW w:w="32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1620" w:type="dxa"/>
            <w:vAlign w:val="bottom"/>
          </w:tcPr>
          <w:p>
            <w:pPr>
              <w:spacing w:after="0"/>
              <w:rPr>
                <w:sz w:val="16"/>
                <w:szCs w:val="16"/>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6"/>
              </w:rPr>
              <w:t>CWEN</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80" w:type="dxa"/>
            <w:vAlign w:val="bottom"/>
            <w:gridSpan w:val="7"/>
          </w:tcPr>
          <w:p>
            <w:pPr>
              <w:ind w:left="8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None</w:t>
            </w:r>
          </w:p>
        </w:tc>
        <w:tc>
          <w:tcPr>
            <w:tcW w:w="540" w:type="dxa"/>
            <w:vAlign w:val="bottom"/>
            <w:vMerge w:val="restart"/>
          </w:tcPr>
          <w:p>
            <w:pPr>
              <w:ind w:left="4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10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36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tc>
        <w:tc>
          <w:tcPr>
            <w:tcW w:w="6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5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1"/>
                <w:szCs w:val="11"/>
                <w:color w:val="auto"/>
              </w:rPr>
              <w:t>ndicate by check mark if the registrant is not required to file reports pursuant to Section 13 or Section 15(d) of the Exchange Act.</w:t>
            </w:r>
          </w:p>
        </w:tc>
        <w:tc>
          <w:tcPr>
            <w:tcW w:w="540" w:type="dxa"/>
            <w:vAlign w:val="bottom"/>
          </w:tcPr>
          <w:p>
            <w:pPr>
              <w:ind w:left="18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366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spacing w:after="0" w:line="19" w:lineRule="exact"/>
        <w:rPr>
          <w:sz w:val="24"/>
          <w:szCs w:val="24"/>
          <w:color w:val="auto"/>
        </w:rPr>
      </w:pPr>
    </w:p>
    <w:p>
      <w:pPr>
        <w:spacing w:after="0" w:line="127" w:lineRule="exact"/>
        <w:tabs>
          <w:tab w:leader="none" w:pos="5700" w:val="left"/>
          <w:tab w:leader="none" w:pos="6120" w:val="left"/>
        </w:tabs>
        <w:rPr>
          <w:sz w:val="20"/>
          <w:szCs w:val="20"/>
          <w:color w:val="auto"/>
        </w:rPr>
      </w:pPr>
      <w:r>
        <w:rPr>
          <w:rFonts w:ascii="Times New Roman" w:cs="Times New Roman" w:eastAsia="Times New Roman" w:hAnsi="Times New Roman"/>
          <w:sz w:val="11"/>
          <w:szCs w:val="11"/>
          <w:color w:val="auto"/>
        </w:rPr>
        <w:t>to file such reports), and (2) has been subject to such filing requirements for the past 90 days.</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67" w:lineRule="exact"/>
        <w:rPr>
          <w:sz w:val="24"/>
          <w:szCs w:val="24"/>
          <w:color w:val="auto"/>
        </w:rPr>
      </w:pPr>
    </w:p>
    <w:p>
      <w:pPr>
        <w:ind w:firstLine="191"/>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ind w:firstLine="191"/>
        <w:spacing w:after="0" w:line="23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202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rPr>
              <w:t>Large accelerated filer</w:t>
            </w:r>
          </w:p>
        </w:tc>
        <w:tc>
          <w:tcPr>
            <w:tcW w:w="14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02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14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7" w:lineRule="exact"/>
        <w:rPr>
          <w:sz w:val="24"/>
          <w:szCs w:val="24"/>
          <w:color w:val="auto"/>
        </w:rPr>
      </w:pPr>
    </w:p>
    <w:p>
      <w:pPr>
        <w:ind w:firstLine="191"/>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200"/>
        <w:spacing w:after="0" w:line="127" w:lineRule="exact"/>
        <w:tabs>
          <w:tab w:leader="none" w:pos="5400" w:val="left"/>
          <w:tab w:leader="none" w:pos="58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Wingdings" w:cs="Wingdings" w:eastAsia="Wingdings" w:hAnsi="Wingdings"/>
          <w:sz w:val="11"/>
          <w:szCs w:val="11"/>
          <w:b w:val="1"/>
          <w:bCs w:val="1"/>
          <w:color w:val="auto"/>
        </w:rPr>
        <w:t>x</w:t>
      </w:r>
    </w:p>
    <w:p>
      <w:pPr>
        <w:spacing w:after="0" w:line="46" w:lineRule="exact"/>
        <w:rPr>
          <w:sz w:val="24"/>
          <w:szCs w:val="24"/>
          <w:color w:val="auto"/>
        </w:rPr>
      </w:pPr>
    </w:p>
    <w:p>
      <w:pPr>
        <w:ind w:firstLine="191"/>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x</w:t>
      </w:r>
    </w:p>
    <w:p>
      <w:pPr>
        <w:ind w:left="200"/>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7" w:lineRule="exact"/>
        <w:rPr>
          <w:sz w:val="24"/>
          <w:szCs w:val="24"/>
          <w:color w:val="auto"/>
        </w:rPr>
      </w:pPr>
    </w:p>
    <w:p>
      <w:pPr>
        <w:spacing w:after="0"/>
        <w:tabs>
          <w:tab w:leader="none" w:pos="1620" w:val="left"/>
        </w:tabs>
        <w:rPr>
          <w:sz w:val="20"/>
          <w:szCs w:val="20"/>
          <w:color w:val="auto"/>
        </w:rPr>
      </w:pPr>
      <w:r>
        <w:rPr>
          <w:rFonts w:ascii="Times New Roman" w:cs="Times New Roman" w:eastAsia="Times New Roman" w:hAnsi="Times New Roman"/>
          <w:sz w:val="11"/>
          <w:szCs w:val="11"/>
          <w:color w:val="auto"/>
        </w:rPr>
        <w:t>statements.</w:t>
      </w:r>
      <w:r>
        <w:rPr>
          <w:sz w:val="20"/>
          <w:szCs w:val="20"/>
          <w:color w:val="auto"/>
        </w:rPr>
        <w:tab/>
      </w:r>
      <w:r>
        <w:rPr>
          <w:rFonts w:ascii="Wingdings" w:cs="Wingdings" w:eastAsia="Wingdings" w:hAnsi="Wingdings"/>
          <w:sz w:val="11"/>
          <w:szCs w:val="11"/>
          <w:b w:val="1"/>
          <w:bCs w:val="1"/>
          <w:color w:val="auto"/>
        </w:rPr>
        <w:t>x</w:t>
      </w:r>
    </w:p>
    <w:p>
      <w:pPr>
        <w:spacing w:after="0" w:line="4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9" w:lineRule="exact"/>
        <w:rPr>
          <w:sz w:val="24"/>
          <w:szCs w:val="24"/>
          <w:color w:val="auto"/>
        </w:rPr>
      </w:pPr>
    </w:p>
    <w:p>
      <w:pPr>
        <w:spacing w:after="0" w:line="127" w:lineRule="exact"/>
        <w:tabs>
          <w:tab w:leader="none" w:pos="1600" w:val="left"/>
        </w:tabs>
        <w:rPr>
          <w:sz w:val="20"/>
          <w:szCs w:val="20"/>
          <w:color w:val="auto"/>
        </w:rPr>
      </w:pPr>
      <w:r>
        <w:rPr>
          <w:rFonts w:ascii="Times New Roman" w:cs="Times New Roman" w:eastAsia="Times New Roman" w:hAnsi="Times New Roman"/>
          <w:sz w:val="11"/>
          <w:szCs w:val="11"/>
          <w:color w:val="auto"/>
        </w:rPr>
        <w:t>to §240.10D-1(b).</w:t>
      </w:r>
      <w:r>
        <w:rPr>
          <w:sz w:val="20"/>
          <w:szCs w:val="20"/>
          <w:color w:val="auto"/>
        </w:rPr>
        <w:tab/>
      </w:r>
      <w:r>
        <w:rPr>
          <w:rFonts w:ascii="MS PGothic" w:cs="MS PGothic" w:eastAsia="MS PGothic" w:hAnsi="MS PGothic"/>
          <w:sz w:val="10"/>
          <w:szCs w:val="10"/>
          <w:color w:val="auto"/>
        </w:rPr>
        <w:t>☐</w:t>
      </w:r>
    </w:p>
    <w:p>
      <w:pPr>
        <w:spacing w:after="0" w:line="46" w:lineRule="exact"/>
        <w:rPr>
          <w:sz w:val="24"/>
          <w:szCs w:val="24"/>
          <w:color w:val="auto"/>
        </w:rPr>
      </w:pPr>
    </w:p>
    <w:p>
      <w:pPr>
        <w:ind w:firstLine="191"/>
        <w:spacing w:after="0" w:line="291" w:lineRule="auto"/>
        <w:rPr>
          <w:sz w:val="20"/>
          <w:szCs w:val="20"/>
          <w:color w:val="auto"/>
        </w:rPr>
      </w:pPr>
      <w:r>
        <w:rPr>
          <w:rFonts w:ascii="Times New Roman" w:cs="Times New Roman" w:eastAsia="Times New Roman" w:hAnsi="Times New Roman"/>
          <w:sz w:val="11"/>
          <w:szCs w:val="11"/>
          <w:color w:val="auto"/>
        </w:rPr>
        <w:t>As of the last business day of the most recently completed second fiscal quarter, the aggregate market value of the common stock of the registrant held by non-affiliates was approximately $2,789 million based on the closing sale prices of such shares as reported on the New York Stock Exchange.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47"/>
        </w:trPr>
        <w:tc>
          <w:tcPr>
            <w:tcW w:w="6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w:t>
            </w:r>
          </w:p>
        </w:tc>
        <w:tc>
          <w:tcPr>
            <w:tcW w:w="1680" w:type="dxa"/>
            <w:vAlign w:val="bottom"/>
          </w:tcPr>
          <w:p>
            <w:pPr>
              <w:spacing w:after="0"/>
              <w:rPr>
                <w:sz w:val="12"/>
                <w:szCs w:val="12"/>
                <w:color w:val="auto"/>
              </w:rPr>
            </w:pPr>
          </w:p>
        </w:tc>
      </w:tr>
      <w:tr>
        <w:trPr>
          <w:trHeight w:val="157"/>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 at January 31, 2026</w:t>
            </w:r>
          </w:p>
        </w:tc>
      </w:tr>
      <w:tr>
        <w:trPr>
          <w:trHeight w:val="20"/>
        </w:trPr>
        <w:tc>
          <w:tcPr>
            <w:tcW w:w="3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65"/>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A,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34,613,853</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B,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42,738,750</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C,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86,290,173</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D,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41,576,142</w:t>
            </w:r>
          </w:p>
        </w:tc>
      </w:tr>
    </w:tbl>
    <w:p>
      <w:pPr>
        <w:spacing w:after="0" w:line="6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Portions of the Registrant’s Definitive Proxy Statement relating to its 2026 Annual Meeting of Stockholders</w:t>
      </w:r>
    </w:p>
    <w:p>
      <w:pPr>
        <w:spacing w:after="0" w:line="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419100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41275</wp:posOffset>
            </wp:positionV>
            <wp:extent cx="644779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7790" cy="1333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20955</wp:posOffset>
            </wp:positionV>
            <wp:extent cx="64477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0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GLOSSARY OF TERMS</w:t>
            </w:r>
          </w:p>
        </w:tc>
        <w:tc>
          <w:tcPr>
            <w:tcW w:w="14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 — Business</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1A — Risk Factors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1B — Unresolved Staff Comments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1C — Cybersecurity</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2 — Properties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3 — Legal Proceedings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4 — Mine Safety Disclosures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5 — Market for Registrant’s Common Equity, Related Stockholder Matters and Issuer Purchases of Equity Securities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6 — Reserved</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 — Management’s Discussion and Analysis of Financial Condition and Results of Operations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7A — Quantitative and Qualitative Disclosures About Market Risk</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8 — Financial Statements and Supplementary Data</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 — Changes in and Disagreements with Accountants on Accounting and Financial Disclosure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9A — Controls and Procedures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9B — Other Information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10 — Information about Directors, Executive Officers and Corporate Governance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11 — Executive Compensation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12 — Security Ownership of Certain Beneficial Owners and Management and Related Stockholder Matters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13 — Certain Relationships and Related Transactions, and Director Independence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14 — Principal Accounting Fees and Services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15 — Exhibits, Financial Statement Schedules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16 — Form 10-K Summary</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FF"/>
                <w:w w:val="95"/>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1040" w:type="dxa"/>
            <w:vAlign w:val="bottom"/>
          </w:tcPr>
          <w:p>
            <w:pPr>
              <w:spacing w:after="0"/>
              <w:rPr>
                <w:sz w:val="8"/>
                <w:szCs w:val="8"/>
                <w:color w:val="auto"/>
              </w:rPr>
            </w:pPr>
          </w:p>
        </w:tc>
        <w:tc>
          <w:tcPr>
            <w:tcW w:w="220" w:type="dxa"/>
            <w:vAlign w:val="bottom"/>
            <w:tcBorders>
              <w:bottom w:val="single" w:sz="8" w:color="0000FF"/>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1"/>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88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$600 million aggregate principal amount of 5.75% unsecured senior notes due 2034, issued by Clearway Energy Operating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performance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 Retirement Obligation</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Black Start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capability of a generating asset to restore the grid in the event of a blackout without relying on the external electric power transmission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network</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December 31, 2025 as Adjusted EBITDA plus cash distributions/return of</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contributions from noncontrolling interests, adjustments to</w:t>
            </w:r>
          </w:p>
        </w:tc>
      </w:tr>
      <w:tr>
        <w:trPr>
          <w:trHeight w:val="142"/>
        </w:trPr>
        <w:tc>
          <w:tcPr>
            <w:tcW w:w="2420" w:type="dxa"/>
            <w:vAlign w:val="bottom"/>
          </w:tcPr>
          <w:p>
            <w:pPr>
              <w:spacing w:after="0"/>
              <w:rPr>
                <w:sz w:val="12"/>
                <w:szCs w:val="12"/>
                <w:color w:val="auto"/>
              </w:rPr>
            </w:pP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20" w:type="dxa"/>
            <w:vAlign w:val="bottom"/>
          </w:tcPr>
          <w:p>
            <w:pPr>
              <w:spacing w:after="0"/>
              <w:rPr>
                <w:sz w:val="11"/>
                <w:szCs w:val="11"/>
                <w:color w:val="auto"/>
              </w:rPr>
            </w:pPr>
          </w:p>
        </w:tc>
        <w:tc>
          <w:tcPr>
            <w:tcW w:w="8860" w:type="dxa"/>
            <w:vAlign w:val="bottom"/>
          </w:tcPr>
          <w:p>
            <w:pPr>
              <w:ind w:left="48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CAISO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Independent System Operator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Capistrano Portfolio Holdco LLC</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holding company that owns four wind facilities representing 263 MW of capacity, which includes Broken Bow,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Wind Portfolio</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Portfolio of wind facilities acquired from Clearway Renew on August 22, 2022, which includes Broken Bow, Cedro Hill,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Catalina</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109 MW solar facility located in Kern County, California that the Company leases and operates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and Payroll Sharing Agreement, effective as of January 1, 2025, among the Company,</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Finance Inc., Clearway Energy LLC, Clearway Energy Operating LLC and CEG</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holding company through which the facilities are owned by Clearway Energy Group LLC, the holder of Class B and Class D units, and the</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Company, the holder of the Class A and Class C units</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holder of all shares of the Company’s Class B and Class D common stock and Clearway Energy LLC’s Class B and Class D units, and from</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time to time, possibly shares of the Company’s Class A and/or Class C common stock. Clearway Energy Group LLC is a leading developer of</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renewable, energy storage and power infrastructure in the U.S.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holder of the facilities that are owned by Clearway Energy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Commercial Operation Date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Code</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together with its consolidated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721"/>
        </w:trPr>
        <w:tc>
          <w:tcPr>
            <w:tcW w:w="242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2420" w:type="dxa"/>
            <w:vAlign w:val="bottom"/>
            <w:tcBorders>
              <w:bottom w:val="single" w:sz="8" w:color="9A9A9A"/>
            </w:tcBorders>
          </w:tcPr>
          <w:p>
            <w:pPr>
              <w:spacing w:after="0"/>
              <w:rPr>
                <w:sz w:val="7"/>
                <w:szCs w:val="7"/>
                <w:color w:val="auto"/>
              </w:rPr>
            </w:pPr>
          </w:p>
        </w:tc>
        <w:tc>
          <w:tcPr>
            <w:tcW w:w="8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Daggett 1 Class B</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Daggett 1 Class B Member LLC, the indirect owner of Daggett 1</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Dan’s Mountain TargetCo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Dan’s Mountain TargetCo LLC, a partnership and the indirect owner of Dan’s Mountain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 Solar Portfolio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613 MW operational solar portfolio located in eight states that the Company entered into a binding agreement on October 3, 2025 to acquire</w:t>
            </w:r>
          </w:p>
        </w:tc>
      </w:tr>
      <w:tr>
        <w:trPr>
          <w:trHeight w:val="142"/>
        </w:trPr>
        <w:tc>
          <w:tcPr>
            <w:tcW w:w="2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908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200" w:type="dxa"/>
            <w:vAlign w:val="bottom"/>
          </w:tcPr>
          <w:p>
            <w:pPr>
              <w:spacing w:after="0"/>
              <w:rPr>
                <w:sz w:val="16"/>
                <w:szCs w:val="16"/>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18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Dividend Reinvestment Plan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DSPP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Direct Stock Purchase Plan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United States Environmental Protection Agency</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EWG</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Exempt Wholesale Generator</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FERC</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Federal Energy Regulatory Commission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Flexible Generation</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Formerly the Conventional Generation segment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FPA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Federal Power Act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U.S. Fish &amp; Wildlife Service</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Global Infrastructure Partners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GW</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Gigawatt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142"/>
        </w:trPr>
        <w:tc>
          <w:tcPr>
            <w:tcW w:w="2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Honeycomb Portfolio</w:t>
            </w:r>
          </w:p>
        </w:tc>
        <w:tc>
          <w:tcPr>
            <w:tcW w:w="908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color w:val="auto"/>
              </w:rPr>
              <w:t>Four BESS facilities under construction in Beaver County and Iron County, Utah representing 320 MW of capacity, which includes Enterprise,</w:t>
            </w:r>
          </w:p>
        </w:tc>
      </w:tr>
      <w:tr>
        <w:trPr>
          <w:trHeight w:val="184"/>
        </w:trPr>
        <w:tc>
          <w:tcPr>
            <w:tcW w:w="2200" w:type="dxa"/>
            <w:vAlign w:val="bottom"/>
          </w:tcPr>
          <w:p>
            <w:pPr>
              <w:spacing w:after="0"/>
              <w:rPr>
                <w:sz w:val="16"/>
                <w:szCs w:val="16"/>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Escalante I, Granite Mountain East and Iron Springs that are co-located with the respective solar facilities</w:t>
            </w:r>
          </w:p>
        </w:tc>
      </w:tr>
      <w:tr>
        <w:trPr>
          <w:trHeight w:val="18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Luna Valley Class B</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Luna Valley Class B Member LLC, the indirect owner of Luna Valley</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MBTA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Migratory Bird Treaty Act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Holdco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Natural Gas CA Holdco LLC</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NEPA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National Environmental Policy Act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NERC</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North American Electric Reliability Corporation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w:t>
            </w:r>
            <w:r>
              <w:rPr>
                <w:rFonts w:ascii="Times New Roman" w:cs="Times New Roman" w:eastAsia="Times New Roman" w:hAnsi="Times New Roman"/>
                <w:sz w:val="18"/>
                <w:szCs w:val="18"/>
                <w:color w:val="auto"/>
                <w:vertAlign w:val="subscript"/>
              </w:rPr>
              <w:t>x</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Nitrogen Oxides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NPNS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NRG</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NRG Energy, Inc.</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OCI/OCL</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Other comprehensive income/loss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Pine Forest TargetCo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Pine Forest CE TargetCo LLC, a partnership and the indirect owner of Pine Forest</w:t>
            </w:r>
          </w:p>
        </w:tc>
      </w:tr>
      <w:tr>
        <w:trPr>
          <w:trHeight w:val="721"/>
        </w:trPr>
        <w:tc>
          <w:tcPr>
            <w:tcW w:w="2200" w:type="dxa"/>
            <w:vAlign w:val="bottom"/>
          </w:tcPr>
          <w:p>
            <w:pPr>
              <w:spacing w:after="0"/>
              <w:rPr>
                <w:sz w:val="24"/>
                <w:szCs w:val="24"/>
                <w:color w:val="auto"/>
              </w:rPr>
            </w:pPr>
          </w:p>
        </w:tc>
        <w:tc>
          <w:tcPr>
            <w:tcW w:w="908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200" w:type="dxa"/>
            <w:vAlign w:val="bottom"/>
            <w:tcBorders>
              <w:bottom w:val="single" w:sz="8" w:color="9A9A9A"/>
            </w:tcBorders>
          </w:tcPr>
          <w:p>
            <w:pPr>
              <w:spacing w:after="0"/>
              <w:rPr>
                <w:sz w:val="7"/>
                <w:szCs w:val="7"/>
                <w:color w:val="auto"/>
              </w:rPr>
            </w:pPr>
          </w:p>
        </w:tc>
        <w:tc>
          <w:tcPr>
            <w:tcW w:w="9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Pine Forest TE Class 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Pine Forest TE Class A Owner LLC, a consolidated subsidiary of Clearway Energy Finance Inc. and an indirect subsidiary of the Company</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PTC</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Production Tax Credit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PUCT</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Public Utility Commission of Texas</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PUHCA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Public Utility Holding Company Act of 2005</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PURPA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Public Utility Regulatory Policies Act of 1978</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QF</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Qualifying Facility under PURPA</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Renewables &amp; Storage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Formerly the Renewables segment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Central BESS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South TargetCo</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Rosie South TargetCo LLC, a partnership and the indirect owner of Rosamond South I</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RPS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Renewable Portfolio Standards</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SDG&amp;E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San Diego Gas &amp; Electric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the 2032 Senior Notes and the 2034 Senior Notes</w:t>
            </w:r>
          </w:p>
        </w:tc>
      </w:tr>
      <w:tr>
        <w:trPr>
          <w:trHeight w:val="180"/>
        </w:trPr>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SO</w:t>
            </w:r>
            <w:r>
              <w:rPr>
                <w:rFonts w:ascii="Times New Roman" w:cs="Times New Roman" w:eastAsia="Times New Roman" w:hAnsi="Times New Roman"/>
                <w:sz w:val="18"/>
                <w:szCs w:val="18"/>
                <w:color w:val="auto"/>
                <w:vertAlign w:val="subscript"/>
              </w:rPr>
              <w:t>2</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Sulfur Dioxide</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42"/>
        </w:trPr>
        <w:tc>
          <w:tcPr>
            <w:tcW w:w="2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Utah Solar Portfolio</w:t>
            </w:r>
          </w:p>
        </w:tc>
        <w:tc>
          <w:tcPr>
            <w:tcW w:w="9160" w:type="dxa"/>
            <w:vAlign w:val="bottom"/>
          </w:tcPr>
          <w:p>
            <w:pPr>
              <w:ind w:left="780"/>
              <w:spacing w:after="0" w:line="142" w:lineRule="exact"/>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 which includes Enterprise, Escalante I, Escalante II, Escalante</w:t>
            </w:r>
          </w:p>
        </w:tc>
      </w:tr>
      <w:tr>
        <w:trPr>
          <w:trHeight w:val="184"/>
        </w:trPr>
        <w:tc>
          <w:tcPr>
            <w:tcW w:w="2120" w:type="dxa"/>
            <w:vAlign w:val="bottom"/>
          </w:tcPr>
          <w:p>
            <w:pPr>
              <w:spacing w:after="0"/>
              <w:rPr>
                <w:sz w:val="16"/>
                <w:szCs w:val="16"/>
                <w:color w:val="auto"/>
              </w:rPr>
            </w:pP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III, Granite Mountain East, Granite Mountain West and Iron Springs</w:t>
            </w:r>
          </w:p>
        </w:tc>
      </w:tr>
      <w:tr>
        <w:trPr>
          <w:trHeight w:val="145"/>
        </w:trPr>
        <w:tc>
          <w:tcPr>
            <w:tcW w:w="2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Utility Scale Solar</w:t>
            </w:r>
          </w:p>
        </w:tc>
        <w:tc>
          <w:tcPr>
            <w:tcW w:w="9160" w:type="dxa"/>
            <w:vAlign w:val="bottom"/>
          </w:tcPr>
          <w:p>
            <w:pPr>
              <w:ind w:left="780"/>
              <w:spacing w:after="0" w:line="145"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r>
      <w:tr>
        <w:trPr>
          <w:trHeight w:val="184"/>
        </w:trPr>
        <w:tc>
          <w:tcPr>
            <w:tcW w:w="2120" w:type="dxa"/>
            <w:vAlign w:val="bottom"/>
          </w:tcPr>
          <w:p>
            <w:pPr>
              <w:spacing w:after="0"/>
              <w:rPr>
                <w:sz w:val="16"/>
                <w:szCs w:val="16"/>
                <w:color w:val="auto"/>
              </w:rPr>
            </w:pP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912"/>
        </w:trPr>
        <w:tc>
          <w:tcPr>
            <w:tcW w:w="2120" w:type="dxa"/>
            <w:vAlign w:val="bottom"/>
          </w:tcPr>
          <w:p>
            <w:pPr>
              <w:spacing w:after="0"/>
              <w:rPr>
                <w:sz w:val="24"/>
                <w:szCs w:val="24"/>
                <w:color w:val="auto"/>
              </w:rPr>
            </w:pPr>
          </w:p>
        </w:tc>
        <w:tc>
          <w:tcPr>
            <w:tcW w:w="916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120" w:type="dxa"/>
            <w:vAlign w:val="bottom"/>
            <w:tcBorders>
              <w:bottom w:val="single" w:sz="8" w:color="9A9A9A"/>
            </w:tcBorders>
          </w:tcPr>
          <w:p>
            <w:pPr>
              <w:spacing w:after="0"/>
              <w:rPr>
                <w:sz w:val="7"/>
                <w:szCs w:val="7"/>
                <w:color w:val="auto"/>
              </w:rPr>
            </w:pPr>
          </w:p>
        </w:tc>
        <w:tc>
          <w:tcPr>
            <w:tcW w:w="9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was formed as a Delaware corporation on December 20, 2012. The Company is sponsored by Clearway Energy Group LLC, or CEG.</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In 2025, 98% of the Company’s total generation was attributable to renewable energy and storage assets.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2025 </w:t>
      </w:r>
      <w:r>
        <w:rPr>
          <w:rFonts w:ascii="Times New Roman" w:cs="Times New Roman" w:eastAsia="Times New Roman" w:hAnsi="Times New Roman"/>
          <w:sz w:val="14"/>
          <w:szCs w:val="14"/>
          <w:color w:val="231F20"/>
        </w:rPr>
        <w:t>based on CAFD.</w:t>
      </w:r>
      <w:r>
        <w:rPr>
          <w:rFonts w:ascii="Times New Roman" w:cs="Times New Roman" w:eastAsia="Times New Roman" w:hAnsi="Times New Roman"/>
          <w:sz w:val="14"/>
          <w:szCs w:val="14"/>
          <w:color w:val="auto"/>
        </w:rPr>
        <w:t xml:space="preserve"> A complete listing of the Company’s interests in operating facilities as of December 31, 2025 can be found in Item 2 — </w:t>
      </w:r>
      <w:r>
        <w:rPr>
          <w:rFonts w:ascii="Times New Roman" w:cs="Times New Roman" w:eastAsia="Times New Roman" w:hAnsi="Times New Roman"/>
          <w:sz w:val="14"/>
          <w:szCs w:val="14"/>
          <w:i w:val="1"/>
          <w:iCs w:val="1"/>
          <w:color w:val="auto"/>
        </w:rPr>
        <w:t>Properties.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As a result of its current ownership of the Class B common stock and Class D common stock of the Company, CEG controls the Company. From time to time, CEG may also hold shares of the Company’s Class A and/or Class C common stock.</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of December 31, 2025, the Company owned 58.62% of the economic interests of Clearway Energy LLC, with CEG owning 41.38% of the economic interests of Clearway Energy LLC.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267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primary business strategy is to focus on the ownership of assets and growth through investments in or acquisitions of assets that generate predictable, long-term cash flows so that it can continue to grow and expand the business as well as to increase the dividends paid to holders of the Company’s Class A and Class C common stock over time.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plan for executing its business strategy includes the following key components:</w:t>
      </w:r>
    </w:p>
    <w:p>
      <w:pPr>
        <w:spacing w:after="0" w:line="13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Focus on contracted renewable energy and dispatchable combustion-based generation. </w:t>
      </w:r>
      <w:r>
        <w:rPr>
          <w:rFonts w:ascii="Times New Roman" w:cs="Times New Roman" w:eastAsia="Times New Roman" w:hAnsi="Times New Roman"/>
          <w:sz w:val="14"/>
          <w:szCs w:val="14"/>
          <w:color w:val="auto"/>
        </w:rPr>
        <w:t>The Company owns and operates utility scale and distributed renewable energy assets, as well as BESS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facilities, and dispatchable combustion-based power generation assets included in the Flexible Generation segment that provide critical grid reliability services. The assets are operated with proven technologies and have generally low operating risks and stable cash flows. The Company believes that by focusing on this core asset class and leveraging its industry knowledge, it will maximize its strategic opportunities, be a leader in operational efficiency and maximize its overall financial performance.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Growing the business through investments in operating power generation assets. </w:t>
      </w:r>
      <w:r>
        <w:rPr>
          <w:rFonts w:ascii="Times New Roman" w:cs="Times New Roman" w:eastAsia="Times New Roman" w:hAnsi="Times New Roman"/>
          <w:sz w:val="14"/>
          <w:szCs w:val="14"/>
          <w:color w:val="auto"/>
        </w:rPr>
        <w:t>The Company believes that its base of operations provides a platform for strategic growth through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accretive and tax advantaged investments and acquisitions complementary to its existing portfolio and investment in organic cash flow expansion of its own fleet. In addition, the Company may invest in or acquire generation facilities from third parties when it believes its knowledge of the market and operating expertise provides it with a competitive advantage, as well as consummate future investments in, or acquisitions of, assets developed by CEG. The Company believes that CEG’s development expertise provides the Company access to a development platform with an extensive pipeline of potential renewable energy and BESS facilities that are aligned with the Company’s growth objectives. The Company and CEG work collaboratively in considering new assets to be invested in or acquired by the Company. The assets listed below represent the Company’s currently committed investments in facilities: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Gross Capacity (MW)</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Funding</w:t>
            </w:r>
          </w:p>
        </w:tc>
      </w:tr>
      <w:tr>
        <w:trPr>
          <w:trHeight w:val="171"/>
        </w:trPr>
        <w:tc>
          <w:tcPr>
            <w:tcW w:w="35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Deriva Solar Portfolio </w:t>
            </w:r>
            <w:r>
              <w:rPr>
                <w:rFonts w:ascii="Times New Roman" w:cs="Times New Roman" w:eastAsia="Times New Roman" w:hAnsi="Times New Roman"/>
                <w:sz w:val="18"/>
                <w:szCs w:val="18"/>
                <w:color w:val="auto"/>
                <w:vertAlign w:val="superscript"/>
              </w:rPr>
              <w:t>(a) (b)</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Distributed Generation</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613</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Various</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1H26</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Goat Mountain Repower</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Wind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360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TX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2H27</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Mt. Storm Repower</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335</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WV</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Rosamond South II</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BESS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2"/>
              </w:rPr>
              <w:t>CA</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San Juan Mesa Repower </w:t>
            </w:r>
            <w:r>
              <w:rPr>
                <w:rFonts w:ascii="Times New Roman" w:cs="Times New Roman" w:eastAsia="Times New Roman" w:hAnsi="Times New Roman"/>
                <w:sz w:val="18"/>
                <w:szCs w:val="18"/>
                <w:color w:val="auto"/>
                <w:vertAlign w:val="superscript"/>
              </w:rPr>
              <w:t>(b)</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135</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NM</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2H27</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Spindle</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BESS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199</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2"/>
              </w:rPr>
              <w:t>CO</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Tuolumne Repower</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WA</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Third-party acquisition of operating facilities.</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Included in a co-investment partnership.</w:t>
      </w:r>
    </w:p>
    <w:p>
      <w:pPr>
        <w:spacing w:after="0" w:line="10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Primary focus on North America. </w:t>
      </w:r>
      <w:r>
        <w:rPr>
          <w:rFonts w:ascii="Times New Roman" w:cs="Times New Roman" w:eastAsia="Times New Roman" w:hAnsi="Times New Roman"/>
          <w:sz w:val="14"/>
          <w:szCs w:val="14"/>
          <w:color w:val="auto"/>
        </w:rPr>
        <w:t>The Company intends to focus its investments in North America. The Company believes that industry fundamentals in North America offer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opportunity to grow its portfolio without creating significant exposure to currency or sovereign risk. By focusing its efforts on North America, the Company believes it will best leverage its regional knowledge of power markets, industry relationships and skill sets to maximize its performance.</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sound financial practices to grow the dividend. </w:t>
      </w:r>
      <w:r>
        <w:rPr>
          <w:rFonts w:ascii="Times New Roman" w:cs="Times New Roman" w:eastAsia="Times New Roman" w:hAnsi="Times New Roman"/>
          <w:sz w:val="14"/>
          <w:szCs w:val="14"/>
          <w:color w:val="auto"/>
        </w:rPr>
        <w:t>The Company intends to maintain a commitment to disciplined financial analysis and a balanced capital structure to enable it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Power generation is a capital-intensive business with numerous and diverse industry participants. The Company competes based on the location of its plants, as well as the contract price and terms of individual facilities. Within the power industry, the Company competes with a wide variety of companies with different capabilities, resources and business models, depending on the market. The Company’s competitors for energy supply include utilities and independent power producers. The Company also competes to acquire new facilities with renewable developers who retain ownership of their renewable power plants, independent power producers, financial investors and other downstream power infrastructure owners. Competitive conditions may be substantially affected by capital market conditions and by various forms of energy-related legislation and regulation considered by federal, state and local legislatures and administrative agencies, including tax policy. Such laws and regulations, or changes thereto, may substantially increase the costs of acquiring, constructing and operating facilities, and it could be difficult for the Company to adapt to and operate under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Stable, high quality cash flows. </w:t>
      </w:r>
      <w:r>
        <w:rPr>
          <w:rFonts w:ascii="Times New Roman" w:cs="Times New Roman" w:eastAsia="Times New Roman" w:hAnsi="Times New Roman"/>
          <w:sz w:val="14"/>
          <w:szCs w:val="14"/>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&amp; Storage facilities have no fuel costs, however, the Company’s merchant assets included in the Flexible Generation segment need to procure their own fuel. The offtake agreements within the Company’s Renewables &amp; Storage segment have a weighted-average remaining duration, based on CAFD, of approximately 12 years as of December 31, 2025, which contributes to long-term cash flow stability. The Company’s offtake agreements with counterparties for whom credit ratings are available have a weighted-average Moody’s rating of Baa1 based on rated capacity under contract. Additionally, because all of the Company’s assets are located in the U.S., they are not exposed to currency or repatriation risks.</w:t>
      </w:r>
    </w:p>
    <w:p>
      <w:pPr>
        <w:spacing w:after="0" w:line="9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Environmentally well-positioned portfolio of assets. </w:t>
      </w:r>
      <w:r>
        <w:rPr>
          <w:rFonts w:ascii="Times New Roman" w:cs="Times New Roman" w:eastAsia="Times New Roman" w:hAnsi="Times New Roman"/>
          <w:sz w:val="14"/>
          <w:szCs w:val="14"/>
          <w:color w:val="auto"/>
        </w:rPr>
        <w:t>The Company’s portfolio includes approximately 10.1 gross GW of installed wind, solar and BESS assets that are predominantly non-emitting sources of power generation. Additionally, the Company’s assets within the Flexible Generation segment that are located in California consist of efficient gas generation facilities that support electric system reliability. The Company does not expect to incur any significant capital expenditures in the foreseeable future to comply with current environmental regulations applicable to its generation assets. Taken as a whole, the Company believes it will be a net beneficiary of growing energy demand and market support for the types of assets that the Company operates and acquires.</w:t>
      </w:r>
    </w:p>
    <w:p>
      <w:pPr>
        <w:spacing w:after="0" w:line="9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quality, long-lived assets with low operating and capital requirements. </w:t>
      </w:r>
      <w:r>
        <w:rPr>
          <w:rFonts w:ascii="Times New Roman" w:cs="Times New Roman" w:eastAsia="Times New Roman" w:hAnsi="Times New Roman"/>
          <w:sz w:val="14"/>
          <w:szCs w:val="14"/>
          <w:color w:val="auto"/>
        </w:rPr>
        <w:t>The Company benefits from a portfolio of relatively newer assets. The Company’s assets are largely comprised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proven and reliable technologies, provided by leading original wind, solar and BESS equipment manufacturers. Given the nature of the portfolio, which includes a substantial number of wind, solar and BESS facilities, with relatively low operating and maintenance costs, the Company expects to maintain high fleet availability and expend modest maintenance-related capital expenditures.</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scale and diversity. </w:t>
      </w:r>
      <w:r>
        <w:rPr>
          <w:rFonts w:ascii="Times New Roman" w:cs="Times New Roman" w:eastAsia="Times New Roman" w:hAnsi="Times New Roman"/>
          <w:sz w:val="14"/>
          <w:szCs w:val="14"/>
          <w:color w:val="auto"/>
        </w:rPr>
        <w:t>The Company’s portfolio comprises approximately 12.9 GW of gross capacity in 27 states, including approximately 10.1 GW of wind, solar and BESS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2.8 GW of dispatchable combustion-based power generation providing critical grid reliability services. The Company’s contracted assets included in the Renewables &amp; Storage and Flexible Generation segments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9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Relationship with CEG as sponsor. </w:t>
      </w:r>
      <w:r>
        <w:rPr>
          <w:rFonts w:ascii="Times New Roman" w:cs="Times New Roman" w:eastAsia="Times New Roman" w:hAnsi="Times New Roman"/>
          <w:sz w:val="14"/>
          <w:szCs w:val="14"/>
          <w:color w:val="auto"/>
        </w:rPr>
        <w:t>The Company believes that its relationship with CEG provides significant benefits given CEG’s highly capable renewable development and operations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platform that is aligned to support the Company’s growth. CEG has strong capabilities in capital formation, power origination, procurement, construction, business development, asset management, operations and maintenance and related commercial functions, all of which help to safeguard and optimize the value of the Company’s business and operating fleet.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Review</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tables summarize the Company’s operating revenues, net income (loss) and assets by segment, as discussed in Item 15 — Note 13,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420" w:type="dxa"/>
            <w:vAlign w:val="bottom"/>
            <w:tcBorders>
              <w:bottom w:val="single" w:sz="8" w:color="auto"/>
            </w:tcBorders>
          </w:tcPr>
          <w:p>
            <w:pPr>
              <w:spacing w:after="0"/>
              <w:rPr>
                <w:sz w:val="13"/>
                <w:szCs w:val="13"/>
                <w:color w:val="auto"/>
              </w:rPr>
            </w:pPr>
          </w:p>
        </w:tc>
      </w:tr>
      <w:tr>
        <w:trPr>
          <w:trHeight w:val="149"/>
        </w:trPr>
        <w:tc>
          <w:tcPr>
            <w:tcW w:w="5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7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144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42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16,655</w:t>
            </w:r>
          </w:p>
        </w:tc>
      </w:tr>
      <w:tr>
        <w:trPr>
          <w:trHeight w:val="373"/>
        </w:trPr>
        <w:tc>
          <w:tcPr>
            <w:tcW w:w="5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4"/>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tcPr>
          <w:p>
            <w:pPr>
              <w:spacing w:after="0"/>
              <w:rPr>
                <w:sz w:val="13"/>
                <w:szCs w:val="13"/>
                <w:color w:val="auto"/>
              </w:rPr>
            </w:pPr>
          </w:p>
        </w:tc>
        <w:tc>
          <w:tcPr>
            <w:tcW w:w="1100" w:type="dxa"/>
            <w:vAlign w:val="bottom"/>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100" w:type="dxa"/>
            <w:vAlign w:val="bottom"/>
            <w:tcBorders>
              <w:bottom w:val="single" w:sz="8" w:color="auto"/>
            </w:tcBorders>
          </w:tcPr>
          <w:p>
            <w:pPr>
              <w:spacing w:after="0"/>
              <w:rPr>
                <w:sz w:val="13"/>
                <w:szCs w:val="13"/>
                <w:color w:val="auto"/>
              </w:rPr>
            </w:pPr>
          </w:p>
        </w:tc>
      </w:tr>
      <w:tr>
        <w:trPr>
          <w:trHeight w:val="154"/>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280" w:type="dxa"/>
            <w:vAlign w:val="bottom"/>
          </w:tcPr>
          <w:p>
            <w:pPr>
              <w:spacing w:after="0"/>
              <w:rPr>
                <w:sz w:val="13"/>
                <w:szCs w:val="13"/>
                <w:color w:val="auto"/>
              </w:rPr>
            </w:pPr>
          </w:p>
        </w:tc>
        <w:tc>
          <w:tcPr>
            <w:tcW w:w="1580" w:type="dxa"/>
            <w:vAlign w:val="bottom"/>
            <w:gridSpan w:val="3"/>
          </w:tcPr>
          <w:p>
            <w:pPr>
              <w:jc w:val="right"/>
              <w:ind w:right="82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100" w:type="dxa"/>
            <w:vAlign w:val="bottom"/>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65"/>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2"/>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Incentives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U.S. federal, state and local governments have established various policy incentives to support the development, financing, ownership and operation of renewable energy facilities. These incentives include PTCs, ITCs, accelerated tax depreciation, cash grants, tax abatements and RPS programs which have the effect of decreasing the costs and risks associated with developing and operating such facilities or creating demand for renewable energy assets. In particular,</w:t>
      </w:r>
    </w:p>
    <w:p>
      <w:pPr>
        <w:spacing w:after="0" w:line="93" w:lineRule="exact"/>
        <w:rPr>
          <w:sz w:val="20"/>
          <w:szCs w:val="20"/>
          <w:color w:val="auto"/>
        </w:rPr>
      </w:pPr>
    </w:p>
    <w:p>
      <w:pPr>
        <w:jc w:val="both"/>
        <w:ind w:left="520" w:hanging="260"/>
        <w:spacing w:after="0" w:line="256"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Owners of wind facilities are eligible to claim the PTC, or an ITC in lieu of the PTC, provided that certain requirements are met. Similarly, owners of solar facilities are eligible to claim the ITC or, for facilities placed in service after August 16, 2022, either the ITC or, in lieu thereof, a PTC, provided certain requirements are met. Additionally, owners of BESS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In order to qualify for the full amount of these credits in the case of facilities whose construction began on or after January 28,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GHG emissions cannot be greater than zero. Moreover, pursuant to legislation enacted July 4, 2025, wind and solar facilities that begin construction after July 4, 2026 must be placed in service by December 31, 2027 in order to qualify for these credits and the percentage of components in the facility manufactured by foreign entities of concern cannot exceed a specified percentage.</w:t>
      </w:r>
    </w:p>
    <w:p>
      <w:pPr>
        <w:spacing w:after="0" w:line="22" w:lineRule="exact"/>
        <w:rPr>
          <w:rFonts w:ascii="Times New Roman" w:cs="Times New Roman" w:eastAsia="Times New Roman" w:hAnsi="Times New Roman"/>
          <w:sz w:val="14"/>
          <w:szCs w:val="14"/>
          <w:color w:val="231F20"/>
        </w:rPr>
      </w:pPr>
    </w:p>
    <w:p>
      <w:pPr>
        <w:jc w:val="both"/>
        <w:ind w:left="520" w:hanging="260"/>
        <w:spacing w:after="0" w:line="264"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Pursuant to the U.S. federal Modified Accelerated Cost Recovery System, or MACRS, wind, solar and BESS facilities have generally been depreciable for tax purposes over a five-year period (before applying certain conventions), even though the useful life of such facilities is generally much longer than five years. However, pursuant to federal tax legislation enacted on July 4, 2025, in certain cases, facilities as to which construction begins after 2024 will no longer be depreciable over a five-year period; instead, their cost will be recovered over a seven-year period. Under the same legislation, immediate 100% expensing is also permanently available for such property.</w:t>
      </w:r>
    </w:p>
    <w:p>
      <w:pPr>
        <w:spacing w:after="0" w:line="13" w:lineRule="exact"/>
        <w:rPr>
          <w:rFonts w:ascii="Times New Roman" w:cs="Times New Roman" w:eastAsia="Times New Roman" w:hAnsi="Times New Roman"/>
          <w:sz w:val="14"/>
          <w:szCs w:val="14"/>
          <w:color w:val="231F20"/>
        </w:rPr>
      </w:pP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elimination of, loss of, reduction in, or the addition of stricter eligibility requirements for the business tax credits and incentives discussed above could decrease the attractiveness of renewable energy facilities to developers, including, but not limited to, CEG, which could reduce the Company’s acquisition or development opportunities. Such an elimination, loss or reduction could also reduce the Company’s willingness to pursue or develop certain renewable energy facilities due to higher operating costs or decreased revenues under its PPAs. However, these changes (i) are not anticipated to have an adverse impact on the anticipated pipeline of facilities that are being developed by the Company’s sponsor, CEG, through at least 2030 and (ii) did not impact the operation of facilities owned by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FERC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PUHCA provides FERC with certain authority over and access to books and records of public utility holding companies and companies within the public utility holding company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not required to comply with the accounting, record retention and reporting requirements promulgated by FERC pursuant to the PUHCA.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 To the extent that proposed legislation and new or revised regulations restrict or otherwise impact the Company’s operations, the proposed legislation and regulations could have a negative impact on the Company’s financial performance.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jc w:val="both"/>
        <w:ind w:firstLine="318"/>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EPA GHG Rulemaking and Proposals </w:t>
      </w:r>
      <w:r>
        <w:rPr>
          <w:rFonts w:ascii="Times New Roman" w:cs="Times New Roman" w:eastAsia="Times New Roman" w:hAnsi="Times New Roman"/>
          <w:sz w:val="14"/>
          <w:szCs w:val="14"/>
          <w:color w:val="auto"/>
        </w:rPr>
        <w:t>— In March 2025, a Joint Resolution of Disapproval under the Congressional Review Act was signed which prohibited the EPA’s November 2024 Waste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Emissions Charge rules from taking effect. Federal tax legislation enacted on July 4, 2025 postponed the EPA’s imposition of the Waste Emissions Charge to 2034. On July 29, 2025, the EPA issued an interim final rule extending several compliance deadlines associated with the strict new methane rules for the oil and gas industry that were published in March 2024 and took effect in May 2024. In December 2025, the EPA issued a final rule extending these compliance deadlines associated with its 2024 methane rules. On September 16, 2025, the EPA announced a proposal to end the Greenhouse Gas Reporting Program for all sectors except petroleum and natural gas systems (excluding reporting for natural gas distribution). Reporting for petroleum and natural gas systems under the Greenhouse Gas Reporting Program would be deferred until 2034 under the proposal. On February 12, 2026, the EPA announced the repeal of its 2009 “Endangerment Finding” under the Clean Air Act, which found that GHGs endanger the public health and welfare of current and future generations and emissions of GHGs from motor vehicles contribute to GHG pollution. The Endangerment Finding formed the EPA’s legal authority to regulate GHG emissions from motor vehicles, but the repeal calls into question the EPA’s authority to regulate GHGs not just from motor vehicles, but from all regulated sources, as well as the EPA’s prior scientific assessment of climate change risks. Litigation regarding the repeal is anticipated and it is unclear how the repeal will impact the EPA’s regulation of GHG emissions generally going forward. The move away from the federal regulation of GHGs and the repeal of the Endangerment Finding mark a significant shift in federal climate policy.</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Changes to NEPA </w:t>
      </w:r>
      <w:r>
        <w:rPr>
          <w:rFonts w:ascii="Times New Roman" w:cs="Times New Roman" w:eastAsia="Times New Roman" w:hAnsi="Times New Roman"/>
          <w:sz w:val="14"/>
          <w:szCs w:val="14"/>
          <w:color w:val="auto"/>
        </w:rPr>
        <w:t>— In February 2025, the White House Council on Environmental Quality, or CEQ, sent NEPA Implementation Guidance to the heads of federal department and agencies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expedite and simplify the permitting process pursuant to Executive Order 14154, “Unleashing American Energy.” In the same month, CEQ issued an interim final rule removing its regulations implementing NEPA from the Code of Federal Regulations, which rule was finalized in January 2026. On May 29, 2025, the U.S. Supreme Court issued a decision in </w:t>
      </w:r>
      <w:r>
        <w:rPr>
          <w:rFonts w:ascii="Times New Roman" w:cs="Times New Roman" w:eastAsia="Times New Roman" w:hAnsi="Times New Roman"/>
          <w:sz w:val="14"/>
          <w:szCs w:val="14"/>
          <w:i w:val="1"/>
          <w:iCs w:val="1"/>
          <w:color w:val="auto"/>
        </w:rPr>
        <w:t>Seven County Infrastructure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Coalition v. Eagle County, Colorado </w:t>
      </w:r>
      <w:r>
        <w:rPr>
          <w:rFonts w:ascii="Times New Roman" w:cs="Times New Roman" w:eastAsia="Times New Roman" w:hAnsi="Times New Roman"/>
          <w:sz w:val="14"/>
          <w:szCs w:val="14"/>
          <w:color w:val="auto"/>
        </w:rPr>
        <w:t>limiting the scope of upstream and downstream effects agencies must consider in NEPA reviews and clarifying that courts must afford agencies “substantial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judicial deference” in NEPA cases. In July 2025, federal tax legislation added Section 112 to NEPA, which provides for expedited environmental reviews for a fee under NEPA, and the U.S. Army Corps of Engineers, FERC and the Departments of Energy, Interior, Transportation, Agriculture and Defense released updates to their regulations and procedures implementing NEPA to speed up permitting and streamline environmental reviews.</w:t>
      </w:r>
    </w:p>
    <w:p>
      <w:pPr>
        <w:spacing w:after="0" w:line="10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Federal Endangered Species Act Legislation and Regulations </w:t>
      </w:r>
      <w:r>
        <w:rPr>
          <w:rFonts w:ascii="Times New Roman" w:cs="Times New Roman" w:eastAsia="Times New Roman" w:hAnsi="Times New Roman"/>
          <w:sz w:val="14"/>
          <w:szCs w:val="14"/>
          <w:color w:val="auto"/>
        </w:rPr>
        <w:t>— In November 2025, the U.S. Fish and Wildlife Service proposed four rules, two of which were jointly issued with the National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Marine Fisheries Service, which amend the federal Endangered Species Act, or ESA, regulations. The proposed rules revise the prior administration’s 2024 regulations under the ESA and revert to the 2019 and 2020 regulations regarding listing, delisting and critical habitat determinations, pursuant to Executive Order 14154, “Unleashing American Energy,” and the U.S. Department of Interior Secretary’s Order 3418 (implementing EO 14154).</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Federal Eagle Incidental Take Permit Rule </w:t>
      </w:r>
      <w:r>
        <w:rPr>
          <w:rFonts w:ascii="Times New Roman" w:cs="Times New Roman" w:eastAsia="Times New Roman" w:hAnsi="Times New Roman"/>
          <w:sz w:val="14"/>
          <w:szCs w:val="14"/>
          <w:color w:val="auto"/>
        </w:rPr>
        <w:t>— On September 30, 2022, FWS published in the Federal Register a draft rule revising the eagle incidental take permit program. Comments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revised rule continued to be accepted during 2023. The final eagle incidental take permit rule was published in the Federal Register on February 12, 2024, and became effective on April 13, 2024. The final rule provided expedited eagle take permitting and a lower cost pathway to permit issuance for many wind facilities but not all. Facility-specific permits will still be required for some facilities. In August 2025, DOI began auditing the eagle take permit program and eagle take permits for wind projects issued prior to January 2025 as part of the DOI’s implementation of Executive Order 14315 “Ending Market Distorting Subsidies for Unreliable, Foreign-Controlled Energy Sources” and DOI’s memorandum “Ensuring Compliance with the Bald and Gold Eagle Protection Act and Executive Order 14315.”</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Federal MBTA Incidental Take Legislation and Regulations </w:t>
      </w:r>
      <w:r>
        <w:rPr>
          <w:rFonts w:ascii="Times New Roman" w:cs="Times New Roman" w:eastAsia="Times New Roman" w:hAnsi="Times New Roman"/>
          <w:sz w:val="14"/>
          <w:szCs w:val="14"/>
          <w:color w:val="auto"/>
        </w:rPr>
        <w:t>— On April 11, 2025, citing executive order “Unleashing American Energy,” the U.S. Department of the Interior, or DOI, issued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 opinion repealing opinion M-37065, which was issued during the prior administration and specified that the MBTA prohibits both intentional and incidental take of migratory birds, and restoring opinion M-37050, which was issued during the first Trump administration and specifies that only intentional take of migratory birds is prohibited. On July 29, 2025, DOI announced a policy measure to review whether avian mortality rates associated with the development of wind energy facilities located in migratory flight paths qualify as “incidental” takings of birds under the MBTA and related laws, and to determine the appropriate approach to permitting these activities, identifying violations of the applicable statutes and related penalties.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California Climate Disclosure Laws </w:t>
      </w:r>
      <w:r>
        <w:rPr>
          <w:rFonts w:ascii="Times New Roman" w:cs="Times New Roman" w:eastAsia="Times New Roman" w:hAnsi="Times New Roman"/>
          <w:sz w:val="14"/>
          <w:szCs w:val="14"/>
          <w:color w:val="auto"/>
        </w:rPr>
        <w:t>— In September 2023, the California State Assembly passed landmark climate disclosure laws (SB 253 and SB 261, as amended by SB 219). These laws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 large companies "doing business in California" to provide annual reporting of Scope 1, 2 and 3 GHG emissions to the state (SB 253) and the biennial disclosure of climate-related financial risks and mitigation (SB 261). The initial reporting of Scope 1 and 2 emissions under SB 253 is due August 10, 2026, and the reporting of Scope 3 emissions is set to begin in 2027. The biennial disclosure under SB 261 was originally due on January 1, 2026, however, on November 18, 2025, enforcement of SB 261 was stayed due to a preliminary injunction from the Ninth Circuit Court of Appeals. Litigation regarding both laws remains ongoing. The Company has prepared to comply with these new state requirements.</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Local California Air District Rules </w:t>
      </w:r>
      <w:r>
        <w:rPr>
          <w:rFonts w:ascii="Times New Roman" w:cs="Times New Roman" w:eastAsia="Times New Roman" w:hAnsi="Times New Roman"/>
          <w:sz w:val="14"/>
          <w:szCs w:val="14"/>
          <w:color w:val="auto"/>
        </w:rPr>
        <w:t>— Air districts, including the San Diego Air Pollution Control District, have recently proposed and/or updated new source review permitting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facilities in the Flexible Generation segment meet the district’s existing and proposed amendments to command-and-control regulations. Proposed updates to local California Air District Rules are not expected to affect the operations nor compliance of the Company’s facilities.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sells its electricity and environmental attributes, including RECs, primarily to customers located across 27 states under contractual arrangements. The Company’s customer base includes 38 local utilities and 26 commercial and industrial customers delivered through its utility-scale generation fleet, as well as thousands of additional customers for products delivered from its distributed solar fleet. During the year ended December 31, 2025, the Company’s largest customers as a percentage of consolidated revenue were SCE and PG&amp;E, which represented approximately 22% and 16%, respectively, with the next five largest customers representing a total of approximately 26% of consolidated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Effective January 1, 2025, the Company effected a reorganization pursuant to which all of the employees of the Company transferred to CEG. As a result, the Company does not have employees of its own and instead depends solely on the services provided by or under the direction of CEG under the CEG Master Services Agreement to carry out its operations. The Company directly bears all labor costs for certain employees of CEG who perform work on behalf of the Company. The Company also depends upon personnel of CEG for the provision of asset management, administration and O&amp;M services.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personnel of CEG, the Company relies on other third-party service providers in the daily operations of its facilities in the Flexible Generation segment, as well as certain renewable facilities.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together with CEG, focuses on attracting, developing and retaining a team of highly talented and motivated employees. CEG seeks to attract and retain employees with industry experience and relevant skills to support operations, which in certain areas requires specific professional or technical skills and experience. CEG’s programs to attract and recruit qualified candidates focus on identifying qualified candidates from a variety of backgrounds with the requisite skills and experience to bring value to the Company. CEG regularly conducts assessments of its compensation and benefit practices and pay levels to help ensure that staff members are compensated equitably and competitively. CEG devotes extensive resources to staff development and training, including tuition assistance for career-enhancing academic and professional programs. CEG utilizes various programs for developing and retaining employees that focus on employee engagement and belonging, as well as continuing education. Employee performance is measured in part based on goals that are aligned with the Company’s annual objectives.</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CEG is committed to maintaining a workplace that acknowledges, encourages and values its employees as individuals. The Company and CEG believe that individual differences, experiences, and strengths enrich a company’s culture and help it better understand the needs of its customers and the communities in which it operates.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The Company’s Board of Directors reviews developing trends and emerging ESG matters as well as the Company’s strategies, activities, policies and communications regarding ESG matters, and reviews and considers potential actions the Company could take regarding ESG matters.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Aligned with the Company’s strategy of owning and acquiring environmentally-sound assets, in 2025, approximately 91% of the Company’s total operating revenues were not tied to the dispatch of power generation emitting GHGs. This non-GHG emitting operating revenue included renewable energy generation and grid reliability services in the Company’s Renewables &amp; Storage segment and grid reliability services in the Flexible Generation segment at the El Segundo, Marsh Landing and Walnut Creek facilities. Excluding the Carlsbad facility, which is currently under a long-term tolling agreement whereby the Company does not control the dispatch of the facility, in 2025, approximately 97% of the Company’s total operating revenues were not tied to the dispatch of power generation emitting GHGs.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Also in 2025, 98% of the Company’s total generation was attributable to renewable energy and storage assets. The Company has also issued $2,725 million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 which includes the 2034 Senior Notes that were issued on January 13, 2026, as further described in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The Company’s business is subject to numerous risks and uncertainties, discussed in more detail in the following section. These risks include, among others, the following key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96"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grow and make investments or acquisitions through cash on hand is limited.</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Counterparties to the Company’s offtake agreements may not fulfill their obligations and, as the contracts expire or terminate, the Company may not be able to replace them with agreements on similar terms, or at all.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effectively consummate future investments or acquisitions will also depend on the Company’s ability to arrange the required or desired financing for such transactions.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indebtedness could adversely affect its ability to raise additional capital to fund the Company’s operations or pay dividends.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expansion and refurbishment of electric generation facilities involve significant risks that could result in unplanned power outages or reduced output.</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 concentration at certain of the Company’s facilities and the inability of suppliers to meet their obligations may expose the Company to significant financial credit or performance risks.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own all of the land on which its facilities are located, which could result in disruption to its operations. The Company’s use and enjoyment of real property rights for its facilities may be adversely affected by the rights of lienholders and leaseholders that are superior to those of the grantors of those real property rights to the Company.</w:t>
      </w:r>
    </w:p>
    <w:p>
      <w:pPr>
        <w:spacing w:after="0" w:line="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businesses are subject to physical, market and economic risks relating to potential effects of climate change and public and governmental initiatives to address climate change.</w:t>
      </w:r>
    </w:p>
    <w:p>
      <w:pPr>
        <w:spacing w:after="0" w:line="194"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Company’s business, financial condition, results of operations and cash flows.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the Company’s businesses is subject to cyber-based security and integrity risk.</w:t>
      </w:r>
    </w:p>
    <w:p>
      <w:pPr>
        <w:spacing w:after="0" w:line="29"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depends on key personnel and its and CEG’s ability to attract and retain additional skilled management and other personnel, the loss of any of which could have a material adverse effect on the Company’s financial condition and results of operations.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potentially be adversely affected by emerging technologies that may over time impact capacity markets and the energy industry overall.</w:t>
      </w:r>
    </w:p>
    <w:p>
      <w:pPr>
        <w:spacing w:after="0" w:line="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identified a material weakness in its internal control over financial reporting related to hypothetical liquidation at book value (HLBV) accounting that, if not properly remediated, could adversely affect its business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 with CEG</w:t>
      </w:r>
    </w:p>
    <w:p>
      <w:pPr>
        <w:spacing w:after="0" w:line="9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exercises substantial influence over the Company, and the Company is highly dependent on CEG.</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controls the Company and has the ability to designate a majority of the members of the Company’s Board of Directors.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consummate future acquisitions from CEG.</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be unable to terminate the CEG Master Services Agreement, in certain circumstances.</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9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business is subject to restrictions resulting from environmental, health and safety laws and regulations.</w:t>
      </w:r>
    </w:p>
    <w:p>
      <w:pPr>
        <w:spacing w:after="0" w:line="40" w:lineRule="exact"/>
        <w:rPr>
          <w:rFonts w:ascii="Times New Roman" w:cs="Times New Roman" w:eastAsia="Times New Roman" w:hAnsi="Times New Roman"/>
          <w:sz w:val="14"/>
          <w:szCs w:val="14"/>
          <w:b w:val="1"/>
          <w:bCs w:val="1"/>
          <w:color w:val="auto"/>
        </w:rPr>
      </w:pPr>
    </w:p>
    <w:p>
      <w:pPr>
        <w:ind w:left="520" w:hanging="260"/>
        <w:spacing w:after="0" w:line="27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 is subject to complex and evolving U.S. laws and regulations regarding privacy and data protection.</w:t>
      </w:r>
    </w:p>
    <w:p>
      <w:pPr>
        <w:spacing w:after="0" w:line="29"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regulations providing incentives for renewable power generation and battery energy storage could change at any time and such changes may negatively impact the Company’s growth strategy.</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foreign trade policies may have a material adverse effect on the Company’s business,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Common Stock</w:t>
      </w:r>
    </w:p>
    <w:p>
      <w:pPr>
        <w:spacing w:after="0" w:line="96" w:lineRule="exact"/>
        <w:rPr>
          <w:sz w:val="20"/>
          <w:szCs w:val="20"/>
          <w:color w:val="auto"/>
        </w:rPr>
      </w:pPr>
    </w:p>
    <w:p>
      <w:pPr>
        <w:jc w:val="both"/>
        <w:ind w:left="520" w:hanging="260"/>
        <w:spacing w:after="0" w:line="26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continue paying comparable or growing cash dividends to holders of its common stock in the future. 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interest rates may have an effect on the value of the Company’s Class A and Class C common stock.</w:t>
      </w:r>
    </w:p>
    <w:p>
      <w:pPr>
        <w:spacing w:after="0" w:line="40"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spacing w:after="0" w:line="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96" w:lineRule="exact"/>
        <w:rPr>
          <w:sz w:val="20"/>
          <w:szCs w:val="20"/>
          <w:color w:val="auto"/>
        </w:rPr>
      </w:pPr>
    </w:p>
    <w:p>
      <w:pPr>
        <w:jc w:val="both"/>
        <w:ind w:left="520" w:hanging="260"/>
        <w:spacing w:after="0" w:line="26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use NOLs to offset future income may be limited.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valuation allowance may be required for the Company’s deferred tax assets.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holders of the Company’s Class A and Class C common stock may be taxable.</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or policies, including but not limited to changes in corporate income tax rates, as well as judgments and estimates used in the determination of tax-related asset and liability amounts, could have a material adverse effect on the Company’s business, financial condition, results of operations and prospects.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comply with tax laws and policies may depend on its contractual arrangements and information provided by third parties and may require significant resources.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Company’s cash dividend policy, the Company intends to distribute a significant amount of the CAFD through regular quarterly distributions and dividends, and the Company’s ability to grow and make investments and acquisitions through cash on hand is limited.</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investments, acquisitions and growth capital expenditures. The Company may be precluded from pursuing otherwise attractive investments or acquisitions if the projected short-term cash flow from the investment or acquisition is not adequate to service the capital raised to fund the investment or acquisition, after giving effect to the Company’s available cash reserves. To the extent the Company issues additional equity securities in connection with any investments,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operating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business strategy includes growth through investments in, and acquisitions of, additional generation assets (including through corporate acquisitions). This strategy depends on the Company’s ability to successfully identify and evaluate investment and acquisition opportunities and consummate investments and acquisitions on favorable terms. However, the number of investment and acquisition opportunities is limited. In addition, the Company will compete with other companies for these limited investment and acquisition opportunities, which may increase the Company’s cost of making investments or acquisitions or cause the Company to refrain from making investments or acquisitions at all. Some of the Company’s competitors for investments and acquisitions are much larger than the Company with substantially greater financial or human resources. These companies may be able to pay more for investments or acquisitions and may be able to identify, evaluate, bid for and purchase a greater number of assets than the Company’s financial or human resources permit. If the Company is unable to identify and consummate future investments or acquisitions, its ability to execute its growth strategy and increase the amount of dividends paid to holders of the Company’s common stock may be limited.</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invest in or acquire future renewable facilities may also depend on the financial viability of renewable energy assets generally. The financial viability of these assets may, from time to time, be impacted by public policy mechanisms, including PTCs, ITCs, cash grants, loan guarantees, accelerated depreciation, RPS and carbon trading plans. These mechanisms have been implemented at the state and federal levels to support the development and ongoing viability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0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investment in, or acquisition of, companies and assets are subject to substantial risks, including the failure to identify material problems during due diligence (for which the Company may not be indemnified post-closing) and the risk of overpaying for assets (or not making investments or acquisitions on an accretive basis). The integration and consolidation of acquisitions requires substantial human, financial and other resources and, ultimately, the Company’s acquisitions may divert management’s attention from the Company’s existing business operations, disrupt the Company’s ongoing business or not be successfully integrated. There can be no assurances that any future investments or acquisitions will perform as expected or that the returns from such investments or acquisitions will support the financing utilized to invest in, acquire or maintain them. A failure to achieve the financial returns the Company expects when it invests in or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 w:name="page18"/>
    <w:bookmarkEnd w:id="17"/>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Counterparties to the Company’s offtake agreements may not fulfill their obligations and, as the contracts expire or terminate, the Company may not be able to replace them with agreements on similar terms, or at all.</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electric power the Company generates within the Renewables &amp; Storage segment is sold under long-term offtake agreements with public utilities or industrial or commercial end-users, with a weighted average remaining duration, based on CAFD, of approximately 12 years. As of December 31, 2025, the largest customers of the Company’s power generation and BESS assets, including assets in which the Company has less than a 100% membership interest, were SCE and PG&amp;E, which represented 22% and 16%, respectively, of total consolidated revenues generated by the Company during the year ended December 31, 2025.</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increasing competition among generators for offtake agreements has contributed to variability in electricity prices in certain markets. As a result, when an existing offtake agreement expires or is terminated, the Company may not be able to secure a replacement agreement on comparable terms and conditions, and the pricing under any such replacement agreement may vary significantly from the expired or terminated agreement, potentially impacting the profitability of the related facility. In addition, the Company’s competitors may be able to respond more quickly to evolving standards or customer requirements or adopt more advanced technology that reduces their production costs, resulting in their ability to compete for, or secure favorable terms in,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effectively consummate future investments or acquisitions will also depend on the Company’s ability to arrange the required or desired financing for such transactions.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may not have sufficient credit availability under the Company’s financing arrangements or have access to facility-level financing on commercially reasonable terms when investment or acquisition opportunities arise. An inability to obtain the necessary or desired financing could significantly limit the Company’s ability to consummate future investments or acquisitions and effectuate the Company’s growth strategy. If financing is available, utilization of the Company’s credit available under its financing arrangements or facility-level financing for all or a portion of the purchase price of an investment or acquisition could significantly increase the Company’s interest expense, impose additional or more restrictive covenants and reduce CAFD. Similarly, the Company’s issuance of additional equity securities as consideration for investments or acquisitions could cause significant stockholder dilution and reduce the Company’s per share dividends, particularly if the investments or acquisitions are not sufficiently accretive. The Company’s ability to consummate future investments or acquisitions may also depend on the Company’s ability to obtain any required regulatory approvals or other third-party approvals for such investments or acquisitions.</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approximately $8,674 million of total consolidated indebtedness, $6,188 million of which was incurred by the Company’s non-guarantor subsidiaries. In addition, the Company’s share of its unconsolidated affiliates’ total indebtedness and letters of credit outstanding as of December 31, 2025 totaled approximately $259 million and $42 million, respectively (calculated as the Company’s unconsolidated affiliates’ total indebtedness as of such date multiplied by the Company’s percentage membership interest in such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4"/>
          <w:szCs w:val="14"/>
          <w:color w:val="auto"/>
        </w:rPr>
        <w:t>The Company’s substantial debt could have important negative consequences on the Company’s financial condition, including:</w:t>
      </w:r>
    </w:p>
    <w:p>
      <w:pPr>
        <w:spacing w:after="0" w:line="94"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Company’s vulnerability to general economic and industry conditions;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enter into long-term power sales or fuel purchases which require credit support;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fund operations or future investments or acquisitions;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the Company to the risk of increased interest rates because certain of the Company’s borrowings, which may include borrowings under the Company’s revolving credit facility, are at variable rates of interest;</w:t>
      </w: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obtain additional financing for working capital including collateral postings, capital expenditures, debt service requirements, investments, acquisitions and general corporate or other purposes; and</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adjust to changing market conditions and placing it at a competitive disadvantage compared to the Company’s competitors who have less debt.</w:t>
      </w:r>
    </w:p>
    <w:p>
      <w:pPr>
        <w:spacing w:after="0" w:line="13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agreements governing the Company’s facility-level financing contain financial and other restrictive covenants that limit the Company’s operating subsidiaries’ ability to make distributions to the Company or otherwise engage in activities that may be in the Company’s long-term best interests. The facility-level financing agreements generally prohibit distributions from the operating subsidiaries to the Company unless certain specific conditions are met, including the satisfaction of certain financial ratios. The Company’s inability to satisfy certain financial covenants may prevent cash distributions by the particular operating subsidiary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operating subsidiaries, it would likely have a material adverse effect on the Company’s ability to pay dividends to holders of the Company’s common stock.</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Letter of credit facilities to support contractual obligations of operating subsidiaries generally have a limited term that may require future renewal, at which time the Company or relevant operating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facility-level financing arrangements, restrict the ability of the operating subsidiary to make distributions to it and/or reduce the amount of cash available at such subsidiary to make distributions to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firstLine="318"/>
        <w:spacing w:after="0" w:line="287" w:lineRule="auto"/>
        <w:rPr>
          <w:sz w:val="20"/>
          <w:szCs w:val="20"/>
          <w:color w:val="auto"/>
        </w:rPr>
      </w:pPr>
      <w:r>
        <w:rPr>
          <w:rFonts w:ascii="Times New Roman" w:cs="Times New Roman" w:eastAsia="Times New Roman" w:hAnsi="Times New Roman"/>
          <w:sz w:val="14"/>
          <w:szCs w:val="14"/>
          <w:color w:val="auto"/>
        </w:rPr>
        <w:t>In addition, the Company’s ability to arrange financing, either at the corporate level or at a non-recourse operating subsidiary, and the costs of such capital, are dependent on numerous factors, including:</w:t>
      </w:r>
    </w:p>
    <w:p>
      <w:pPr>
        <w:spacing w:after="0" w:line="39"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banks and other 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Company and CEG, the Company’s sole managing member and its principal stockholder;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regional wholesale power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performance and the financial performance of the Company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level of indebtedness and compliance with covenants in debt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credit ratings or credit quality;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tax and securities laws that may impact raising capital.</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may not be successful in obtaining additional capital for these or other reasons. Furthermore, the Company may be unable to refinance or replace facility-level financing arrangements or other credit facilities on favorable terms or at all upon the expiration or termination thereof. The Company’s failure, or the failure of any of the Company’s facilities,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generation of electric energy from solar and wind energy sources depends heavily on suitable meteorological conditions.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floods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energy assets. For example, in February 2021, many electricity generating assets, including the Company’s wind facilities in Texas, were unable to operate and experienced outages for a few days as a result of the extreme winter weather conditions. In addition, climate change may have the long-term effect of changing wind patterns at the Company’s facilities. Changing wind patterns could cause changes in expected electricity generation. These events could also degrade equipment or components and the interconnection and transmission facilities’ lives or maintenance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have a material adverse effect on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Additionally, the proceeds of any such insurance, warranties or performance guarantees may not be received in a timely manner.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securing adequate insurance coverage has become more difficult in recent years, and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wildfires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facilities may operate, wholly or partially, without long-term power sales agreements.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If the Company makes any major modifications to its facilities in the Flexible Generation segment, it may be required to install the best available control technology or to achieve the lowest achievable emission rates as such terms are defined under the new source review provisions of the Clean Air Act in the future. Any such modifications could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concentration at certain of the Company’s facilities and the inability of suppliers to meet their obligations may expose the Company to significant financial credit or performance risks.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Company’s business, financial condition, results of operations, credit support terms and cash flows.</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failure of any supplier to fulfill its contractual obligations to the Company could have a material adverse effect on its financial results. Consequently, the financial performance of the Company’s facilities is dependent on the credit quality of, and continued performance by, the Company’s suppliers and vendors.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As described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has limited control over the management and operation of certain of its assets, because the Company does not beneficially own all of the membership interests in such assets. The Company may seek to acquire additional assets in which it owns less than all of the related membership interests in the future. In these investments, the Company will seek to exert a degree of influence with respect to the management and operation of assets in which it owns less than all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Company’s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own all of the land on which its facilities are located, which could result in disruption to its operations.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does not own all of the land on which its facilities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use and enjoyment of real property rights for its facilities may be adversely affected by the rights of lienholders and leaseholders that are superior to those of the grantors of those real property rights to the Company.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Generation facilities generally are, and are likely to be, located on land occupied by the facility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facility’s easements and leases. As a result, the facility’s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facilities are located, which could have a material adverse effect on the Company’s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wildfires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governmental, scientific and public concern over the threat of climate change arising from GHG emissions may limit the Company’s access to natural gas or decrease demand for energy generated by the Company’s assets in the Flexible Generation segment.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Company’s business, financial condition, results of operations and cash flows.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have a material adverse effect on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Furthermore, certain of the Company’s assets are located in active earthquake zones in California and Arizona, and certain facilities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relies on a limited number of highly skilled personnel for some of its operations, as well as certain independent contractors and other service providers. If a large proportion of the Company’s or CEG’s personnel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personnel,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Company’s business, financial condition, results of operations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the Company’s businesses is subject to cyber-based security and integrity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the Company is dependent upon the computer systems of third-party providers to process certain data necessary to conduct its business, including sensitive employee information, credit card transaction information and other sensitive data.</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From time to time, the Company engages a range of third parties as a part of its cybersecurity risk management. While such engagements are aimed at bolstering the effectiveness of the Company’s risk management processes, they introduce inherent risks and complexities that warrant careful consideration. Any oversight or failure on the part of these third parties could compromise the security of the Company’s sensitive data, proprietary information and critical business processes, leading to potential data breaches or unauthorized access. Additionally, the reliance on external entities introduces complexities in coordinating risk management efforts, data sharing and maintaining confidentiality. Any mismanagement or inadequate coordination between the Company’s internal teams and third-party vendors could result in delays in responding to cybersecurity threats or gaps in its risk mitigation strategies. In addition, while the Company and its third-party service providers commit resources to the design, implementation and monitoring of the Company’s computer systems, there is no guarantee that these security measures will provide absolute security. Despite these security measures, the Company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Potential disruptive actions could result from cyberspace breaches, ransomware or other malware, phishing or social engineering schemes or attacks or other cybersecurity threats, attacks or intrusions, including by computer hackers, foreign governments and cyber terrorists, or otherwise be compromised by unintentional events with respect to the Company or any of its contractors or customers. If the Company or any of its third-party providers’ systems for protecting against such cybersecurity threats prove to be insufficient, current or planned business operations could be interrupted, property could be damaged and confidential, proprietary or other sensitive information, including employee, customer or supplier information, could be lost, stolen or corrupted, which may cause the Company to incur significant losses of revenues, other substantial liabilities and damages, costs to replace or repair damaged equipment and damage to the Company’s reputation. The Company’s insurance may not fully protect it against such losses, and costs for insurance may also increase as a result of cybersecurity threats. In addition, the Company may experience increased capital and operating costs to implement increased security for its cyber systems and generating assets.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cyberattacks against the Company or others in its industry could result in additional regulations, which could lead to increased regulatory compliance costs, insurance coverage cost or capital expenditures. Any failure by the Company to comply with these additional regulations could subject it to regulatory investigations or litigation and could result in significant penalties and liability. The Company cannot predict the potential impact to its business or the energy industry resulting from such additional regulations.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facilities under construction. Additionally, such failures, delays or increased costs could have a material adverse effect on the Company’s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Company’s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Delivery of fuel supplies to the Company’s facilities in the Flexible Generation segment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depends on key personnel and its and CEG’s ability to attract and retain additional skilled management and other personnel, the loss of any of which could have a material adverse effect on the Company’s financial condition and results of operations.</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does not have employees of its own and instead depends solely on the services provided by or under the direction of CEG under the CEG Master Services Agreement to carry out its operations. The Company therefore believes its current operations and future success depend largely on the continued services of key personnel employed by CEG, including those individuals who provide management, operational, technical and other services to the Company under the CEG Master Services Agreement. The expertise, industry knowledge and experience of these individuals are critical to the Company’s ability to operate its business, execute its growth strategy and maintain effective internal controls and compliance. Although the Company currently has access to the resources of CEG, the loss of one or more key personnel of the Company or CEG, or the inability of the Company or CEG to attract, retain or adequately replace qualified individuals in a timely manner, could disrupt the Company’s operations, delay or impair the execution of its business plans and negatively impact its relationships with customers, suppliers and other third parties. In addition, because CEG personnel and support staff that provide services to the Company under the CEG Master Services Agreement are not solely responsible for the management and administration of the Company, and the CEG Master Services Agreement does not require any specific individuals to be provided by CEG, there can be no assurance that the Company will have continued access to the same level of expertise or attention from CEG personnel in the future. Any significant reduction in the quality or quantity of services provided by CEG personnel could have a material adverse effect on the Company’s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potentially be adversely affected by emerging technologies that may over time impact capacity markets and the energy industry overall.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has identified a material weakness in its internal control over financial reporting related to hypothetical liquidation at book value (HLBV) accounting that, if not properly remediated, could adversely affect its business and results of operations.</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 material weakness is a deficiency, or combination of deficiencies, in internal control over financial reporting such that there is a reasonable possibility that a material misstatement of the Company’s annual or interim consolidated financial statements may not be prevented or detected on a timely basis. As described in Item 9A, </w:t>
      </w:r>
      <w:r>
        <w:rPr>
          <w:rFonts w:ascii="Times New Roman" w:cs="Times New Roman" w:eastAsia="Times New Roman" w:hAnsi="Times New Roman"/>
          <w:sz w:val="14"/>
          <w:szCs w:val="14"/>
          <w:i w:val="1"/>
          <w:iCs w:val="1"/>
          <w:color w:val="auto"/>
        </w:rPr>
        <w:t>Controls and Procedures</w:t>
      </w:r>
      <w:r>
        <w:rPr>
          <w:rFonts w:ascii="Times New Roman" w:cs="Times New Roman" w:eastAsia="Times New Roman" w:hAnsi="Times New Roman"/>
          <w:sz w:val="14"/>
          <w:szCs w:val="14"/>
          <w:color w:val="auto"/>
        </w:rPr>
        <w:t>, during the fourth quarter of 2025, the Company’s management identified a material weakness in its internal control over financial reporting due to ineffective controls over the review of certain calculations of HLBV accounting used to allocate net income (loss) to the Company’s redeemable noncontrolling interests and noncontrolling interests in tax equity partnerships.</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Although the Company is in the process of remediating the material weakness and believes, based on its evaluation to date, that the material weakness will be remediated in a timely fashion, it cannot provide assurance that this will occur within a specific timeframe. The material weakness will not be remediated until all necessary internal controls have been tested and determined to be operating effectively. In addition, the Company may need to take additional measures to address the material weakness or modify the planned remediation steps, and the Company cannot be certain that the measures it has taken, and expect to take, to improve its internal controls will be sufficient to address the issues identified, to ensure that its internal controls are effective or to ensure that the identified material weakness will not result in a material misstatement of the Company’s consolidated financial statements. Moreover, the Company cannot provide assurance that it will not identify additional material weaknesses in its internal control over financial reporting in the future.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Implementing any further changes to the Company’s internal controls may distract its officers and employees and entail material costs to implement new processes and/or modify its existing processes. Moreover, until the Company successfully remediates the material weakness, its ability to record, process and report financial information accurately, and to prepare financial statements within the time periods specified by the rules and forms of the SEC, could be adversely affected. This failure could negatively affect the market price and trading liquidity of the Company’s common stock, cause investors to lose confidence in the Company’s reported financial information, impair the Company’s ability to access the capital markets on acceptable terms and generally materially and adversely impact the Company’s business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Relationships with CEG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exercises substantial influence over the Company, and the Company is highly dependent on CEG.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54.89% of the combined voting power of the Company’s common stock as of December 31, 2025.</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As a result of this ownership, CEG has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CEG may cause corporate actions to be taken that do not fully align with the interests of the Company’s other stockholders (including holders of the Company’s Class A and Class C common stock).</w:t>
      </w:r>
    </w:p>
    <w:p>
      <w:pPr>
        <w:spacing w:after="0" w:line="10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Furthermore, effective January 1, 2025, the Company effected a reorganization pursuant to which all of the employees of the Company transferred to CEG. As a result, the Company does not have employees of its own and instead depends solely on the services provided by or under the direction of CEG under the CEG Master Services Agreement to carry out its operations. CEG personnel and support staff that provide services to the Company under the CEG Master Services Agreement are not solely responsible for the management and administration of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Company’s business, financial condition, results of operations and cash flows. The CEG Master Services Agreement will continue in perpetuity, until terminated in accordance with its terms.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Company’s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controls the Company and has the ability to designate a majority of the members of the Company’s Board of Directors.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Due to CEG’s approximate 54.89% combined voting power in the Company, the ability of other holders of the Company’s Class A and Class C common stock to exercise control over the corporate governance of the Company is limited. CEG has a substantial influence on the Company’s affairs and CEG’s voting power constitutes a large percentage of any quorum of the Company’s stockholders voting on any matter requiring the approval of the Company’s stockholders. It is possible that the interests of CEG and its affiliates may in certain circumstances differ from the interests of the Company or other holders of the Company’s Class A and Class C common stock.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consummate future acquisitions from CEG.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grow through acquisitions depends, in part, on CEG’s ability to identify and present the Company with acquisition opportunities. There are a number of factors that could materially and adversely impact the extent to which suitable acquisition opportunities are made available from CEG. For example, due to factors inside or outside the Company’s control, CEG may be unable to develop or construct facilities that are ultimately compatible with the Company’s operational requirements or that otherwise result in suitable acquisition opportunities for the Company, or CEG may not be able to develop facilities that provide cash flows that would support the Company’s investment requirements due to numerous factors impacting the economics of the facilities, including negotiation of engineering, procurement and construction and offtake contracts, as well as securing long-term financing for the facilities.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be unable to terminate the CEG Master Services Agreement, in certain circumstances.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gross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90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relies on CEG to provide certain services under the CEG Master Services Agreement, including the provision of information technology services. The CEG Master Services Agreement provides that CEG may terminate the agreement upon 180 days prior written notice of termination to the Company (i) if the Company defaults in the performance or observance of any material term, condition or covenant contained in the agreement in a manner that results in material harm to CEG and the default continues unremedied for a period of 30 days after written notice of the breach is given; or (ii) upon the happening of certain events relating to the bankruptcy or insolvency of the Company. If CEG terminates the CEG Master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In connection with the provision of services under the CEG Master Services Agreement, during January 2026, CEG began the use of a new enterprise resource planning, or ERP, application to support its core business processes and data. The implementation of the new ERP application will continue to require significant human resources, which could impact CEG’s ability to provide services to the Company under the CEG Master Services Agreement. CEG expects the new ERP application to be fully implemented by the end of the first quarter of 2026. In addition, the Company is relying on CEG’s new ERP application to support its core business processes, data, financial accounting, financial reporting and internal controls. If CEG is unable to complete an effective implementation of its ERP application in a timely manner during the first quarter of 2026, it could adversely impact the Company and its ability to meet its financial reporting and internal control requirements.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liability of CEG is limited under the Company’s arrangements with it, and the Company has agreed to indemnify CEG against claims that it may face in connection with such arrangements, which require the Company to satisfy significant indemnification obligations.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the Company assuming greater risks when CEG makes decisions relating to the Company. The indemnification arrangements may give rise to legal claims for indemnification that are adverse to the Company and holders of its common stock, and, depending on the scope and magnitude of these claims, the Company may incur significant expenses and other financial obligations to cover such claims.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of the Company’s PPAs and facility-level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Certain of the Company’s PPAs and facility-level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facility.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facility-level financing could have a material adverse effect on the Company’s business, financial condition, results of operations and cash flow.</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As of December 31, 2025, CEG controls 54.89%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take advantage of certain exemptions from corporate governance provisions in the NYSE listing requirements, including provisions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restrictions resulting from environmental, health and safety laws and regulations.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Local, state and federal regulations may focus on areas such as monitoring and restricting GHG emissions, which could prove unfavorable to the Company’s segments depending on their form. Alternatively, local, state and federal regulations may also target restricting the development of renewable energy capacity through restrictions on land use, interconnection and removal of government incentives for renewable energy. Significant changes to local, state and federal regulations may have material impacts on the Company’s cost of compliance with these regulations on the Company’s ability to operate its existing assets economically. In addition, the Company may be adversely affected by changes to regulations that restrict the Company’s ability to acquire or invest in new facilities. The effect on the Company of any new legislative or regulatory measures will depend on the particular provisions that are ultimately adopted. In addition, sudden changes to local, state or federal regulations may result in the Company’s inability to quickly react and respond to these changes.</w:t>
      </w:r>
    </w:p>
    <w:p>
      <w:pPr>
        <w:spacing w:after="0" w:line="1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Companies across all industries may face increased scrutiny from the public, stakeholders and government agencies related to their environmental, social, and governance, or ESG, practices and commitments to address climate change. For example, in March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 On September 12, 2025, the U.S. Court of Appeals denied the SEC’s request to proceed with the case and indicated that the case would be held in abeyance until the SEC either renews its defense of the rules or revises the rules through notice-and-comment rulemaking. Additionally, in September 2023, California passed climate-related disclosure mandates, which are broader than the SEC’s proposed rules. In the event the SEC’s climate disclosure rules go into effect or states in which the Company operates or does business adopt climate disclosure requirements, the Company could incur significant additional costs relating to the assessment and disclosure of climate-related risks.</w:t>
      </w:r>
    </w:p>
    <w:p>
      <w:pPr>
        <w:spacing w:after="0" w:line="10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assets in the Flexible Generation segment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 Further, failure or a perception of failure to implement the Company’s ESG practices or achieve sustainability goals and targets it has set could damage the Company’s reputation, causing investors or customers to lose confidence in the Company, and negatively impact the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0" w:name="page31"/>
    <w:bookmarkEnd w:id="3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All of the Company’s generating assets are operating either as EWGs as defined under the PUHCA, or as QFs as defined under the PURPA, as amended, and are not required to comply with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must-offer rules,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1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revenues related to GenConn are established each year by the Connecticut Public Utilities Regulatory Authority. While such regulatory oversight is generally premised on the recovery of prudently incurred costs and a reasonable rate of return on invested capital, there can be no assurance that the applicable regulatory authorities approve rates or revenues that fully recover costs or provide an adequate return on the Company’s capital investments. This risk of inadequate cost recovery could have a material adverse effect on the Company’s business, financial condition, results of operations and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Company’s business, financial condition, results of operations and cash flows.</w:t>
      </w:r>
    </w:p>
    <w:p>
      <w:pPr>
        <w:spacing w:after="0" w:line="2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complex and evolving U.S. laws and regulations regarding privacy and data protection. Many of these laws and regulations are subject to change and uncertain interpretation, and could result in claims, increased cost of operations, or otherwise harm the Company’s business.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regulatory environment surrounding data privacy and protection is constantly evolving, and new or amended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private parties, subject the Company to significant fines, penalties, judgments, and negative publicity, require the Company to change its business practices, and increase the costs and complexity of compliance, any of which could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providing incentives for renewable power generation and battery energy storage could change at any time and such changes may negatively impact the Company’s growth strategy.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facilities and they could be changed, reduced or eliminated at any time. These incentives make the development of renewable power generation facilities more competitive by providing tax credits or grants and accelerated depreciation for a portion of the development costs, decreasing the costs and risks associated with developing such facilities or creating demand for renewable power assets through RPS programs.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elimination or loss of, or reduction in, such incentives as a result of future legislation or regulation could (i) decrease the attractiveness of renewable power generation or BESS facilities to developers, including, but not limited to, CEG, which could reduce the Company’s acquisition opportunities, (ii) reduce the Company’s willingness to pursue or develop certain renewable power facilities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the Company’s business, financial condition, results of operations and ability to grow its business and make cash distributions.</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August 15, 2025, the U.S. Treasury Department issued new guidance regarding the interpretation of “begin construction” requirements for wind, solar and BESS facilities that claim “technology neutral credits” under sections 45Y or 48E of the Internal Revenue Code. The guidance requires developers of wind and solar projects with a maximum net output of greater than 1.5 megawatts to perform physical work of a significant nature to qualify a project as having started, and then meet a continuity test. Under the continuity test, developers must place a project in service within four years after the end of the year in which construction starts or show that construction has been continuous from and after the start. The new guidance applies only to wind and solar projects that seek to qualify for “technology neutral credits” under Sections 45Y and 48E of the Internal Revenue Code and applies only for purposes of determining whether projects began construction before July 4, 2026. It does not apply to projects that began construction prior to September 2, 2025.</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foreign trade policies, including the imposition of additional tariffs and other trade barriers, and efforts to withdraw from or materially modify international trade agreements, may have a material adverse effect on the Company’s business, operations and financial condition.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U.S. foreign trade policy continues to evolve, and recent actions have resulted in the imposition of new and increased tariffs, as well as other trade barriers, on the foreign import of certain materials and products. For example, effective February 4, 2025, the U.S. government implemented an additional tariff on goods imported into the U.S. from China and announced additional tariffs on goods imported into the U.S. from Mexico and Canada beginning in March 2025. Additionally, the U.S. government announced and rescinded multiple tariffs on several foreign jurisdictions, which increased uncertainty regarding the ultimate effect on the tariffs on economic conditions. In August 2025, however, the U.S. Court of Appeals for the Federal Circuit ruled that the tariffs imposed by the current administration exceed presidential authority and therefore are invalid, and in February 2026, the U.S. Supreme Court affirmed such decision. Following the ruling, the current administration signed an executive order imposing a 10% “global tariff” and later indicated an intention to increase such “global tariff” to 15%, effective immediately, using presidential powers under certain U.S. trade laws. If implemented, such tariffs can remain in effect for up to 150 days, which may be extended by the U.S. Congress. The current administration may continue to impose additional tariffs under other U.S. trade laws. The Company cannot predict what additional changes to trade policy will be made by the presidential administration or Congress, including whether existing tariff policies will be maintained or modified, what materials or products may be subject to such policies or whether the entry into new bilateral or multilateral trade agreements, or the amendment or termination of existing trade agreements, will occur, nor can the Company predict the effects that any such changes would have on its business. However, such steps, if adopted, could increase the Company’s costs, disrupt supply chains, delay project timelines or otherwise adversely impact its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tariffs on certain goods being imported into China from the U.S. Similar responsive measures have been announced or implemented by other countries affected by U.S. trade actions. There can be no assurance that such changes in U.S. or foreign trade policy or in laws and policies governing foreign trade, and any resulting negative sentiments or retaliatory trade practices towards the U.S. as a result of such changes, would not have a material adverse effect on the Company’s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continue paying comparable or growing cash dividends to holders of its common stock in the future.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amount of CAFD principally depends upon the amount of cash the Company generates from its operations, which will fluctuate from quarter to quarter based on, among other things:</w:t>
      </w:r>
    </w:p>
    <w:p>
      <w:pPr>
        <w:spacing w:after="0" w:line="51"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revenues generated by the business, due to seasonality, weather, unplanned plant outages, contractual pricing structures or otherwise;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and timing of capital expenditures the Company makes;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operating and general and administrative expenses, including reimbursements to CEG for services provided to the Company in accordance with the CEG Master Services Agreement;</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requirements and other liabilities;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funds and access capital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contained in the Company’s debt agreements (including facility-level financing and, if applicable, corporate debt);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risks affecting cash levels.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facility-level financing. For example, as a result of the bankruptcy of PG&amp;E, between early 2019 and mid-2020, certain of the Company’s assets and investments were unable to make distributions to the Company. The facility-level financing agreements generally prohibit distributions from the operating subsidiaries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0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LLC’s cash flow will likely fluctuate from quarter to quarter, in some cases significantly, due to seasonality, weather volatility and other factors.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is a holding company and its primary asset is its ownership of membership interests in Clearway Energy LLC, a holding company that has no material assets other than its interest in Clearway Energy Operating LLC, whose sole material assets are the operating subsidiaries. Neither Clearway Energy LLC nor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have a material adverse effect on the Company’s liquidity and financial condition and limit the Company’s ability to pay dividends to holders of the Company’s Class A and Class C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interest rates may have an effect on the value of the Company’s Class A and Class C common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If the Company is unable to increase its dividend as a result of higher borrowing costs, insufficient CAFD or otherwise, this could result in selling pressure and a decrease in the market prices of the Company’s Class A and Class C common stock as investors seek alternative investments with higher yields.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volatility and reports by securities or industry analysts may affect the price of the Company’s Class A and Class C common stock.</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CEG or its owners, the Company’s business and the Company’s assets; the Company’s level of indebtedness and/or adverse market reaction to any indebtedness that the Company may incur in the future; the Company’s ability to raise capital on favorable terms or at all; loss of any major funding source; additions or departures of the Company’s executive officers or key personnel; changes in market valuations of similar power generation companies; and speculation in the press or investment community regarding the Company or CEG (or its owners); and other factors described or referenced in this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any significant disruption to the Company’s ability to access the capital markets, or a significant increase in interest rates, could make it difficult for the Company to successfully acquire attractive facilities from third parties and may also limit the Company’s ability to obtain debt or equity financing to complete such acquisitions. If the Company is unable to raise adequate proceeds when needed to fund such acquisitions, the ability to grow the Company’s operating portfolio may be limited, which could have a material adverse effect on the Company’s ability to implement its growth strategy and, ultimately, its business, financial condition, results of operations and cash flows.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93"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upon a resolution approved by a majority of the Company’s directors then in office;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with such terms as the Board of Directors may determine.</w:t>
      </w:r>
    </w:p>
    <w:p>
      <w:pPr>
        <w:spacing w:after="0" w:line="1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in open market transactions or otherwise. A purchaser of the Company’s securities which is a holding company will need to determine whether a given purchase of the Company’s securities may require prior FERC approval.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Investors may experience dilution of their ownership interest due to the future issuance of additional shares of the Company’s Class A or Class C common stock.</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the DSPP or sales of preferred shares or convertible debt, to complete future acquisitions, expansions and capital expenditures and pay the general and administrative costs of the Company’s business. In the future, the Company may issue its previously authorized and unissued securities, including shares under its ATM Program or the DRIP/DSPP,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 The Company may also issue additional shares of the Company’s Class A or Class C common stock or other securities that are convertible into or exercisable for the Company’s Class A or Class C common stock in future public offerings or private placements for capital raising purposes or for other business purposes, potentially at an offering price, conversion price or exercise price that is below the current trading price of the Company’s Class A or Class C common stock. The Company cannot predict the effect that issuances or sales of its Class A or Class C common stock, including pursuant to the ATM Program or the DRIP/DSPP, may have on the market prices for its Class A and Class C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the Company’s Class A or Class C common stock by CEG may cause the price of the Company’s Class A or Class C common stock to fall.</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9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expects to (i) carryforward prior year NOL balances to offset future taxable income and (ii) generate tax credits and carryforward prior year tax credits to offset future income tax liabilities. Based on the Company’s current portfolio of assets, which include renewable energy assets that benefit from accelerated tax depreciation deductions and federal tax credits, the Company estimates it will not pay material income tax payments through 2030.</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 requirements. If these exemptions are successfully challenged by state and local jurisdictions or if a change in tax law occurs, the Company’s ability to realize these exemptions could be affected. A reduction in the Company’s expected NOLs or tax credits,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addition, the Company routinely enters into arrangements with third parties that provide tax equity financing to, or acquire tax credits, including ITCs or PTCs,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use NOLs to offset future income may be limited.</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NOLs equal to the equity value of the corporation immediately before the ownership change, multiplied by the long-term tax-exempt rate for the month in which the ownership change occurs, increased by certain adjustments for built-in gains at the time of the ownership change. Future sales of any class of the Company’s common stock by CEG, as well as future issuances by the Company, could contribute to a potential ownership change.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A valuation allowance may be required for the Company’s deferred tax assets.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its net deferred tax assets in the future, the Company would reduce such amounts through a charge to income tax expense in the period in which that determination was made, which could have a material adverse effect on the Company’s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holders of the Company’s Class A and Class C common stock may be taxable.</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amount of distributions to holders of the Company’s Class A and Class C common stock that will be treated as taxable for U.S. federal income tax purposes to such holders will depend on the amount of the Company’s current and accumulated earnings and profits. It is difficult to predict whether the Company will generate earnings and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0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was in a cumulative earnings and profits deficit position as of the end of 2024 and did not generate any current earnings and profits during 2025. As a result, distributions made to holders of the Company’s Class A and Class C Common stock in 2025 were treated for U.S. tax purposes as a nontaxable return of capital and reduction of a U.S. stockholder’s tax basis in each of the Company’s common shares, with any remaining amount being taxed as a capital gain. The classification of distributions made after 2025 will depend upon a number of factors, including but not limited to, the Company’s overall performance and the gross amount of any distributions made to stockholders in 2026 and beyond.</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policies, including but not limited to changes in corporate income tax rates, as well as judgments and estimates used in the determination of tax-related asset and liability amounts, could have a material adverse effect on the Company’s business, financial condition, results of operations and prospects.</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have a material adverse effect on the Company’s business, financial condition, results of operations and prospects.</w:t>
      </w:r>
    </w:p>
    <w:p>
      <w:pPr>
        <w:spacing w:after="0" w:line="10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Federal tax legislation was enacted on July 4, 2025. Notable provisions include the restoration of 100% bonus depreciation, the reinstatement of immediate deductibility of certain domestic research and experimental (R&amp;E) expenditures, taxpayer favorable modifications to certain interest deductibility limitations and the phase out, repeal, and/or addition of stricter eligibility requirements for business tax credits and incentives for the development of clean energy facilities and production of clean energy, including wind, solar and BESS facilities. Among other things, (i) wind and solar facilities that begin construction after July 4, 2026 must be placed in service by December 31, 2027 in order to qualify for PTCs or ITCs, (ii) BESS facilities that begin construction by December 31, 2033 receive full ITC value, stepping down to 75% for BESS facilities that begin construction in 2034, 50% for BESS facilities that begin construction in 2035 and 0% for BESS facilities that begin construction after 2035 and (iii) for facilities that begin construction after 2025, new foreign entity of concern requirements will restrict availability of the credits to wind, solar and BESS facilities if the entity that owns the facility has certain relationships with or makes certain payments to foreign entities of concern and, for facilities that begin construction after 2025, if the percentage of components in the facility manufactured by foreign entities of concern exceeds a specified percentage.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order to qualify for tax credits and incentives available for the development of clean energy facilities and the production of clean energy, the Company must satisfy stringent compliance, recordkeeping and certification requirements. Additionally, in order to qualify for the full amount of available credits, the Company must comply with prevailing wage and apprenticeship requirements applicable to facilities on which construction began on or after January 28, 2023. Applicable tax rules permit certain defects in meeting the requirements to be timely cured under certain conditions rather than causing a loss of the tax credits.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have a material adverse effect on the Company’s business, financial condition and results of operations.</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Moreover, the costs and resources required to adequately comply with the aforementioned requirements and to monitor the activities of third parties are still to be determined as the Company puts in place its compliance and documentation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the following:</w:t>
      </w:r>
    </w:p>
    <w:p>
      <w:pPr>
        <w:spacing w:after="0" w:line="274"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dividend;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investment opportunities, as well as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Managing Material Risks &amp; Integrated Overall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Cybersecurity Framework (CSF).</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Engage Third Parties on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Recognizing the complexity and evolving nature of cybersecurity threats, the Company engages with a range of external experts, including cybersecurity consultants in evaluating and testing its cybersecurity systems. The Company’s collaboration with these third parties includes regular audits; threat and vulnerability assessments; incident response plan testing; company-wide monitoring of cybersecurity risks; and consultation on security enhancements.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Oversee Third-Party Risk</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Due to the risks associated with the engagement of third-party vendors, service providers and business partners, the Company applies processes to manage these risks. Thorough security assessments of third-party vendors with access to internal protected data or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potential data breaches or other security incidents originating from third parties.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from Cybersecurity Threats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February 24, 2026, the Company was not aware of any cybersecurity threats or incidents that have materially affected, or are reasonably likely to materially affect the Company, including its business strategy, results of operations or financial standing. However, there can be no assurance that the Company’s cybersecurity processes will prevent or mitigate cybersecurity incidents or threats or that the Company’s efforts will always be successful. For further discussion regarding the Company’s cybersecurity risks, see Item 1A — Risk Factors, </w:t>
      </w:r>
      <w:r>
        <w:rPr>
          <w:rFonts w:ascii="Times New Roman" w:cs="Times New Roman" w:eastAsia="Times New Roman" w:hAnsi="Times New Roman"/>
          <w:sz w:val="14"/>
          <w:szCs w:val="14"/>
          <w:i w:val="1"/>
          <w:iCs w:val="1"/>
          <w:color w:val="auto"/>
        </w:rPr>
        <w:t>Risks Related to the Company’s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Oversight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Board of Directors has oversight of cybersecurity risks and is well informed with respect to the nature and scope of such risks. The Board of Directors is acutely aware of the critical nature of managing risks associated with cybersecurity threats. The Board of Directors has established oversight mechanisms to ensure effective governance in managing risks associated with cybersecurity as they recognize the significance of these risks and threats to operational integrity and stakeholder confidence.</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Reporting to Board of Directors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each play a pivotal role in informing the Board of Directors on cybersecurity risks. They provide briefings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on a regular basis, with a minimum frequency of once per year. These briefings encompass a broad range of topics, including:</w:t>
      </w:r>
    </w:p>
    <w:p>
      <w:pPr>
        <w:spacing w:after="0" w:line="122"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cybersecurity threat landscape and emerging threats;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ongoing cybersecurity initiatives and strategies;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Incident reports and learnings from any meaningful cybersecurity events;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status and efforts with regulatory requirements and industry standards.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1" w:name="page42"/>
    <w:bookmarkEnd w:id="41"/>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addition to scheduled meetings, the Board of Directors,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 Personnel</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With over 20 years of experience in the field of cybersecurity, the current Vice President of Information Technology’s background includes in-depth knowledge and experience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current Director of Cybersecurity has over 30 years of experience in information technology across a variety of industries and compliance programs. The Director of Cybersecurity has been heavily focused on cybersecurity in regulated industries for over 10 years.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Management’s Role Managing Cybersecurity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 Board of Directors have insight and can provide guidance on critical cybersecurity issues.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Monitor Cybersecurity Incidents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are kept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incident response retainers from respected third parties. This plan includes immediate actions to mitigate the impact of the incident, long-term strategies for remediation and the prevention of future incidents.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Listed below are descriptions of the Company’s interests in operating facilities as of December 31,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6"/>
                <w:szCs w:val="16"/>
                <w:color w:val="auto"/>
              </w:rPr>
            </w:pPr>
          </w:p>
        </w:tc>
      </w:tr>
      <w:tr>
        <w:trPr>
          <w:trHeight w:val="18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8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60"/>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Flexible Generation</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Carlsbad </w:t>
            </w:r>
            <w:r>
              <w:rPr>
                <w:rFonts w:ascii="Times New Roman" w:cs="Times New Roman" w:eastAsia="Times New Roman" w:hAnsi="Times New Roman"/>
                <w:sz w:val="14"/>
                <w:szCs w:val="14"/>
                <w:color w:val="auto"/>
                <w:vertAlign w:val="superscript"/>
              </w:rPr>
              <w:t>(b)</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Carlsbad,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El Segundo </w:t>
            </w:r>
            <w:r>
              <w:rPr>
                <w:rFonts w:ascii="Times New Roman" w:cs="Times New Roman" w:eastAsia="Times New Roman" w:hAnsi="Times New Roman"/>
                <w:sz w:val="14"/>
                <w:szCs w:val="14"/>
                <w:color w:val="auto"/>
                <w:vertAlign w:val="superscript"/>
              </w:rPr>
              <w:t>(b)</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El Segundo,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2027 - 2029</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Devon </w:t>
            </w:r>
            <w:r>
              <w:rPr>
                <w:rFonts w:ascii="Times New Roman" w:cs="Times New Roman" w:eastAsia="Times New Roman" w:hAnsi="Times New Roman"/>
                <w:sz w:val="14"/>
                <w:szCs w:val="14"/>
                <w:color w:val="auto"/>
                <w:vertAlign w:val="superscript"/>
              </w:rPr>
              <w:t>(b)</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Milford, CT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2010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Middletown </w:t>
            </w:r>
            <w:r>
              <w:rPr>
                <w:rFonts w:ascii="Times New Roman" w:cs="Times New Roman" w:eastAsia="Times New Roman" w:hAnsi="Times New Roman"/>
                <w:sz w:val="14"/>
                <w:szCs w:val="14"/>
                <w:color w:val="auto"/>
                <w:vertAlign w:val="superscript"/>
              </w:rPr>
              <w:t>(b)</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Middletown,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Marsh Landing </w:t>
            </w:r>
            <w:r>
              <w:rPr>
                <w:rFonts w:ascii="Times New Roman" w:cs="Times New Roman" w:eastAsia="Times New Roman" w:hAnsi="Times New Roman"/>
                <w:sz w:val="14"/>
                <w:szCs w:val="14"/>
                <w:color w:val="auto"/>
                <w:vertAlign w:val="superscript"/>
              </w:rPr>
              <w:t>(b)</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Antioch,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May 2013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Walnut Creek </w:t>
            </w:r>
            <w:r>
              <w:rPr>
                <w:rFonts w:ascii="Times New Roman" w:cs="Times New Roman" w:eastAsia="Times New Roman" w:hAnsi="Times New Roman"/>
                <w:sz w:val="14"/>
                <w:szCs w:val="14"/>
                <w:color w:val="auto"/>
                <w:vertAlign w:val="superscript"/>
              </w:rPr>
              <w:t>(b)</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City of Industry, CA</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2013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2026 - 2027</w:t>
            </w:r>
          </w:p>
        </w:tc>
      </w:tr>
      <w:tr>
        <w:trPr>
          <w:trHeight w:val="149"/>
        </w:trPr>
        <w:tc>
          <w:tcPr>
            <w:tcW w:w="222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Flexible Generation</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Agua Caliente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Dateland, AZ</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2013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 June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2026 - 2041</w:t>
            </w: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Avenal,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Pima County, AZ</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Tucson Electric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Blythe,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Borrego Springs,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Fort Stockton,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2018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Georgetown, TX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5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Catalina</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Kern County,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1240" w:type="dxa"/>
            <w:vAlign w:val="bottom"/>
            <w:gridSpan w:val="2"/>
          </w:tcPr>
          <w:p>
            <w:pPr>
              <w:ind w:left="820"/>
              <w:spacing w:after="0" w:line="159"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7"/>
                <w:szCs w:val="7"/>
                <w:color w:val="auto"/>
              </w:rPr>
              <w:t xml:space="preserve"> (d)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November 2013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CVSR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Luis Obispo,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2013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 November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2033 - 2038</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Sunlight 250</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Sunlight 300</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Enterprise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2016</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Escalante 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Beaver County, UT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2016</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Escalante 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Beaver County, UT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2016</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Escalante III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Beaver County, UT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2016</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Granite Mountain East</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September 2016</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Granite Mountain West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2016</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Iron Springs</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2016</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Lemoore,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2013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Luna Valley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Fresno County,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2025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2040 - 2045</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2022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Oahu, HI</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September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Pine Forest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Hopkins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2025</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2040 - 2045</w:t>
            </w: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Santa Teresa, NM</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 Paso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2035 - 2047</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South I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2025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 High Desert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2013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2024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49"/>
        </w:trPr>
        <w:tc>
          <w:tcPr>
            <w:tcW w:w="222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BESS</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 June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2039 - 2041</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Rated MW</w:t>
            </w:r>
          </w:p>
        </w:tc>
        <w:tc>
          <w:tcPr>
            <w:tcW w:w="100" w:type="dxa"/>
            <w:vAlign w:val="bottom"/>
            <w:vMerge w:val="restart"/>
          </w:tcPr>
          <w:p>
            <w:pPr>
              <w:spacing w:after="0"/>
              <w:rPr>
                <w:sz w:val="9"/>
                <w:szCs w:val="9"/>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9"/>
                <w:szCs w:val="9"/>
                <w:color w:val="auto"/>
              </w:rPr>
            </w:pPr>
          </w:p>
        </w:tc>
        <w:tc>
          <w:tcPr>
            <w:tcW w:w="1240" w:type="dxa"/>
            <w:vAlign w:val="bottom"/>
            <w:gridSpan w:val="2"/>
          </w:tcPr>
          <w:p>
            <w:pPr>
              <w:ind w:left="280"/>
              <w:spacing w:after="0" w:line="11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Rated MW</w:t>
            </w: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0"/>
                <w:szCs w:val="10"/>
                <w:color w:val="auto"/>
              </w:rPr>
            </w:pPr>
          </w:p>
        </w:tc>
        <w:tc>
          <w:tcPr>
            <w:tcW w:w="116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0"/>
                <w:szCs w:val="10"/>
                <w:color w:val="auto"/>
              </w:rPr>
            </w:pPr>
          </w:p>
        </w:tc>
        <w:tc>
          <w:tcPr>
            <w:tcW w:w="1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22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120" w:type="dxa"/>
            <w:vAlign w:val="bottom"/>
            <w:tcBorders>
              <w:top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Daggett 1 </w:t>
            </w:r>
            <w:r>
              <w:rPr>
                <w:rFonts w:ascii="Times New Roman" w:cs="Times New Roman" w:eastAsia="Times New Roman" w:hAnsi="Times New Roman"/>
                <w:sz w:val="14"/>
                <w:szCs w:val="14"/>
                <w:color w:val="auto"/>
                <w:vertAlign w:val="superscript"/>
              </w:rPr>
              <w:t>(c)</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2025</w:t>
            </w: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 November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2033 - 2038</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2022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Pine Forest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Hopkins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2025</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South I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2025</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2035 - 2040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BESS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September 2015 - March</w:t>
            </w: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2030 - 2044</w:t>
            </w:r>
          </w:p>
        </w:tc>
        <w:tc>
          <w:tcPr>
            <w:tcW w:w="0" w:type="dxa"/>
            <w:vAlign w:val="bottom"/>
          </w:tcPr>
          <w:p>
            <w:pPr>
              <w:spacing w:after="0"/>
              <w:rPr>
                <w:sz w:val="1"/>
                <w:szCs w:val="1"/>
                <w:color w:val="auto"/>
              </w:rPr>
            </w:pPr>
          </w:p>
        </w:tc>
      </w:tr>
      <w:tr>
        <w:trPr>
          <w:trHeight w:val="155"/>
        </w:trPr>
        <w:tc>
          <w:tcPr>
            <w:tcW w:w="222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2008 - June 2012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2026 - 2037</w:t>
            </w:r>
          </w:p>
        </w:tc>
        <w:tc>
          <w:tcPr>
            <w:tcW w:w="0" w:type="dxa"/>
            <w:vAlign w:val="bottom"/>
          </w:tcPr>
          <w:p>
            <w:pPr>
              <w:spacing w:after="0"/>
              <w:rPr>
                <w:sz w:val="1"/>
                <w:szCs w:val="1"/>
                <w:color w:val="auto"/>
              </w:rPr>
            </w:pPr>
          </w:p>
        </w:tc>
      </w:tr>
      <w:tr>
        <w:trPr>
          <w:trHeight w:val="11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Other DG Facilities</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December 2010 - October</w:t>
            </w: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2026 - 2039</w:t>
            </w:r>
          </w:p>
        </w:tc>
        <w:tc>
          <w:tcPr>
            <w:tcW w:w="0" w:type="dxa"/>
            <w:vAlign w:val="bottom"/>
          </w:tcPr>
          <w:p>
            <w:pPr>
              <w:spacing w:after="0"/>
              <w:rPr>
                <w:sz w:val="1"/>
                <w:szCs w:val="1"/>
                <w:color w:val="auto"/>
              </w:rPr>
            </w:pPr>
          </w:p>
        </w:tc>
      </w:tr>
      <w:tr>
        <w:trPr>
          <w:trHeight w:val="151"/>
        </w:trPr>
        <w:tc>
          <w:tcPr>
            <w:tcW w:w="2220" w:type="dxa"/>
            <w:vAlign w:val="bottom"/>
            <w:tcBorders>
              <w:bottom w:val="single" w:sz="8" w:color="CCEEFF"/>
            </w:tcBorders>
            <w:gridSpan w:val="2"/>
            <w:vMerge w:val="continue"/>
          </w:tcPr>
          <w:p>
            <w:pPr>
              <w:spacing w:after="0"/>
              <w:rPr>
                <w:sz w:val="13"/>
                <w:szCs w:val="13"/>
                <w:color w:val="auto"/>
              </w:rPr>
            </w:pPr>
          </w:p>
        </w:tc>
        <w:tc>
          <w:tcPr>
            <w:tcW w:w="1680" w:type="dxa"/>
            <w:vAlign w:val="bottom"/>
            <w:tcBorders>
              <w:bottom w:val="single" w:sz="8" w:color="CCEEFF"/>
            </w:tcBorders>
            <w:gridSpan w:val="2"/>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2015</w:t>
            </w:r>
          </w:p>
        </w:tc>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gridSpan w:val="2"/>
            <w:vMerge w:val="continue"/>
          </w:tcPr>
          <w:p>
            <w:pPr>
              <w:spacing w:after="0"/>
              <w:rPr>
                <w:sz w:val="13"/>
                <w:szCs w:val="13"/>
                <w:color w:val="auto"/>
              </w:rPr>
            </w:pPr>
          </w:p>
        </w:tc>
        <w:tc>
          <w:tcPr>
            <w:tcW w:w="104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IV</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V</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X</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XI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Mineral and Grant Counties, WV</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Toyota and Google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Broken Bow</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Custer County, NE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Buffalo Bear</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Buffalo, OK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Cedar Creek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Bingham County, ID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Cedro Hill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Webb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 December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CPS Energy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2045</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Crofton Bluffs</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Knox County, NE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2012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Dan’s Mountain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Allegany County, MD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May 2025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Constellation Energy Generation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2037</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Howard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Elkhorn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Bloomfield,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Forward</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Axpo US LLC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Goat Mountain</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Sterling City,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2008 - June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Christoval,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Petersburg,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Lookout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Callahan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2033 - 2036</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Fisher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2032 - 2035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Mountain Wind 1</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Uinta County, WY</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Mountain Wind 2</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Uinta County, WY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6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Rated MW</w:t>
            </w:r>
          </w:p>
        </w:tc>
        <w:tc>
          <w:tcPr>
            <w:tcW w:w="100" w:type="dxa"/>
            <w:vAlign w:val="bottom"/>
            <w:vMerge w:val="restart"/>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vMerge w:val="restart"/>
          </w:tcPr>
          <w:p>
            <w:pPr>
              <w:spacing w:after="0"/>
              <w:rPr>
                <w:sz w:val="9"/>
                <w:szCs w:val="9"/>
                <w:color w:val="auto"/>
              </w:rPr>
            </w:pPr>
          </w:p>
        </w:tc>
        <w:tc>
          <w:tcPr>
            <w:tcW w:w="1160" w:type="dxa"/>
            <w:vAlign w:val="bottom"/>
          </w:tcPr>
          <w:p>
            <w:pPr>
              <w:ind w:left="280"/>
              <w:spacing w:after="0" w:line="11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480" w:type="dxa"/>
            <w:vAlign w:val="bottom"/>
          </w:tcPr>
          <w:p>
            <w:pPr>
              <w:spacing w:after="0"/>
              <w:rPr>
                <w:sz w:val="9"/>
                <w:szCs w:val="9"/>
                <w:color w:val="auto"/>
              </w:rPr>
            </w:pPr>
          </w:p>
        </w:tc>
        <w:tc>
          <w:tcPr>
            <w:tcW w:w="2120" w:type="dxa"/>
            <w:vAlign w:val="bottom"/>
            <w:vMerge w:val="restart"/>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80" w:type="dxa"/>
            <w:vAlign w:val="bottom"/>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2260" w:type="dxa"/>
            <w:vAlign w:val="bottom"/>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MW</w:t>
            </w:r>
            <w:r>
              <w:rPr>
                <w:rFonts w:ascii="Times New Roman" w:cs="Times New Roman" w:eastAsia="Times New Roman" w:hAnsi="Times New Roman"/>
                <w:sz w:val="16"/>
                <w:szCs w:val="16"/>
                <w:b w:val="1"/>
                <w:bCs w:val="1"/>
                <w:color w:val="auto"/>
                <w:vertAlign w:val="superscript"/>
              </w:rPr>
              <w:t>(a)</w:t>
            </w:r>
          </w:p>
        </w:tc>
        <w:tc>
          <w:tcPr>
            <w:tcW w:w="116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48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20" w:type="dxa"/>
            <w:vAlign w:val="bottom"/>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162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Ocotillo</w:t>
            </w: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Forsan, TX</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2"/>
                <w:szCs w:val="12"/>
                <w:color w:val="auto"/>
              </w:rPr>
            </w:pPr>
          </w:p>
        </w:tc>
        <w:tc>
          <w:tcPr>
            <w:tcW w:w="1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100" w:type="dxa"/>
            <w:vAlign w:val="bottom"/>
          </w:tcPr>
          <w:p>
            <w:pPr>
              <w:spacing w:after="0"/>
              <w:rPr>
                <w:sz w:val="12"/>
                <w:szCs w:val="12"/>
                <w:color w:val="auto"/>
              </w:rPr>
            </w:pPr>
          </w:p>
        </w:tc>
        <w:tc>
          <w:tcPr>
            <w:tcW w:w="2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Keyser, WV</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9"/>
                <w:szCs w:val="9"/>
                <w:color w:val="auto"/>
              </w:rPr>
            </w:pP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Maryland Department of General Services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5"/>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vMerge w:val="continue"/>
            <w:shd w:val="clear" w:color="auto" w:fill="CCEEFF"/>
          </w:tcPr>
          <w:p>
            <w:pPr>
              <w:spacing w:after="0"/>
              <w:rPr>
                <w:sz w:val="13"/>
                <w:szCs w:val="13"/>
                <w:color w:val="auto"/>
              </w:rPr>
            </w:pP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 University System of Maryland</w:t>
            </w: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(c) (e)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Ritzville, WA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Juan Mesa</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Elida, NM</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2005</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Sleeping Bear</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Woodward, OK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2007</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Sweetwater,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2009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Spanish Fork</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Spanish Fork, UT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Spring Canyon 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Spring Canyon III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Taloga</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Putnam, OK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Tuolumne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Klickitat County, WA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2009</w:t>
            </w:r>
          </w:p>
        </w:tc>
        <w:tc>
          <w:tcPr>
            <w:tcW w:w="100" w:type="dxa"/>
            <w:vAlign w:val="bottom"/>
          </w:tcPr>
          <w:p>
            <w:pPr>
              <w:spacing w:after="0"/>
              <w:rPr>
                <w:sz w:val="13"/>
                <w:szCs w:val="1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Turlock Irrigation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16"/>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Vega, TX</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December 2019 - January</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60"/>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Borders>
              <w:bottom w:val="single" w:sz="8" w:color="CCEEFF"/>
            </w:tcBorders>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4,234</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3,708</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Clearway Energy, Inc.</w:t>
            </w:r>
          </w:p>
        </w:tc>
        <w:tc>
          <w:tcPr>
            <w:tcW w:w="1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12,942</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9,842</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Net capacity represents the maximum, or rated, generating capacity or storage capacity of the facility multiplied by the Company’s percentage ownership in the facility as of December 31, 2025.</w:t>
      </w:r>
    </w:p>
    <w:p>
      <w:pPr>
        <w:spacing w:after="0" w:line="3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primary fuel type for these facilities is natural gas, with the exception of GenConn Devon and GenConn Middletown, which also use oil.</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Item 15 — Note 2, </w:t>
      </w:r>
      <w:r>
        <w:rPr>
          <w:rFonts w:ascii="Times New Roman" w:cs="Times New Roman" w:eastAsia="Times New Roman" w:hAnsi="Times New Roman"/>
          <w:sz w:val="10"/>
          <w:szCs w:val="10"/>
          <w:i w:val="1"/>
          <w:iCs w:val="1"/>
          <w:color w:val="auto"/>
        </w:rPr>
        <w:t>Summary of Significant Accounting Policies</w:t>
      </w:r>
      <w:r>
        <w:rPr>
          <w:rFonts w:ascii="Times New Roman" w:cs="Times New Roman" w:eastAsia="Times New Roman" w:hAnsi="Times New Roman"/>
          <w:sz w:val="10"/>
          <w:szCs w:val="10"/>
          <w:color w:val="auto"/>
        </w:rPr>
        <w:t xml:space="preserve">, and Note 5,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3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Company leases 100% of the interests in the Catalina solar facility through a facility lease agreement that expires in October 2043.</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46" w:name="page47"/>
    <w:bookmarkEnd w:id="46"/>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Equity Holders and Dividends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of January 31, 2026, there were two holders of record of the Class A common stock, one holder of record of the Class B common stock, three holders of record of the Class C common stock and one holder of record of the Class D common stock.</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2026, the Company declared a quarterly dividend on its Class A and Class C common stock of $0.4602 per share payable on March 16, 2026 to stockholders of record as of March 2, 2026.</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graph below compares the Company’s cumulative total stockholder return on the Company’s Class A common stock and Class C common stock from December 31, 2020 through December 31, 2025, with the cumulative total return of the Standard &amp; Poor’s 500 Composite Stock Price Index, or S&amp;P 500, and the Philadelphia Utility Sector Index, or UTY.</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graph shown below is being furnished and compares each period assuming that $100 was invested on December 31, 2020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4554220" cy="19945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54220"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 Class A common stock</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140.29</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Inc. Class C common stock</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135.07</w:t>
            </w: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196.16</w:t>
            </w:r>
          </w:p>
        </w:tc>
      </w:tr>
      <w:tr>
        <w:trPr>
          <w:trHeight w:val="18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UTY</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153.04</w:t>
            </w:r>
          </w:p>
        </w:tc>
      </w:tr>
      <w:tr>
        <w:trPr>
          <w:trHeight w:val="792"/>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7"/>
        </w:trPr>
        <w:tc>
          <w:tcPr>
            <w:tcW w:w="5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7 — Management’s Discussion and Analysis of Financial Condition and the Results of Operations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Statements of Operations to this Form 10-K. Also refer to Item 1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which include detailed discussions of various items impacting the Company’s business, results of operations and financial condition. Discussions of the year ended December 31, 2023 that are not included in this Annual Report on Form 10-K and year-to-year comparisons of the year ended December 31, 2024 and the year ended December 31, 2023 can be found in “Management’s Discussion and Analysis of Financial Condition and the Results of Operations” in Part II, Item 7 of the Company’s Annual Report on Form 10-K for the year ended December 31, 2024.</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auto"/>
        </w:rPr>
      </w:pPr>
    </w:p>
    <w:p>
      <w:pPr>
        <w:ind w:left="580" w:right="220" w:firstLine="125"/>
        <w:spacing w:after="0" w:line="287" w:lineRule="auto"/>
        <w:tabs>
          <w:tab w:leader="none" w:pos="102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2025 </w:t>
      </w:r>
      <w:r>
        <w:rPr>
          <w:rFonts w:ascii="Times New Roman" w:cs="Times New Roman" w:eastAsia="Times New Roman" w:hAnsi="Times New Roman"/>
          <w:sz w:val="14"/>
          <w:szCs w:val="14"/>
          <w:color w:val="231F20"/>
        </w:rPr>
        <w:t>based on CAFD.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Third-Party Acquisitions</w:t>
      </w:r>
    </w:p>
    <w:p>
      <w:pPr>
        <w:spacing w:after="0" w:line="138" w:lineRule="exact"/>
        <w:rPr>
          <w:sz w:val="20"/>
          <w:szCs w:val="20"/>
          <w:color w:val="auto"/>
        </w:rPr>
      </w:pPr>
    </w:p>
    <w:p>
      <w:pPr>
        <w:jc w:val="both"/>
        <w:ind w:left="520" w:hanging="260"/>
        <w:spacing w:after="0" w:line="248"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 2025, the Company entered into a binding agreement to acquire a 613 MW operational solar portfolio located in eight states, or the Deriva Solar Portfolio, from Deriva Energy, LLC for a base purchase price of approximately $305 million in cash, subject to certain customary price adjustments. For 12 facilities in the Deriva Solar Portfolio located in the Western U.S. and comprising of 227 MW, the Company will co-invest in a 50/50 joint venture with a third-party cash equity investor. The weighted average remaining contract duration of the Deriva Solar Portfolio is approximately 10 years. After factoring in estimated closing adjustments and proceeds from facility-level financings, including the third-party cash equity investor in a subset of the Deriva Solar Portfolio, the Company expects its net capital commitment to acquire the Deriva Solar Portfolio to be between $210 million and $230 million. The Company expects to fund the acquisition primarily utilizing existing sources of liquidity, which includes the Cardinal Investment Holdco LLC financing discussed further below. The consummation of the transaction is subject to customary closing conditions and certain third-party approvals and is expected to occur in the first half of 2026.</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16, 2025, the Company, through its indirect subsidiary, Catalina Solar Investment LLC, acquired Catalina Solar Lessee Holdco LLC, which leases and operates the Catalina solar facility, for approximately $127 million, which excludes $1 million in transaction expenses incurred in connection with the acquisition. After factoring in cash reserves acquired and transaction expenses, the Company’s net capital investment in Catalina was $128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The Company’s net capital investment in Tuolumne was $59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for further discussion of the transaction. In connection with the acquisition, the Company entered into a development services agreement with Clearway Renew related to a potential repowering of the facility. In February 2026, the Company approved the commencement of the Tuolumne repowering. The Company estimates that its total capital investment in the Tuolumne repowering will be $80 million, subject to closing adjustments. Contingent upon achieving commercial operations in 2027, the 137 MW facility will sell power under its existing PPA with an investment-grade regulated entity for an additional two years through 2042.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57" w:lineRule="auto"/>
        <w:tabs>
          <w:tab w:leader="none" w:pos="516"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On June 10, 2025, the Company, through its indirect subsidiary, Pine Forest CE Class A Owner LLC, acquired the Class A membership interests in Pine Forest CE TargetCo LLC, or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Owner LLC, or Pine Forest TE Class A, contributed $9 million to acquire the Class A membership interests in Pine Forest TE HoldCo LLC. On December 17, 2025, when the facility reached substantial completion, the Company paid $50 million to Clearway Renew as additional purchase price for its Class A membership interests in Pine Forest TargetCo and contributed an additional $38 million for its Class A membership interests in Pine Forest TE HoldCo LLC. In addition, the third-party cash equity investor in Pine Forest TargetCo contributed an additional $144 million. The Company’s total capital investment in Pine Forest TargetCo was $115 million.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Dispositions</w:t>
      </w:r>
      <w:r>
        <w:rPr>
          <w:rFonts w:ascii="Times New Roman" w:cs="Times New Roman" w:eastAsia="Times New Roman" w:hAnsi="Times New Roman"/>
          <w:sz w:val="14"/>
          <w:szCs w:val="14"/>
          <w:color w:val="auto"/>
        </w:rPr>
        <w:t>, for further discussion of the transaction.</w:t>
      </w:r>
    </w:p>
    <w:p>
      <w:pPr>
        <w:spacing w:after="0" w:line="106" w:lineRule="exact"/>
        <w:rPr>
          <w:rFonts w:ascii="Times New Roman" w:cs="Times New Roman" w:eastAsia="Times New Roman" w:hAnsi="Times New Roman"/>
          <w:sz w:val="14"/>
          <w:szCs w:val="14"/>
          <w:i w:val="1"/>
          <w:iCs w:val="1"/>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23, 2025, the Company entered into a development services agreement with Clearway Renew in connection with the repowering of the Goat Mountain wind facility. The Company estimates that its total capital investment in the Goat Mountain repowering will be $200 million, subject to closing adjustments. Contingent upon achieving commercial operations in 2027, the 360 MW facility will sell power to an investment-grade counterparty under a new 15-year PPA. In connection with the agreement, on December 12, 2025, the Company paid Clearway Renew $27 million, primarily related to the future delivery of equipment. See Note 15,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24, 2025, the Company, through an indirect subsidiary, entered into an agreement with Clearway Renew to acquire the Class A membership interests in Spindle, a 199 MW BESS facility currently under construction in Weld County, Colorado, and Rosamond South II, a 92 MW BESS facility currently under construction in Kern County, California, for $93 million in cash consideration, subject to closing adjustments. The consummation of the transaction is subject to customary closing conditions and certain third-party approvals and is expected in the second half of 2026.</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30, 2025, the Company entered into a development services agreement with Clearway Renew in connection with the repowering of the San Juan Mesa wind facility, which is located in Elida, New Mexico. The Company estimates that its total capital investment in the San Juan Mesa repowering will be $50 million, subject to closing adjustments. Contingent upon achieving commercial operations in 2027, the 135 MW facility will sell power to an investment-grade counterparty under a new 20-year PPA.</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15, 2025, the Company, through its indirect subsidiary, Honeycomb 1 Holdco LLC, acquired Honeycomb TargetCo LLC, or Honeycomb TargetCo,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will be $78 million, excluding the impact of any closing adjustments noted in the purchase agreement.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5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Dispositions</w:t>
      </w:r>
      <w:r>
        <w:rPr>
          <w:rFonts w:ascii="Times New Roman" w:cs="Times New Roman" w:eastAsia="Times New Roman" w:hAnsi="Times New Roman"/>
          <w:sz w:val="14"/>
          <w:szCs w:val="14"/>
          <w:color w:val="auto"/>
        </w:rPr>
        <w:t>, for further discussion of the transactions. In connection with the agreement with Clearway Renew to sell its membership interests in Mt. Storm, on May 1, 2025,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bought down a portion of Mt. Storm’s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the Company, through its indirect subsidiary, LV-Daggett Parent Holdco LLC, acquired Daggett 1 Class B Member LLC, or Daggett 1 Class B, the indirect owner of the Daggett 1 BESS facility, from Clearway Renew for initial cash consideration of $11 million. On September 19, 2025, when the facility reached substantial completion, the Company paid $42 million to Clearway Renew as additional purchase price. On October 15, 2025, the Company paid $4 million to Clearway Renew as a final purchase price adjustment. The Company’s total capital investment in Daggett 1 Class B was $57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the Company, through its indirect subsidiary, LV-Daggett Parent Holdco LLC, acquired Luna Valley Class B Member LLC, or Luna Valley Class B, the indirect owner of the Luna Valley solar facility, from Clearway Renew for initial cash consideration of $18 million. On September 4, 2025, when the facility reached substantial completion, the Company paid $72 million to Clearway Renew as additional purchase price. On October 15, 2025, the Company paid $29 million to Clearway Renew as a final purchase price adjustment. The Company's total capital investment in Luna Valley Class B was $119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20, 2025, the Company, through its indirect subsidiary, Rosamond South Investment LLC, acquired the Class A membership interests in Rosie South TargetCo LLC, or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The Company’s total capital investment in Rosie South TargetCo was $33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38" w:lineRule="exact"/>
        <w:rPr>
          <w:sz w:val="20"/>
          <w:szCs w:val="20"/>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the 2025 Drop Downs of Rosamond South I, Luna Valley, Daggett 1, Pine Forest and the Honeycomb Portfolio, the Company assumed non-recourse facility-level debt.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 associated with each facility.</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5, 2026, in order to partially fund the third-party acquisition of the Deriva Solar Portfolio, the Company, through its indirect subsidiary, Cardinal Investment Holdco LLC, entered into a financing agreement that provides for a term loan of up to $100 million and $119 million in letters of credit in support of debt service and facility obligations. Upon funding, the term loan will bear interest a rate of SOFR plus 2.00% per annum and will mature 364 days after the funding date.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January 13, 2026, Clearway Energy Operating LLC completed the sale of $600 million aggregate principal amount of 5.75% senior unsecured notes due 2034, or the 2034 Senior Notes.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 of the 2034 Senior Notes.</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LLC, or Dan’s Mountain TargetCo, from Clearway Renew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TargetCo was $43 million.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2" w:name="page53"/>
    <w:bookmarkEnd w:id="52"/>
    <w:p>
      <w:pPr>
        <w:jc w:val="both"/>
        <w:ind w:left="520" w:hanging="260"/>
        <w:spacing w:after="0" w:line="28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in order to partially fund the third-party acquisition of the Tuolumne wind facility, the Company entered into a financing agreement, which included the issuance of a $163 million term loan, as well as $22 million in letters of credit in support of debt service and facility obligations.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financing agreement.</w:t>
      </w:r>
    </w:p>
    <w:p>
      <w:pPr>
        <w:spacing w:after="0" w:line="26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refinanced credit agreement.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 and Regulatory Matters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Details of environmental matters and regulatory matters are presented in Item 1 — </w:t>
      </w:r>
      <w:r>
        <w:rPr>
          <w:rFonts w:ascii="Times New Roman" w:cs="Times New Roman" w:eastAsia="Times New Roman" w:hAnsi="Times New Roman"/>
          <w:sz w:val="14"/>
          <w:szCs w:val="14"/>
          <w:i w:val="1"/>
          <w:iCs w:val="1"/>
          <w:color w:val="auto"/>
        </w:rPr>
        <w:t>Business, Regulatory Matters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Details of some of this information relate to costs that may impact the Company’s financial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r>
      <w:tr>
        <w:trPr>
          <w:trHeight w:val="16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revenues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Contract amortization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operating revenues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fuels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r>
      <w:tr>
        <w:trPr>
          <w:trHeight w:val="15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w:t>
            </w: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interest (expense) income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interest expense</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63"/>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expense, net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r>
      <w:tr>
        <w:trPr>
          <w:trHeight w:val="15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333333"/>
              </w:rPr>
              <w:t>(175)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3"/>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Inc.</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metrics:</w:t>
            </w: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00" w:type="dxa"/>
            <w:vAlign w:val="bottom"/>
            <w:gridSpan w:val="3"/>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752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3"/>
                <w:szCs w:val="13"/>
                <w:color w:val="auto"/>
              </w:rPr>
              <w:t xml:space="preserve">Solar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9,225</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5,425</w:t>
            </w:r>
          </w:p>
        </w:tc>
        <w:tc>
          <w:tcPr>
            <w:tcW w:w="0" w:type="dxa"/>
            <w:vAlign w:val="bottom"/>
          </w:tcPr>
          <w:p>
            <w:pPr>
              <w:spacing w:after="0"/>
              <w:rPr>
                <w:sz w:val="1"/>
                <w:szCs w:val="1"/>
                <w:color w:val="auto"/>
              </w:rPr>
            </w:pPr>
          </w:p>
        </w:tc>
      </w:tr>
      <w:tr>
        <w:trPr>
          <w:trHeight w:val="170"/>
        </w:trPr>
        <w:tc>
          <w:tcPr>
            <w:tcW w:w="7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Wind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10,528</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9,951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9,414</w:t>
            </w:r>
          </w:p>
        </w:tc>
        <w:tc>
          <w:tcPr>
            <w:tcW w:w="0" w:type="dxa"/>
            <w:vAlign w:val="bottom"/>
          </w:tcPr>
          <w:p>
            <w:pPr>
              <w:spacing w:after="0"/>
              <w:rPr>
                <w:sz w:val="1"/>
                <w:szCs w:val="1"/>
                <w:color w:val="auto"/>
              </w:rPr>
            </w:pPr>
          </w:p>
        </w:tc>
      </w:tr>
      <w:tr>
        <w:trPr>
          <w:trHeight w:val="185"/>
        </w:trPr>
        <w:tc>
          <w:tcPr>
            <w:tcW w:w="7520" w:type="dxa"/>
            <w:vAlign w:val="bottom"/>
            <w:tcBorders>
              <w:top w:val="single" w:sz="8" w:color="CCEEFF"/>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Renewables &amp; Storage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19,753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18,609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14,839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Solar weighted-average capacity factor </w:t>
            </w:r>
            <w:r>
              <w:rPr>
                <w:rFonts w:ascii="Times New Roman" w:cs="Times New Roman" w:eastAsia="Times New Roman" w:hAnsi="Times New Roman"/>
                <w:sz w:val="16"/>
                <w:szCs w:val="16"/>
                <w:color w:val="auto"/>
                <w:vertAlign w:val="superscript"/>
              </w:rPr>
              <w:t>(b)</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20" w:type="dxa"/>
            <w:vAlign w:val="bottom"/>
            <w:vMerge w:val="continue"/>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28.9 %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29.8 %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27.5 %</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Wind weighted-average capacity factor </w:t>
            </w:r>
            <w:r>
              <w:rPr>
                <w:rFonts w:ascii="Times New Roman" w:cs="Times New Roman" w:eastAsia="Times New Roman" w:hAnsi="Times New Roman"/>
                <w:sz w:val="16"/>
                <w:szCs w:val="16"/>
                <w:color w:val="auto"/>
                <w:vertAlign w:val="superscript"/>
              </w:rPr>
              <w:t>(c)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28.3 %</w:t>
            </w:r>
          </w:p>
        </w:tc>
        <w:tc>
          <w:tcPr>
            <w:tcW w:w="0" w:type="dxa"/>
            <w:vAlign w:val="bottom"/>
          </w:tcPr>
          <w:p>
            <w:pPr>
              <w:spacing w:after="0"/>
              <w:rPr>
                <w:sz w:val="1"/>
                <w:szCs w:val="1"/>
                <w:color w:val="auto"/>
              </w:rPr>
            </w:pP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Flexible Generation MWh generated (in thousands) </w:t>
            </w:r>
            <w:r>
              <w:rPr>
                <w:rFonts w:ascii="Times New Roman" w:cs="Times New Roman" w:eastAsia="Times New Roman" w:hAnsi="Times New Roman"/>
                <w:sz w:val="16"/>
                <w:szCs w:val="16"/>
                <w:color w:val="auto"/>
                <w:vertAlign w:val="superscript"/>
              </w:rPr>
              <w:t>(a)</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323</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847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996</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Flexible Generation equivalent availability factor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80" w:hanging="111"/>
        <w:spacing w:after="0"/>
        <w:tabs>
          <w:tab w:leader="none" w:pos="180" w:val="left"/>
        </w:tabs>
        <w:numPr>
          <w:ilvl w:val="0"/>
          <w:numId w:val="2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13"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2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years ended December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revenues increased by $58 million for the year ended December 31, 2025, compared to the same period in 2024, due to a combination of the drivers summarized in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0"/>
        </w:trPr>
        <w:tc>
          <w:tcPr>
            <w:tcW w:w="2040" w:type="dxa"/>
            <w:vAlign w:val="bottom"/>
            <w:gridSpan w:val="2"/>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Renewables &amp; Storage Segment</w:t>
            </w:r>
          </w:p>
        </w:tc>
        <w:tc>
          <w:tcPr>
            <w:tcW w:w="7880" w:type="dxa"/>
            <w:vAlign w:val="bottom"/>
            <w:shd w:val="clear" w:color="auto" w:fill="CCEEFF"/>
          </w:tcPr>
          <w:p>
            <w:pPr>
              <w:ind w:left="620"/>
              <w:spacing w:after="0" w:line="120" w:lineRule="exact"/>
              <w:rPr>
                <w:sz w:val="20"/>
                <w:szCs w:val="20"/>
                <w:color w:val="auto"/>
              </w:rPr>
            </w:pPr>
            <w:r>
              <w:rPr>
                <w:rFonts w:ascii="Times New Roman" w:cs="Times New Roman" w:eastAsia="Times New Roman" w:hAnsi="Times New Roman"/>
                <w:sz w:val="13"/>
                <w:szCs w:val="13"/>
                <w:color w:val="auto"/>
              </w:rPr>
              <w:t>Increase primarily driven by the Victory Pass and Arica solar and BESS, Rosamond Central BESS, Rosamond South I solar</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80" w:type="dxa"/>
            <w:vAlign w:val="bottom"/>
            <w:shd w:val="clear" w:color="auto" w:fill="CCEEFF"/>
          </w:tcPr>
          <w:p>
            <w:pPr>
              <w:ind w:left="620"/>
              <w:spacing w:after="0" w:line="145" w:lineRule="exact"/>
              <w:rPr>
                <w:sz w:val="20"/>
                <w:szCs w:val="20"/>
                <w:color w:val="auto"/>
              </w:rPr>
            </w:pPr>
            <w:r>
              <w:rPr>
                <w:rFonts w:ascii="Times New Roman" w:cs="Times New Roman" w:eastAsia="Times New Roman" w:hAnsi="Times New Roman"/>
                <w:sz w:val="14"/>
                <w:szCs w:val="14"/>
                <w:color w:val="auto"/>
              </w:rPr>
              <w:t>and BESS, Daggett 1 BESS and Pine Forest solar and BESS acquisitions, which reached commercial operations in March</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80" w:type="dxa"/>
            <w:vAlign w:val="bottom"/>
            <w:shd w:val="clear" w:color="auto" w:fill="CCEEFF"/>
          </w:tcPr>
          <w:p>
            <w:pPr>
              <w:ind w:left="620"/>
              <w:spacing w:after="0" w:line="142" w:lineRule="exact"/>
              <w:rPr>
                <w:sz w:val="20"/>
                <w:szCs w:val="20"/>
                <w:color w:val="auto"/>
              </w:rPr>
            </w:pPr>
            <w:r>
              <w:rPr>
                <w:rFonts w:ascii="Times New Roman" w:cs="Times New Roman" w:eastAsia="Times New Roman" w:hAnsi="Times New Roman"/>
                <w:sz w:val="14"/>
                <w:szCs w:val="14"/>
                <w:color w:val="auto"/>
              </w:rPr>
              <w:t>2024, April 2024, June 2024, August 2025, September 2025 and November 2025, respectively, as well as the Catalina solar</w:t>
            </w:r>
          </w:p>
        </w:tc>
        <w:tc>
          <w:tcPr>
            <w:tcW w:w="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acquisition in July 2025.</w:t>
            </w:r>
          </w:p>
        </w:tc>
        <w:tc>
          <w:tcPr>
            <w:tcW w:w="22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80" w:type="dxa"/>
            <w:vAlign w:val="bottom"/>
          </w:tcPr>
          <w:p>
            <w:pPr>
              <w:ind w:left="620"/>
              <w:spacing w:after="0" w:line="138" w:lineRule="exact"/>
              <w:rPr>
                <w:sz w:val="20"/>
                <w:szCs w:val="20"/>
                <w:color w:val="auto"/>
              </w:rPr>
            </w:pPr>
            <w:r>
              <w:rPr>
                <w:rFonts w:ascii="Times New Roman" w:cs="Times New Roman" w:eastAsia="Times New Roman" w:hAnsi="Times New Roman"/>
                <w:sz w:val="14"/>
                <w:szCs w:val="14"/>
                <w:color w:val="auto"/>
              </w:rPr>
              <w:t>Increase driven by the Cedar Creek and Tuolumne wind acquisitions in April 2024 and April 2025, respectively, as well as the</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Dan’s Mountain wind acquisition, which reached commercial operations in May 2025.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Decrease primarily driven by lower wind resource at certain facilities.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80" w:type="dxa"/>
            <w:vAlign w:val="bottom"/>
          </w:tcPr>
          <w:p>
            <w:pPr>
              <w:ind w:left="620"/>
              <w:spacing w:after="0" w:line="138" w:lineRule="exact"/>
              <w:rPr>
                <w:sz w:val="20"/>
                <w:szCs w:val="20"/>
                <w:color w:val="auto"/>
              </w:rPr>
            </w:pPr>
            <w:r>
              <w:rPr>
                <w:rFonts w:ascii="Times New Roman" w:cs="Times New Roman" w:eastAsia="Times New Roman" w:hAnsi="Times New Roman"/>
                <w:sz w:val="14"/>
                <w:szCs w:val="14"/>
                <w:color w:val="auto"/>
              </w:rPr>
              <w:t>Loss incurred on the partial buy-out of the Mt. Storm commodity contract in May 2025 and the subsequent buy-out of the</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remaining contract in July 2025.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8"/>
        </w:trPr>
        <w:tc>
          <w:tcPr>
            <w:tcW w:w="20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Flexible Generation Segment</w:t>
            </w:r>
          </w:p>
        </w:tc>
        <w:tc>
          <w:tcPr>
            <w:tcW w:w="7880" w:type="dxa"/>
            <w:vAlign w:val="bottom"/>
            <w:shd w:val="clear" w:color="auto" w:fill="CCEEFF"/>
          </w:tcPr>
          <w:p>
            <w:pPr>
              <w:ind w:left="620"/>
              <w:spacing w:after="0" w:line="138" w:lineRule="exact"/>
              <w:rPr>
                <w:sz w:val="20"/>
                <w:szCs w:val="20"/>
                <w:color w:val="auto"/>
              </w:rPr>
            </w:pPr>
            <w:r>
              <w:rPr>
                <w:rFonts w:ascii="Times New Roman" w:cs="Times New Roman" w:eastAsia="Times New Roman" w:hAnsi="Times New Roman"/>
                <w:sz w:val="14"/>
                <w:szCs w:val="14"/>
                <w:color w:val="auto"/>
              </w:rPr>
              <w:t>Decrease in energy revenue primarily driven by lower generation at the Walnut Creek, Marsh Landing and El Segundo facilities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due to milder weather, which also decreased cost of fuels as noted below.</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38"/>
        </w:trPr>
        <w:tc>
          <w:tcPr>
            <w:tcW w:w="20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Contract amortization</w:t>
            </w:r>
          </w:p>
        </w:tc>
        <w:tc>
          <w:tcPr>
            <w:tcW w:w="7880" w:type="dxa"/>
            <w:vAlign w:val="bottom"/>
          </w:tcPr>
          <w:p>
            <w:pPr>
              <w:ind w:left="620"/>
              <w:spacing w:after="0" w:line="138" w:lineRule="exact"/>
              <w:rPr>
                <w:sz w:val="20"/>
                <w:szCs w:val="20"/>
                <w:color w:val="auto"/>
              </w:rPr>
            </w:pPr>
            <w:r>
              <w:rPr>
                <w:rFonts w:ascii="Times New Roman" w:cs="Times New Roman" w:eastAsia="Times New Roman" w:hAnsi="Times New Roman"/>
                <w:sz w:val="14"/>
                <w:szCs w:val="14"/>
                <w:color w:val="auto"/>
              </w:rPr>
              <w:t>Decrease primarily driven by the Tuolumne wind and Catalina solar acquisitions, partially offset by Cedro Hill, which reached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repowering commercial operations in December 2024, resulting in the extension of the amortization period.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8"/>
        </w:trPr>
        <w:tc>
          <w:tcPr>
            <w:tcW w:w="11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w:t>
            </w:r>
          </w:p>
        </w:tc>
        <w:tc>
          <w:tcPr>
            <w:tcW w:w="88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788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 xml:space="preserve">hedging </w:t>
            </w:r>
            <w:r>
              <w:rPr>
                <w:rFonts w:ascii="Times New Roman" w:cs="Times New Roman" w:eastAsia="Times New Roman" w:hAnsi="Times New Roman"/>
                <w:sz w:val="14"/>
                <w:szCs w:val="14"/>
                <w:color w:val="auto"/>
              </w:rPr>
              <w:t>Increase primarily driven by the Mt. Storm hedge buy-out during the second and third quarters of 2025, as well as lower</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80" w:type="dxa"/>
            <w:vAlign w:val="bottom"/>
            <w:shd w:val="clear" w:color="auto" w:fill="CCEEFF"/>
          </w:tcPr>
          <w:p>
            <w:pPr>
              <w:spacing w:after="0"/>
              <w:rPr>
                <w:sz w:val="16"/>
                <w:szCs w:val="16"/>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forward prices in the PJM market, compared to 2024.</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Decrease primarily driven by an increase in forward power prices in the ERCOT market.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Decrease in heat rate call option contracts primarily driven by changes in power market prices.</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$35 million during the year ended December 31, 2025, compared to the same period in 2024, primarily due to lower generation at the Walnut Creek, Marsh Landing and El Segundo facilities due to milder weather, which resulted in less fuel purchases.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$57 million during the year ended December 31, 2025, compared to the same period in 2024, primarily due to a combination of the drivers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Borders>
              <w:bottom w:val="single" w:sz="8" w:color="CCEEFF"/>
            </w:tcBorders>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 &amp; Storage Segment</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 primarily driven by the solar and BESS acquisitions referenced above.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7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Increase primarily driven by non-cash lease adjustments in 2024 at certain solar facilities.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spacing w:after="0"/>
              <w:rPr>
                <w:sz w:val="15"/>
                <w:szCs w:val="15"/>
                <w:color w:val="auto"/>
              </w:rPr>
            </w:pP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 driven by the wind acquisitions referenced above.</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7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Decrease primarily driven by lower maintenance activities at various wind facilities.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 Segment</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 primarily driven by higher maintenance activities at various facilities.</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660" w:type="dxa"/>
            <w:vAlign w:val="bottom"/>
            <w:vMerge w:val="restart"/>
          </w:tcPr>
          <w:p>
            <w:pPr>
              <w:ind w:left="3320"/>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260" w:type="dxa"/>
            <w:vAlign w:val="bottom"/>
          </w:tcPr>
          <w:p>
            <w:pPr>
              <w:spacing w:after="0"/>
              <w:rPr>
                <w:sz w:val="24"/>
                <w:szCs w:val="24"/>
                <w:color w:val="auto"/>
              </w:rPr>
            </w:pPr>
          </w:p>
        </w:tc>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60" w:type="dxa"/>
            <w:vAlign w:val="bottom"/>
            <w:tcBorders>
              <w:bottom w:val="single" w:sz="8" w:color="9A9A9A"/>
            </w:tcBorders>
          </w:tcPr>
          <w:p>
            <w:pPr>
              <w:spacing w:after="0"/>
              <w:rPr>
                <w:sz w:val="7"/>
                <w:szCs w:val="7"/>
                <w:color w:val="auto"/>
              </w:rPr>
            </w:pPr>
          </w:p>
        </w:tc>
        <w:tc>
          <w:tcPr>
            <w:tcW w:w="7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Depreciation, amortization and accretion increased by $55 million during the year ended December 31, 2025, compared to the same period in 2024, primarily due to the solar and BESS acquisitions referenced above, as well as the accelerated depreciation in connection with the repowering of the Mt. Storm and Goat Mountain wind facilities, as further described in Note 4, </w:t>
      </w:r>
      <w:r>
        <w:rPr>
          <w:rFonts w:ascii="Times New Roman" w:cs="Times New Roman" w:eastAsia="Times New Roman" w:hAnsi="Times New Roman"/>
          <w:sz w:val="14"/>
          <w:szCs w:val="14"/>
          <w:i w:val="1"/>
          <w:iCs w:val="1"/>
          <w:color w:val="auto"/>
        </w:rPr>
        <w:t>Property,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Plant and Equipment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$80 million during the year ended December 31, 2025, compared to the same period in 2024,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&amp; Storage segment primarily due to the solar and BESS acquisitions referenced above</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outstanding borrowings under the corporate revolving credit facility</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9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the Company recorded an income tax expense of $56 million on pretax loss of $175 million. For the same period in 2024, the Company recorded an income tax expense of $30 million on pretax loss of $33 million.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is a reconciliation of the U.S. federal statutory rate of 21% to the Company’s effective rate:</w:t>
      </w:r>
    </w:p>
    <w:p>
      <w:pPr>
        <w:sectPr>
          <w:pgSz w:w="11900" w:h="16838" w:orient="portrait"/>
          <w:cols w:equalWidth="0" w:num="1">
            <w:col w:w="11280"/>
          </w:cols>
          <w:pgMar w:left="300" w:top="728" w:right="319" w:bottom="1440" w:gutter="0" w:footer="0" w:header="0"/>
        </w:sectPr>
      </w:pPr>
    </w:p>
    <w:p>
      <w:pPr>
        <w:spacing w:after="0" w:line="100"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26035</wp:posOffset>
            </wp:positionV>
            <wp:extent cx="179197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2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26035</wp:posOffset>
            </wp:positionV>
            <wp:extent cx="180530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5305" cy="6985"/>
                    </a:xfrm>
                    <a:prstGeom prst="rect">
                      <a:avLst/>
                    </a:prstGeom>
                    <a:noFill/>
                  </pic:spPr>
                </pic:pic>
              </a:graphicData>
            </a:graphic>
          </wp:anchor>
        </w:drawing>
      </w:r>
    </w:p>
    <w:p>
      <w:pPr>
        <w:spacing w:after="0" w:line="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8520" w:space="720"/>
            <w:col w:w="2040"/>
          </w:cols>
          <w:pgMar w:left="300" w:top="728" w:right="31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5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21.1 %</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0" w:type="dxa"/>
            <w:vAlign w:val="bottom"/>
          </w:tcPr>
          <w:p>
            <w:pPr>
              <w:spacing w:after="0"/>
              <w:rPr>
                <w:sz w:val="1"/>
                <w:szCs w:val="1"/>
                <w:color w:val="auto"/>
              </w:rPr>
            </w:pPr>
          </w:p>
        </w:tc>
      </w:tr>
      <w:tr>
        <w:trPr>
          <w:trHeight w:val="170"/>
        </w:trPr>
        <w:tc>
          <w:tcPr>
            <w:tcW w:w="552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State taxes, net of federal benefit </w:t>
            </w:r>
            <w:r>
              <w:rPr>
                <w:rFonts w:ascii="Times New Roman" w:cs="Times New Roman" w:eastAsia="Times New Roman" w:hAnsi="Times New Roman"/>
                <w:sz w:val="16"/>
                <w:szCs w:val="16"/>
                <w:color w:val="auto"/>
                <w:vertAlign w:val="superscript"/>
              </w:rPr>
              <w:t>(a)</w:t>
            </w:r>
          </w:p>
        </w:tc>
        <w:tc>
          <w:tcPr>
            <w:tcW w:w="50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credits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0" w:type="dxa"/>
            <w:vAlign w:val="bottom"/>
          </w:tcPr>
          <w:p>
            <w:pPr>
              <w:spacing w:after="0"/>
              <w:rPr>
                <w:sz w:val="1"/>
                <w:szCs w:val="1"/>
                <w:color w:val="auto"/>
              </w:rPr>
            </w:pPr>
          </w:p>
        </w:tc>
      </w:tr>
      <w:tr>
        <w:trPr>
          <w:trHeight w:val="168"/>
        </w:trPr>
        <w:tc>
          <w:tcPr>
            <w:tcW w:w="5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Nontaxable/nondeductible items:</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HLBV impact</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68"/>
        </w:trPr>
        <w:tc>
          <w:tcPr>
            <w:tcW w:w="55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 credit sales, net</w:t>
            </w:r>
          </w:p>
        </w:tc>
        <w:tc>
          <w:tcPr>
            <w:tcW w:w="50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Employee share-based payments</w:t>
            </w:r>
          </w:p>
        </w:tc>
        <w:tc>
          <w:tcPr>
            <w:tcW w:w="5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68"/>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5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(90.9)%</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3881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4" w:lineRule="exact"/>
        <w:rPr>
          <w:sz w:val="20"/>
          <w:szCs w:val="20"/>
          <w:color w:val="auto"/>
        </w:rPr>
      </w:pPr>
    </w:p>
    <w:p>
      <w:pPr>
        <w:ind w:left="180" w:hanging="111"/>
        <w:spacing w:after="0"/>
        <w:tabs>
          <w:tab w:leader="none" w:pos="180" w:val="left"/>
        </w:tabs>
        <w:numPr>
          <w:ilvl w:val="0"/>
          <w:numId w:val="2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State taxes in California made up the majority of the tax effect in this category.</w:t>
      </w:r>
    </w:p>
    <w:p>
      <w:pPr>
        <w:spacing w:after="0" w:line="12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2025, the Company had a net loss of $400 million attributable to noncontrolling interests and redeemable noncontrolling interests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20"/>
        </w:trPr>
        <w:tc>
          <w:tcPr>
            <w:tcW w:w="99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Losses attributable to tax equity financing arrangements and the application of the HLBV method (primarily due to Daggett 1 TE Holdco LLC, Dan’s Mountain Tax Credit</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9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Holdco LLC, Luna Valley TE Holdco LLC, Rosie South TE Holdco LLC, Rosie TE HoldCo LLC and VP-Arica TE Holdco LLC HLBV losses)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4"/>
                <w:szCs w:val="14"/>
                <w:color w:val="auto"/>
                <w:w w:val="98"/>
              </w:rPr>
              <w:t>(694)</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220" w:type="dxa"/>
            <w:vAlign w:val="bottom"/>
          </w:tcPr>
          <w:p>
            <w:pPr>
              <w:spacing w:after="0"/>
              <w:rPr>
                <w:sz w:val="15"/>
                <w:szCs w:val="15"/>
                <w:color w:val="auto"/>
              </w:rPr>
            </w:pP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w w:val="95"/>
              </w:rPr>
              <w:t>160</w:t>
            </w:r>
          </w:p>
        </w:tc>
      </w:tr>
      <w:tr>
        <w:trPr>
          <w:trHeight w:val="138"/>
        </w:trPr>
        <w:tc>
          <w:tcPr>
            <w:tcW w:w="99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Income attributable to third-party partnerships (primarily due to Dan’s Mountain Tax Credit Holdco LLC, Rosie South TE Holdco LLC, Rosie TE HoldCo LLC and VP-</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Arica TE Holdco LLC HLBV net losses)</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left="751"/>
              <w:spacing w:after="0"/>
              <w:rPr>
                <w:sz w:val="20"/>
                <w:szCs w:val="20"/>
                <w:color w:val="auto"/>
              </w:rPr>
            </w:pPr>
            <w:r>
              <w:rPr>
                <w:rFonts w:ascii="Times New Roman" w:cs="Times New Roman" w:eastAsia="Times New Roman" w:hAnsi="Times New Roman"/>
                <w:sz w:val="14"/>
                <w:szCs w:val="14"/>
                <w:color w:val="auto"/>
                <w:w w:val="95"/>
              </w:rPr>
              <w:t>134</w:t>
            </w:r>
          </w:p>
        </w:tc>
      </w:tr>
      <w:tr>
        <w:trPr>
          <w:trHeight w:val="171"/>
        </w:trPr>
        <w:tc>
          <w:tcPr>
            <w:tcW w:w="99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4"/>
                <w:szCs w:val="14"/>
                <w:color w:val="auto"/>
                <w:w w:val="98"/>
              </w:rPr>
              <w:t>(400)</w:t>
            </w:r>
          </w:p>
        </w:tc>
      </w:tr>
      <w:tr>
        <w:trPr>
          <w:trHeight w:val="20"/>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the Company had a net loss of $151 million attributable to noncontrolling interests and redeemable noncontrolling interests comprised of the following:</w:t>
      </w:r>
    </w:p>
    <w:p>
      <w:pPr>
        <w:sectPr>
          <w:pgSz w:w="11900" w:h="16838" w:orient="portrait"/>
          <w:cols w:equalWidth="0" w:num="1">
            <w:col w:w="11280"/>
          </w:cols>
          <w:pgMar w:left="300" w:top="727" w:right="319" w:bottom="1440" w:gutter="0" w:footer="0" w:header="0"/>
        </w:sectPr>
      </w:pPr>
    </w:p>
    <w:p>
      <w:pPr>
        <w:spacing w:after="0" w:line="25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and Rosie TE HoldCo LLC HLBV losses)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67" w:lineRule="exact"/>
        <w:rPr>
          <w:sz w:val="20"/>
          <w:szCs w:val="20"/>
          <w:color w:val="auto"/>
        </w:rPr>
      </w:pPr>
    </w:p>
    <w:p>
      <w:pPr>
        <w:ind w:left="1031" w:hanging="1031"/>
        <w:spacing w:after="0"/>
        <w:tabs>
          <w:tab w:leader="none" w:pos="103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(404)</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168</w:t>
      </w:r>
    </w:p>
    <w:p>
      <w:pPr>
        <w:spacing w:after="0" w:line="19" w:lineRule="exact"/>
        <w:rPr>
          <w:rFonts w:ascii="Times New Roman" w:cs="Times New Roman" w:eastAsia="Times New Roman" w:hAnsi="Times New Roman"/>
          <w:sz w:val="13"/>
          <w:szCs w:val="13"/>
          <w:color w:val="auto"/>
        </w:rPr>
      </w:pPr>
    </w:p>
    <w:p>
      <w:pPr>
        <w:ind w:left="115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86931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6" w:lineRule="exact"/>
        <w:rPr>
          <w:sz w:val="20"/>
          <w:szCs w:val="20"/>
          <w:color w:val="auto"/>
        </w:rPr>
      </w:pPr>
    </w:p>
    <w:p>
      <w:pPr>
        <w:ind w:left="1031" w:hanging="1031"/>
        <w:spacing w:after="0"/>
        <w:tabs>
          <w:tab w:leader="none" w:pos="103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86931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269"/>
            <w:col w:w="1351"/>
          </w:cols>
          <w:pgMar w:left="300" w:top="727" w:right="31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investments and acquisitions from time to time, service debt and pay dividends.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1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2024</w:t>
      </w:r>
      <w:r>
        <w:rPr>
          <w:rFonts w:ascii="Times New Roman" w:cs="Times New Roman" w:eastAsia="Times New Roman" w:hAnsi="Times New Roman"/>
          <w:sz w:val="14"/>
          <w:szCs w:val="14"/>
          <w:color w:val="231F20"/>
        </w:rPr>
        <w:t>, the Company’s liquidity was approximately $1,061 million and $1,330 million, respectively, comprised of cash, restricted cash and availability under the Company’s revolving credit facility.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0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0"/>
        </w:trPr>
        <w:tc>
          <w:tcPr>
            <w:tcW w:w="8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Pr>
          <w:p>
            <w:pPr>
              <w:spacing w:after="0"/>
              <w:rPr>
                <w:sz w:val="13"/>
                <w:szCs w:val="13"/>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Clearway Energy, Inc. and Clearway Energy LLC, excluding subsidiaries</w:t>
            </w: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72"/>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accounts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Reserves, including debt service, distributions, performance obligations and other reserves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Revolving credit facility availability</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liquidity</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57" w:name="page58"/>
    <w:bookmarkEnd w:id="57"/>
    <w:p>
      <w:pPr>
        <w:jc w:val="both"/>
        <w:ind w:firstLine="318"/>
        <w:spacing w:after="0" w:line="260" w:lineRule="auto"/>
        <w:rPr>
          <w:sz w:val="20"/>
          <w:szCs w:val="20"/>
          <w:color w:val="auto"/>
        </w:rPr>
      </w:pPr>
      <w:r>
        <w:rPr>
          <w:rFonts w:ascii="Times New Roman" w:cs="Times New Roman" w:eastAsia="Times New Roman" w:hAnsi="Times New Roman"/>
          <w:sz w:val="14"/>
          <w:szCs w:val="14"/>
          <w:color w:val="231F20"/>
        </w:rPr>
        <w:t xml:space="preserve">The Company’s liquidity includes $587 million and $401 million of restricted cash balances as of December 31, 2025 and </w:t>
      </w:r>
      <w:r>
        <w:rPr>
          <w:rFonts w:ascii="Times New Roman" w:cs="Times New Roman" w:eastAsia="Times New Roman" w:hAnsi="Times New Roman"/>
          <w:sz w:val="14"/>
          <w:szCs w:val="14"/>
          <w:color w:val="000000"/>
        </w:rPr>
        <w:t>2024</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December 31, 2025, these restricted funds were comprised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$146 million designated to fund operating expenses, approximately $99 million designated for current debt service payments, and $85 million restricted for reserves, including debt service, performance obligations and other reserves, as well as capital expenditures. The remaining $257 million is held in distribution reserve accounts, of which $174 million relates to transferable ITCs for the Rosamond South I solar and BESS facility that were received on behalf of the tax equity investor in Rosie South TE Holdco LLC and subsequently distributed to that tax equity investor in January 2026.</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12529"/>
        </w:rPr>
        <w:t>Clearway Energy LLC and Clearway Energy Operating LLC Revolving Credit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$361 million in outstanding borrowings under its revolving credit facility and $96 million in letters of credit outstanding. During January 2026, the Company repaid all of the outstanding borrowings under the revolving credit facility utilizing the proceeds from the sale of the 2034 Senior Notes. The facility will continue to be used for general corporate purposes, including financing of future investments or acquisitions and posting letters of credit.</w:t>
      </w:r>
    </w:p>
    <w:p>
      <w:pPr>
        <w:spacing w:after="0" w:line="9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credit ratings for the Company and its Senior Notes as of December 31, 2025. The ratings outlook is stable.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8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 Senior Notes, due 2028</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3.750% Senior Notes, due 2031</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3.750% Senior Notes, due 2032</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the Company’s financing arrangements consist of corporate level debt, which includes Senior Notes and the revolving credit facility; facility-level financings for its various assets; the ATM Program and the DSPP.</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2034 Senior Notes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On January 13, 2026, Clearway Energy Operating LLC completed the sale of $600 million aggregate principal amount of senior unsecured notes due 2034, or the 2034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Senior Notes. The 2034 Senior Notes bear interest at 5.750%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8" w:name="page59"/>
    <w:bookmarkEnd w:id="58"/>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Mt. Storm Sale to Clearway Renew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October 2, 2025, the Company, through its indirect subsidiary, WV Wind Holdco LLC, sold 100% of its membership interests in Mount Storm Wind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Upon achieving repowering commercial operations, which is expected to occur in the second half of 2026, the facility will sell power to Microsoft under a 20-year PPA.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transactions.</w:t>
      </w:r>
    </w:p>
    <w:p>
      <w:pPr>
        <w:spacing w:after="0" w:line="101"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At-the-Market Equity Offering Program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August 6, 2025, the Company entered into an equity distribution agreement with Morgan Stanley &amp; Co. LLC, BofA Securities, Inc., Citigroup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Global Markets Inc., J.P. Morgan Securities LLC and Wells Fargo Securities LLC, as sales agents. Pursuant to the terms of the agreement, the Company may offer and sell shares of its Class C common stock, from time to time through the sales agents, up to an aggregate sales price of $100 million through an at-the-market equity offering program, or ATM Program. During the year ended December 31, 2025, the Company issued 787,980 shares of Class C common stock under the ATM Program for gross proceeds of $25 million and incurred fees of less than $1 million, which were exchanged for 787,980 Class C units of Clearway Energy LLC. The net proceeds from the sale of shares under the ATM Program were used for general corporate purposes. As of December 31, 2025, approximately $75 million of Class C common stock remained available for issuance under the ATM Program.</w:t>
      </w:r>
    </w:p>
    <w:p>
      <w:pPr>
        <w:spacing w:after="0" w:line="9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Dividend Reinvestment and Direct Stock Purchase Plan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August 6, 2025, the Company adopted a dividend reinvestment and direct stock purchase plan, or DRIP/DSPP, respectively,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the Company registered and reserved for issuance up to an aggregate of 3,300,000 shares of Class C common stock. Under the DRIP, holders of the Company’s Class C common stock can designate all or a portion of their cash dividends, when paid, to be reinvested in additional shares of the Company’s Class C common stock. The DSPP allows (i) plan participants and registered stockholders of the Company who are not plan participants to purchase shares of Class C common stock in the minimum amount of $50 per investment up to a maximum aggregate amount of $150,000 per calendar year; (ii) new investors who do not own shares of Class C common stock to purchase shares by making an initial minimum investment of $250, up to a maximum aggregate amount of $150,000 per calendar year; and (iii) plan participants, other registered stockholders and new investors to request a waiver from the Company to make optional cash investments in excess of the maximum aggregate amount of $150,000 per calendar year. During the year ended December 31, 2025, the Company issued 793,202 shares of Class C common stock under the DSPP for gross proceeds of $25 million and incurred fees of less than $1 million, which were exchanged for 793,202 Class C units of Clearway Energy LLC. The net proceeds from the sale of shares under the DSPP were used for general corporate purposes. As of December 31, 2025, approximately 2,506,798 shares of Class C common stock remained available for issuance under the DRIP/DSPP.</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January 2026, the Company issued 1,445,244 shares of Class C common stock under the DSPP for gross proceeds of $50 million and incurred fees of less than $1 million, which were exchanged for 1,445,244 Class C units of Clearway Energy LLC. As of January 31, 2026, approximately 1,061,554 shares Class C common stock remained available for issuance under the DRIP/DSPP.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15 </w:t>
      </w:r>
      <w:r>
        <w:rPr>
          <w:rFonts w:ascii="Times New Roman" w:cs="Times New Roman" w:eastAsia="Times New Roman" w:hAnsi="Times New Roman"/>
          <w:sz w:val="14"/>
          <w:szCs w:val="14"/>
          <w:color w:val="000000"/>
        </w:rPr>
        <w:t>— 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 Item 15</w:t>
      </w:r>
      <w:r>
        <w:rPr>
          <w:rFonts w:ascii="Times New Roman" w:cs="Times New Roman" w:eastAsia="Times New Roman" w:hAnsi="Times New Roman"/>
          <w:sz w:val="14"/>
          <w:szCs w:val="14"/>
          <w:color w:val="000000"/>
        </w:rPr>
        <w:t xml:space="preserve"> — Note 3, </w:t>
      </w:r>
      <w:r>
        <w:rPr>
          <w:rFonts w:ascii="Times New Roman" w:cs="Times New Roman" w:eastAsia="Times New Roman" w:hAnsi="Times New Roman"/>
          <w:sz w:val="14"/>
          <w:szCs w:val="14"/>
          <w:i w:val="1"/>
          <w:iCs w:val="1"/>
          <w:color w:val="000000"/>
        </w:rPr>
        <w:t>Acquisitions and Dispositions</w:t>
      </w:r>
      <w:r>
        <w:rPr>
          <w:rFonts w:ascii="Times New Roman" w:cs="Times New Roman" w:eastAsia="Times New Roman" w:hAnsi="Times New Roman"/>
          <w:sz w:val="14"/>
          <w:szCs w:val="14"/>
          <w:color w:val="000000"/>
        </w:rPr>
        <w:t xml:space="preserve"> and Note 15, </w:t>
      </w:r>
      <w:r>
        <w:rPr>
          <w:rFonts w:ascii="Times New Roman" w:cs="Times New Roman" w:eastAsia="Times New Roman" w:hAnsi="Times New Roman"/>
          <w:sz w:val="14"/>
          <w:szCs w:val="14"/>
          <w:i w:val="1"/>
          <w:iCs w:val="1"/>
          <w:color w:val="000000"/>
        </w:rPr>
        <w:t>Related Party Transactions</w:t>
      </w:r>
      <w:r>
        <w:rPr>
          <w:rFonts w:ascii="Times New Roman" w:cs="Times New Roman" w:eastAsia="Times New Roman" w:hAnsi="Times New Roman"/>
          <w:sz w:val="14"/>
          <w:szCs w:val="14"/>
          <w:color w:val="231F20"/>
        </w:rPr>
        <w:t>; and (v) cash dividends to investors.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Debt Service Obligations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Principal payments on debt as of December 31, 2025, are due in the following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80" w:type="dxa"/>
            <w:vAlign w:val="bottom"/>
          </w:tcPr>
          <w:p>
            <w:pPr>
              <w:spacing w:after="0"/>
              <w:rPr>
                <w:sz w:val="12"/>
                <w:szCs w:val="12"/>
                <w:color w:val="auto"/>
              </w:rPr>
            </w:pP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1"/>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Corporate-level debt: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2028</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2031</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2032</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LLC and Clearway Energy Operating LLC Revolving Credit Facility, due 2028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158"/>
        </w:trPr>
        <w:tc>
          <w:tcPr>
            <w:tcW w:w="20" w:type="dxa"/>
            <w:vAlign w:val="bottom"/>
          </w:tcPr>
          <w:p>
            <w:pPr>
              <w:spacing w:after="0"/>
              <w:rPr>
                <w:sz w:val="13"/>
                <w:szCs w:val="13"/>
                <w:color w:val="auto"/>
              </w:rPr>
            </w:pPr>
          </w:p>
        </w:tc>
        <w:tc>
          <w:tcPr>
            <w:tcW w:w="53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Corporate-level debt</w:t>
            </w: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Facility-level debt: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Borrego, due 2038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Buckthorn Solar, due 2031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Capistrano Portfolio Holdco LLC, due 2033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Cedar Creek,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Cedro Hill,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Daggett 1, due 2030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Daggett 2, due 2028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Daggett 3, due 2028</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70"/>
        </w:trPr>
        <w:tc>
          <w:tcPr>
            <w:tcW w:w="20" w:type="dxa"/>
            <w:vAlign w:val="bottom"/>
          </w:tcPr>
          <w:p>
            <w:pPr>
              <w:spacing w:after="0"/>
              <w:rPr>
                <w:sz w:val="14"/>
                <w:szCs w:val="14"/>
                <w:color w:val="auto"/>
              </w:rPr>
            </w:pPr>
          </w:p>
        </w:tc>
        <w:tc>
          <w:tcPr>
            <w:tcW w:w="53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 xml:space="preserve">Honeycomb Portfolio, due 2026 </w:t>
            </w:r>
            <w:r>
              <w:rPr>
                <w:rFonts w:ascii="Times New Roman" w:cs="Times New Roman" w:eastAsia="Times New Roman" w:hAnsi="Times New Roman"/>
                <w:sz w:val="16"/>
                <w:szCs w:val="16"/>
                <w:color w:val="auto"/>
                <w:vertAlign w:val="superscript"/>
              </w:rPr>
              <w:t>(a)</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r>
      <w:tr>
        <w:trPr>
          <w:trHeight w:val="170"/>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Luna Valley, due 2030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Pine Forest, due 2030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Rosamond South 1, due 2030</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TSN1 Class B Member LLC,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Tuolumne, due 2030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68"/>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72"/>
        </w:trPr>
        <w:tc>
          <w:tcPr>
            <w:tcW w:w="2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20" w:type="dxa"/>
            <w:vAlign w:val="bottom"/>
            <w:tcBorders>
              <w:bottom w:val="single" w:sz="8" w:color="CCEEFF"/>
            </w:tcBorders>
          </w:tcPr>
          <w:p>
            <w:pPr>
              <w:spacing w:after="0"/>
              <w:rPr>
                <w:sz w:val="14"/>
                <w:szCs w:val="14"/>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0"/>
        </w:trPr>
        <w:tc>
          <w:tcPr>
            <w:tcW w:w="20" w:type="dxa"/>
            <w:vAlign w:val="bottom"/>
            <w:shd w:val="clear" w:color="auto" w:fill="CCEEFF"/>
          </w:tcPr>
          <w:p>
            <w:pPr>
              <w:spacing w:after="0"/>
              <w:rPr>
                <w:sz w:val="13"/>
                <w:szCs w:val="13"/>
                <w:color w:val="auto"/>
              </w:rPr>
            </w:pPr>
          </w:p>
        </w:tc>
        <w:tc>
          <w:tcPr>
            <w:tcW w:w="5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facility-level debt</w:t>
            </w: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w:t>
            </w:r>
          </w:p>
        </w:tc>
      </w:tr>
      <w:tr>
        <w:trPr>
          <w:trHeight w:val="163"/>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8,674</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tabs>
          <w:tab w:leader="none" w:pos="190"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At December 31, 2025, amount includes $431 million of construction-related financings recorded in long-term debt on the Company’s consolidated balance sheet that is either being funded through long-term equity contributions or is converting to long-term debt.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231F20"/>
        </w:rPr>
        <w:t xml:space="preserve">For the years ended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and 2024, the Company used approximately $319 million and $287 million, respectively, to fund capital expenditures, primarily in the Renewables &amp; Storage segment, funded through construction-related financing. Growth capital expenditures included $313 million </w:t>
      </w:r>
      <w:r>
        <w:rPr>
          <w:rFonts w:ascii="Times New Roman" w:cs="Times New Roman" w:eastAsia="Times New Roman" w:hAnsi="Times New Roman"/>
          <w:sz w:val="14"/>
          <w:szCs w:val="14"/>
          <w:color w:val="000000"/>
        </w:rPr>
        <w:t xml:space="preserve">primarily in the Renewables &amp; Storage segment, funded through construction-related financing. Growth capital expenditures included $81 million incurred in connection with the Rosamond South I solar and BESS facility, $58 million incurred in connection with the Pine Forest solar and BESS facility, $37 million incurred in connection with the Honeycomb Portfolio BESS facilities, $35 million incurred in connection with the Dan’s Mountain wind facility, $34 million incurred in connection with the Luna Valley solar facility, $27 million incurred in connection with the Daggett 1 BESS facility, $22 million incurred in connection with the repowering of the Cedro Hill wind facility, $12 million incurred in connection with the Victory Pass and Arica solar and BESS facilities and $7 million incurred by other facilities. </w:t>
      </w:r>
      <w:r>
        <w:rPr>
          <w:rFonts w:ascii="Times New Roman" w:cs="Times New Roman" w:eastAsia="Times New Roman" w:hAnsi="Times New Roman"/>
          <w:sz w:val="14"/>
          <w:szCs w:val="14"/>
          <w:color w:val="231F20"/>
        </w:rPr>
        <w:t>In addition, for the years ended</w:t>
      </w:r>
      <w:r>
        <w:rPr>
          <w:rFonts w:ascii="Times New Roman" w:cs="Times New Roman" w:eastAsia="Times New Roman" w:hAnsi="Times New Roman"/>
          <w:sz w:val="14"/>
          <w:szCs w:val="14"/>
          <w:color w:val="000000"/>
        </w:rPr>
        <w:t xml:space="preserve"> December 31, 2025 </w:t>
      </w:r>
      <w:r>
        <w:rPr>
          <w:rFonts w:ascii="Times New Roman" w:cs="Times New Roman" w:eastAsia="Times New Roman" w:hAnsi="Times New Roman"/>
          <w:sz w:val="14"/>
          <w:szCs w:val="14"/>
          <w:color w:val="231F20"/>
        </w:rPr>
        <w:t>and 2024, the Company incurred</w:t>
      </w:r>
      <w:r>
        <w:rPr>
          <w:rFonts w:ascii="Times New Roman" w:cs="Times New Roman" w:eastAsia="Times New Roman" w:hAnsi="Times New Roman"/>
          <w:sz w:val="14"/>
          <w:szCs w:val="14"/>
          <w:color w:val="000000"/>
        </w:rPr>
        <w:t xml:space="preserve"> $6 million and $11 million, respectively, of maintenance capital expenditures, which are net of credits received from equipment manufacturers.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estimates $32 million of maintenance capital expenditures for 2026. </w:t>
      </w:r>
      <w:r>
        <w:rPr>
          <w:rFonts w:ascii="Times New Roman" w:cs="Times New Roman" w:eastAsia="Times New Roman" w:hAnsi="Times New Roman"/>
          <w:sz w:val="14"/>
          <w:szCs w:val="14"/>
          <w:color w:val="000000"/>
        </w:rPr>
        <w:t>These estimates are subject to continuing review and adjustment and actual capital expenditures may vary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these estimates.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2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December 31, 2025, the Company has several investments with an ownership interest percentage of 50% or less. GenConn is a VIE for which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 is not the primary beneficiary. The Company’s pro-rata share of non-recourse debt held by unconsolidated affiliates was approximately $259 million as of December 31, 2025. This indebtedness may restrict the ability of these subsidiaries to issue dividends or distributions to the Company. See also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additional discussion.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By Remaining Maturity at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Cash Obligations</w:t>
            </w:r>
          </w:p>
        </w:tc>
        <w:tc>
          <w:tcPr>
            <w:tcW w:w="220" w:type="dxa"/>
            <w:vAlign w:val="bottom"/>
          </w:tcPr>
          <w:p>
            <w:pPr>
              <w:spacing w:after="0"/>
              <w:rPr>
                <w:sz w:val="8"/>
                <w:szCs w:val="8"/>
                <w:color w:val="auto"/>
              </w:rPr>
            </w:pPr>
          </w:p>
        </w:tc>
        <w:tc>
          <w:tcPr>
            <w:tcW w:w="920" w:type="dxa"/>
            <w:vAlign w:val="bottom"/>
            <w:gridSpan w:val="2"/>
          </w:tcPr>
          <w:p>
            <w:pPr>
              <w:ind w:left="140"/>
              <w:spacing w:after="0" w:line="102" w:lineRule="exact"/>
              <w:rPr>
                <w:sz w:val="20"/>
                <w:szCs w:val="20"/>
                <w:color w:val="auto"/>
              </w:rPr>
            </w:pPr>
            <w:r>
              <w:rPr>
                <w:rFonts w:ascii="Times New Roman" w:cs="Times New Roman" w:eastAsia="Times New Roman" w:hAnsi="Times New Roman"/>
                <w:sz w:val="11"/>
                <w:szCs w:val="11"/>
                <w:b w:val="1"/>
                <w:bCs w:val="1"/>
                <w:color w:val="auto"/>
              </w:rPr>
              <w:t>Under</w:t>
            </w:r>
          </w:p>
        </w:tc>
        <w:tc>
          <w:tcPr>
            <w:tcW w:w="200" w:type="dxa"/>
            <w:vAlign w:val="bottom"/>
          </w:tcPr>
          <w:p>
            <w:pPr>
              <w:spacing w:after="0"/>
              <w:rPr>
                <w:sz w:val="8"/>
                <w:szCs w:val="8"/>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100" w:type="dxa"/>
            <w:vAlign w:val="bottom"/>
          </w:tcPr>
          <w:p>
            <w:pPr>
              <w:spacing w:after="0"/>
              <w:rPr>
                <w:sz w:val="8"/>
                <w:szCs w:val="8"/>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300" w:type="dxa"/>
            <w:vAlign w:val="bottom"/>
          </w:tcPr>
          <w:p>
            <w:pPr>
              <w:spacing w:after="0"/>
              <w:rPr>
                <w:sz w:val="8"/>
                <w:szCs w:val="8"/>
                <w:color w:val="auto"/>
              </w:rPr>
            </w:pPr>
          </w:p>
        </w:tc>
        <w:tc>
          <w:tcPr>
            <w:tcW w:w="840" w:type="dxa"/>
            <w:vAlign w:val="bottom"/>
            <w:gridSpan w:val="2"/>
          </w:tcPr>
          <w:p>
            <w:pPr>
              <w:jc w:val="center"/>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Over</w:t>
            </w:r>
          </w:p>
        </w:tc>
        <w:tc>
          <w:tcPr>
            <w:tcW w:w="240" w:type="dxa"/>
            <w:vAlign w:val="bottom"/>
          </w:tcPr>
          <w:p>
            <w:pPr>
              <w:spacing w:after="0"/>
              <w:rPr>
                <w:sz w:val="8"/>
                <w:szCs w:val="8"/>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8"/>
                <w:szCs w:val="8"/>
                <w:color w:val="auto"/>
              </w:rPr>
            </w:pPr>
          </w:p>
        </w:tc>
        <w:tc>
          <w:tcPr>
            <w:tcW w:w="820" w:type="dxa"/>
            <w:vAlign w:val="bottom"/>
            <w:vMerge w:val="restart"/>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1 Year</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5 Years</w:t>
            </w:r>
          </w:p>
        </w:tc>
        <w:tc>
          <w:tcPr>
            <w:tcW w:w="2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(including estimated interest)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water right agreements, service and maintenance agreements and LTSA commitments.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Pine Forest Drop Down </w:t>
      </w:r>
      <w:r>
        <w:rPr>
          <w:rFonts w:ascii="Times New Roman" w:cs="Times New Roman" w:eastAsia="Times New Roman" w:hAnsi="Times New Roman"/>
          <w:sz w:val="14"/>
          <w:szCs w:val="14"/>
          <w:color w:val="auto"/>
        </w:rPr>
        <w:t>— On June 10, 2025, the Company, through its indirect subsidiary, Pine Forest CE Class A Owner LLC, acquired the Class A membership interests in Pine Forest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TargetCo, a partnership and the indirect owner of the Pine Forest solar and BESS facility, from Clearway Renew for initial cash consideration of $18 million. Also on June 10, 2025, the Company, through its indirect subsidiary, Pine Forest TE Class A, contributed $9 million to acquire the Class A membership interests in Pine Forest TE HoldCo LLC. On December 17, 2025, when Pine Forest reached substantial completion, the Company paid $50 million to Clearway Renew as an additional purchase price and the Company contributed an additional $38 million for its Class A membership interests in Pine Forest TE HoldCo LLC. Pine Forest has PPAs for the solar facility with investment-grade counterparties and a 20-year weighted average contract duration that commenced in December 2025. The acquisition was funded with existing sources of liquidity. As part of the acquisition of Pine Forest, the Company assumed the facility’s financing agreement, which included a construction loan, a cash equity bridge loan, a tax equity bridge loan and a tax credit transfer bridge loan. Upon the facility reaching substantial completion, the third-party cash equity investor contributed $144 million and CEG contributed $49 million, which were utilized, along with the $9 million previously held in escrow, to repay the cash equity bridge loan, to repay the tax equity bridge loan, to partially repay the tax credit transfer bridge loan, to fund construction completion reserves and to pay associated fees. Additionally, on December 17, 2025, the outstanding construction loans were converted to a term loan. Subsequent to the acquisition during 2025, the Company borrowed an additional $52 million in cash equity bridge loans. The Company’s total capital investment in Pine Forest TargetCo was $115 million.</w:t>
      </w:r>
    </w:p>
    <w:p>
      <w:pPr>
        <w:spacing w:after="0" w:line="10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Since the Company holds the Class A membership interests in Pine Forest TE HoldCo LLC through Pine Forest TE Class A, net income attributable to Clearway Energy, Inc. will reflect HLBV allocations associated with Pine Forest’s tax attributes, which may result in larger losses allocated to the Company in early periods of the facility’s operations relative to other partnerships.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January 2026, the Company repaid the $231 million outstanding on the tax credit transfer bridge loan utilizing the proceeds received from the sale of transferable ITCs, and distributed the remaining $51 million to CEG.</w:t>
      </w:r>
    </w:p>
    <w:p>
      <w:pPr>
        <w:spacing w:after="0" w:line="8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Goat Mountain Development Services Agreement </w:t>
      </w:r>
      <w:r>
        <w:rPr>
          <w:rFonts w:ascii="Times New Roman" w:cs="Times New Roman" w:eastAsia="Times New Roman" w:hAnsi="Times New Roman"/>
          <w:sz w:val="14"/>
          <w:szCs w:val="14"/>
          <w:color w:val="auto"/>
        </w:rPr>
        <w:t>— On July 23, 2025, the Company entered into a development services agreement with Clearway Renew in connection with the repowering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Goat Mountain wind facility. The Company estimates that its total capital investment in the Goat Mountain repowering will be $200 million, subject to closing adjustments. Contingent upon achieving repowering commercial operations in 2027, the 360 MW facility will sell power to an investment-grade counterparty under a new 15-year PPA. In connection with the agreement, on December 12, 2025, the Company paid Clearway Renew $27 million, primarily related to the future delivery of equipment.</w:t>
      </w:r>
    </w:p>
    <w:p>
      <w:pPr>
        <w:spacing w:after="0" w:line="95"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Honeycomb Portfolio Drop Down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October 15, 2025, the Company, through its indirect subsidiary, Honeycomb 1 Holdco LLC, acquired Honeycomb TargetCo, the indirect owner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Honeycomb Portfolio, from Clearway Renew for initial cash consideration of $16 million. At substantial completion, which is expected to occur in the first half of 2026, the Company estimates it will pay an additional $62 million to Clearway Renew. The Honeycomb Portfolio has 20-year PPAs with an investment-grade utility that will commence when the underlying operating assets reach commercial operations, which is expected to occur in the first half of 2026. The acquisition was funded with existing sources of liquidity. As part of the acquisition of the Honeycomb Portfolio, the Company assumed the facility’s financing agreement, which included a construction loan that converts to a term loan when the facility reaches substantial completion and a tax equity bridge loan, which will be completely paid off when the facility reaches substantial completion utilizing the proceeds from the Company’s additional purchase price and final proceeds received from the tax equity investor, along with their initial contribution at acquisition date that is being held in escrow. Subsequent to the acquisition during 2025, the Company borrowed an additional $38 million in construction loans through December 31, 2025. The Company estimates that its total capital investment in Honeycomb TargetCo will be $78 million, excluding the impact of any closing adjustments noted in the purchase agreement.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2" w:name="page63"/>
    <w:bookmarkEnd w:id="62"/>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Daggett 1 Drop Down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29, 2025, the Company, through its indirect subsidiary, LV-Daggett Parent Holdco LLC, acquired Daggett 1 Class B, the indirect owner of the Daggett 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BESS facility, from Clearway Renew for initial cash consideration of $11 million. On September 19, 2025, when the facility reached substantial completion, the Company paid $42 million to Clearway Renew as additional purchase price. Daggett 1 has a PPA for capacity with an investment-grade counterparty for a contract duration of 15 years that commenced in September 2025. The acquisition was funded with existing sources of liquidity. As part of the acquisition of Daggett 1, the Company assumed the facility’s financing agreement, which included a construction loan and a tax equity bridge loan. Upon the facility reaching substantial completion, the tax equity investor contributed an additional $108 million, which was utilized along with the $38 million previously held in escrow and $31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during 2025, the Company borrowed an additional $40 million in construction loans. On October 15, 2025, the Company paid $4 million to Clearway Renew as a final purchase price adjustment. The Company’s total capital investment in Daggett 1 Class B was $57 million.</w:t>
      </w:r>
    </w:p>
    <w:p>
      <w:pPr>
        <w:spacing w:after="0" w:line="104"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Luna Valley Drop Down </w:t>
      </w:r>
      <w:r>
        <w:rPr>
          <w:rFonts w:ascii="Times New Roman" w:cs="Times New Roman" w:eastAsia="Times New Roman" w:hAnsi="Times New Roman"/>
          <w:sz w:val="14"/>
          <w:szCs w:val="14"/>
          <w:color w:val="auto"/>
        </w:rPr>
        <w:t>— On April 29, 2025, the Company, through its indirect subsidiary, LV-Daggett Parent Holdco LLC, acquired Luna Valley Class B, the indirect owner of the Luna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Valley solar facility, from Clearway Renew for initial cash consideration of $18 million. On September 4, 2025, when the facility reached substantial completion, the Company paid $72 million to Clearway Renew as additional purchase price. Luna Valley has PPAs with investment-grade counterparties that have a 17-year weighted average contract duration that commenced in August 2025. The acquisition was funded with existing sources of liquidity. As part of the acquisition of Luna Valley, the Company assumed the facility’s financing agreement, which included a construction loan, a cash equity bridge loan that was partially paid off at acquisition date and a tax equity bridge loan. Upon the facility reaching substantial completion, the tax equity investor contributed an additional $114 million and CEG contributed $50 million, which were utilized, along with the $29 million previously held in escrow and $28 million in construction loan proceeds, to repay the cash equity bridge loan, to repay the tax equity bridge loan, to fund construction completion reserves and to pay associated fees. Also at substantial completion, the outstanding construction loans were converted to a term loan. Subsequent to the acquisition during 2025, the Company borrowed an additional $51 million in construction loans. On October 15, 2025, the Company paid $29 million to Clearway Renew as a final purchase price adjustment. The Company’s total capital investment in Luna Valley Class B was $119 million.</w:t>
      </w:r>
    </w:p>
    <w:p>
      <w:pPr>
        <w:spacing w:after="0" w:line="104"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Rosamond South I Drop Down </w:t>
      </w:r>
      <w:r>
        <w:rPr>
          <w:rFonts w:ascii="Times New Roman" w:cs="Times New Roman" w:eastAsia="Times New Roman" w:hAnsi="Times New Roman"/>
          <w:sz w:val="14"/>
          <w:szCs w:val="14"/>
          <w:color w:val="auto"/>
        </w:rPr>
        <w:t>— On March 20, 2025, the Company, through its indirect subsidiary, Rosamond South Investment LLC, acquired the Class A membership interests in Rosie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South TargetCo, a partnership and the indirect owner of the Rosamond South I solar and BESS facility, from Clearway Renew for initial cash consideration of $4 million. On August 13, 2025, when the facility reached substantial completion, the Company paid $29 million to Clearway Renew as additional purchase price. Rosamond South I has PPAs with investment-grade counterparties that have a 15-year weighted average contract duration that commence when the underlying operating assets reach commercial operations. The acquisition was funded with existing sources of liquidity. As part of the acquisition of Rosamond South I, the Company assumed the facility’s financing agreement, which included a construction loan, a cash equity bridge loan that was paid off at acquisition date and a tax equity bridge loan. Upon the facility reaching substantial completion, the third-party cash equity investor contributed an additional $41 million and the tax equity investor contributed an additional $226 million, which were utilized, along with the $58 million previously held in escrow and $13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during 2025, the Company borrowed an additional $49 million in construction loans and also received $46 million in contributions from CEG to pay for construction completion expenses. The Company’s total capital investment in Rosie South TargetCo was $33 million.</w:t>
      </w:r>
    </w:p>
    <w:p>
      <w:pPr>
        <w:spacing w:after="0" w:line="10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212529"/>
        </w:rPr>
        <w:t xml:space="preserve">Catalina Solar Acquisition </w:t>
      </w:r>
      <w:r>
        <w:rPr>
          <w:rFonts w:ascii="Times New Roman" w:cs="Times New Roman" w:eastAsia="Times New Roman" w:hAnsi="Times New Roman"/>
          <w:sz w:val="14"/>
          <w:szCs w:val="14"/>
          <w:color w:val="000000"/>
        </w:rPr>
        <w:t>— On July 16, 2025, the Company, through its indirect subsidiary, Catalina Solar Investment LLC, acquired Catalina Solar Lessee Holdco LLC, which leases and</w:t>
      </w:r>
      <w:r>
        <w:rPr>
          <w:rFonts w:ascii="Times New Roman" w:cs="Times New Roman" w:eastAsia="Times New Roman" w:hAnsi="Times New Roman"/>
          <w:sz w:val="14"/>
          <w:szCs w:val="14"/>
          <w:i w:val="1"/>
          <w:iCs w:val="1"/>
          <w:color w:val="212529"/>
        </w:rPr>
        <w:t xml:space="preserve"> </w:t>
      </w:r>
      <w:r>
        <w:rPr>
          <w:rFonts w:ascii="Times New Roman" w:cs="Times New Roman" w:eastAsia="Times New Roman" w:hAnsi="Times New Roman"/>
          <w:sz w:val="14"/>
          <w:szCs w:val="14"/>
          <w:color w:val="000000"/>
        </w:rPr>
        <w:t>operates the Catalina solar facility, from a third-party for approximately $127 million, which excludes $1 million in transaction expenses incurred in connection with the acquisition. Catalina reached commercial operations in 2013 and has a PPA with an investment-grade utility through 2038. The acquisition was funded with existing sources of liquidity. After factoring in cash reserves acquired and transaction expenses, the Company’s net capital investment in Catalina was $128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3" w:name="page64"/>
    <w:bookmarkEnd w:id="63"/>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Dan’s Mountain Drop Down </w:t>
      </w:r>
      <w:r>
        <w:rPr>
          <w:rFonts w:ascii="Times New Roman" w:cs="Times New Roman" w:eastAsia="Times New Roman" w:hAnsi="Times New Roman"/>
          <w:sz w:val="14"/>
          <w:szCs w:val="14"/>
          <w:color w:val="auto"/>
        </w:rPr>
        <w:t>— On May 21, 2025, when the Dan’s Mountain wind facility reached substantial completion, the Company paid $36 million to Clearway Renew as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tax equity bridge loans and also received $16 million in contributions from CEG to pay for construction completion expenses during 2025. The Company’s total capital investment in Dan’s Mountain TargetCo was $43 million.</w:t>
      </w:r>
    </w:p>
    <w:p>
      <w:pPr>
        <w:spacing w:after="0" w:line="10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Tuolumne Wind Acquisition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29, 2025, the Company, through its indirect subsidiary, Washington Wind LLC, acquired the Tuolumne wind facility from an investment-grade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regulated entity for approximately $210 million, which excludes $1 million in transaction expenses incurred in connection with the acquisition.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 In connection with the acquisition, the Company entered into a development services agreement with Clearway Renew related to a potential repowering of the facility. In February 2026, the Company approved the commencement of the Tuolumne repowering. The Company estimates that its total capital investment in the Tuolumne repowering will be $80 million, subject to closing adjustments. Contingent upon achieving commercial operations in 2027, the 137 MW facility will sell power under its existing PPA with an investment-grade regulated entity for an additional two years.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Cash Dividends to Investors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4"/>
          <w:szCs w:val="14"/>
          <w:color w:val="000000"/>
        </w:rPr>
        <w:t>he Class A common stock and Class C common stock are subject to available capital, market conditions and compliance with associated laws, regulations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other contractual obligations. The Company expects that, based on current circumstances, comparable cash dividends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common stock and Class C common stock during the year ended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2025</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2025</w:t>
            </w:r>
          </w:p>
        </w:tc>
        <w:tc>
          <w:tcPr>
            <w:tcW w:w="1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2025</w:t>
            </w:r>
          </w:p>
        </w:tc>
        <w:tc>
          <w:tcPr>
            <w:tcW w:w="160" w:type="dxa"/>
            <w:vAlign w:val="bottom"/>
          </w:tcPr>
          <w:p>
            <w:pPr>
              <w:spacing w:after="0"/>
              <w:rPr>
                <w:sz w:val="13"/>
                <w:szCs w:val="13"/>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2025</w:t>
            </w:r>
          </w:p>
        </w:tc>
      </w:tr>
      <w:tr>
        <w:trPr>
          <w:trHeight w:val="18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0.4312</w:t>
            </w:r>
          </w:p>
        </w:tc>
      </w:tr>
    </w:tbl>
    <w:p>
      <w:pPr>
        <w:spacing w:after="0" w:line="18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2026, the Company declared a quarterly dividend on its Class A and Class C common stock of $0.4602 per share payable on March 16, 2026 to stockholders of record as of March 2,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reflect the changes in cash flows for the comparative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266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4"/>
        </w:trPr>
        <w:tc>
          <w:tcPr>
            <w:tcW w:w="74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0"/>
        </w:trPr>
        <w:tc>
          <w:tcPr>
            <w:tcW w:w="7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688</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(803)</w:t>
            </w:r>
          </w:p>
        </w:tc>
        <w:tc>
          <w:tcPr>
            <w:tcW w:w="240" w:type="dxa"/>
            <w:vAlign w:val="bottom"/>
          </w:tcPr>
          <w:p>
            <w:pPr>
              <w:spacing w:after="0"/>
              <w:rPr>
                <w:sz w:val="15"/>
                <w:szCs w:val="15"/>
                <w:color w:val="auto"/>
              </w:rPr>
            </w:pPr>
          </w:p>
        </w:tc>
        <w:tc>
          <w:tcPr>
            <w:tcW w:w="1040" w:type="dxa"/>
            <w:vAlign w:val="bottom"/>
          </w:tcPr>
          <w:p>
            <w:pPr>
              <w:jc w:val="center"/>
              <w:ind w:left="615"/>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563</w:t>
            </w:r>
          </w:p>
        </w:tc>
      </w:tr>
    </w:tbl>
    <w:p>
      <w:pPr>
        <w:spacing w:after="0" w:line="185" w:lineRule="exact"/>
        <w:rPr>
          <w:sz w:val="20"/>
          <w:szCs w:val="20"/>
          <w:color w:val="auto"/>
        </w:rPr>
      </w:pPr>
    </w:p>
    <w:p>
      <w:pPr>
        <w:sectPr>
          <w:pgSz w:w="11900" w:h="16838" w:orient="portrait"/>
          <w:cols w:equalWidth="0" w:num="1">
            <w:col w:w="11280"/>
          </w:cols>
          <w:pgMar w:left="300" w:top="728" w:right="319" w:bottom="1440" w:gutter="0" w:footer="0" w:header="0"/>
        </w:sect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Buy-out of the Mt. Storm commodity contract in 2025</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operating income after adjusting for non-cash items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line="237" w:lineRule="auto"/>
        <w:rPr>
          <w:sz w:val="20"/>
          <w:szCs w:val="20"/>
          <w:color w:val="auto"/>
        </w:rPr>
      </w:pPr>
      <w:r>
        <w:rPr>
          <w:rFonts w:ascii="Times New Roman" w:cs="Times New Roman" w:eastAsia="Times New Roman" w:hAnsi="Times New Roman"/>
          <w:sz w:val="14"/>
          <w:szCs w:val="14"/>
          <w:color w:val="auto"/>
        </w:rPr>
        <w:t>Increase in working capital primarily driven by the timing of accounts receivable collections and payments of current liabilities, including accounts payable and current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34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091" w:hanging="1091"/>
        <w:spacing w:after="0"/>
        <w:tabs>
          <w:tab w:leader="none" w:pos="109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w:t>
      </w:r>
    </w:p>
    <w:p>
      <w:pPr>
        <w:spacing w:after="0" w:line="23" w:lineRule="exact"/>
        <w:rPr>
          <w:rFonts w:ascii="Times New Roman" w:cs="Times New Roman" w:eastAsia="Times New Roman" w:hAnsi="Times New Roman"/>
          <w:sz w:val="14"/>
          <w:szCs w:val="14"/>
          <w:color w:val="auto"/>
        </w:rPr>
      </w:pPr>
    </w:p>
    <w:p>
      <w:pPr>
        <w:ind w:left="109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w:t>
      </w:r>
    </w:p>
    <w:p>
      <w:pPr>
        <w:spacing w:after="0" w:line="19" w:lineRule="exact"/>
        <w:rPr>
          <w:rFonts w:ascii="Times New Roman" w:cs="Times New Roman" w:eastAsia="Times New Roman" w:hAnsi="Times New Roman"/>
          <w:sz w:val="14"/>
          <w:szCs w:val="14"/>
          <w:color w:val="auto"/>
        </w:rPr>
      </w:pPr>
    </w:p>
    <w:p>
      <w:pPr>
        <w:ind w:left="117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(2)</w:t>
      </w:r>
    </w:p>
    <w:p>
      <w:pPr>
        <w:spacing w:after="0" w:line="176" w:lineRule="exact"/>
        <w:rPr>
          <w:sz w:val="20"/>
          <w:szCs w:val="20"/>
          <w:color w:val="auto"/>
        </w:rPr>
      </w:pPr>
    </w:p>
    <w:p>
      <w:pPr>
        <w:ind w:left="1151"/>
        <w:spacing w:after="0"/>
        <w:rPr>
          <w:sz w:val="20"/>
          <w:szCs w:val="20"/>
          <w:color w:val="auto"/>
        </w:rPr>
      </w:pPr>
      <w:r>
        <w:rPr>
          <w:rFonts w:ascii="Times New Roman" w:cs="Times New Roman" w:eastAsia="Times New Roman" w:hAnsi="Times New Roman"/>
          <w:sz w:val="14"/>
          <w:szCs w:val="14"/>
          <w:color w:val="auto"/>
        </w:rPr>
        <w:t>17</w:t>
      </w:r>
    </w:p>
    <w:p>
      <w:pPr>
        <w:spacing w:after="0" w:line="30" w:lineRule="exact"/>
        <w:rPr>
          <w:sz w:val="20"/>
          <w:szCs w:val="20"/>
          <w:color w:val="auto"/>
        </w:rPr>
      </w:pPr>
    </w:p>
    <w:p>
      <w:pPr>
        <w:ind w:left="1091" w:hanging="1091"/>
        <w:spacing w:after="0"/>
        <w:tabs>
          <w:tab w:leader="none" w:pos="109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86931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80" w:space="349"/>
            <w:col w:w="1351"/>
          </w:cols>
          <w:pgMar w:left="300" w:top="728" w:right="319" w:bottom="1440" w:gutter="0" w:footer="0" w:header="0"/>
          <w:type w:val="continuous"/>
        </w:sectPr>
      </w:pP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ectPr>
          <w:pgSz w:w="11900" w:h="16838" w:orient="portrait"/>
          <w:cols w:equalWidth="0" w:num="1">
            <w:col w:w="11280"/>
          </w:cols>
          <w:pgMar w:left="300" w:top="728" w:right="319" w:bottom="1440" w:gutter="0" w:footer="0" w:header="0"/>
          <w:type w:val="continuous"/>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Cash paid for third-party acquisitions, net of cash acquired, in 2025</w:t>
      </w:r>
    </w:p>
    <w:p>
      <w:pPr>
        <w:spacing w:after="0" w:line="23" w:lineRule="exact"/>
        <w:rPr>
          <w:sz w:val="20"/>
          <w:szCs w:val="20"/>
          <w:color w:val="auto"/>
        </w:rPr>
      </w:pPr>
    </w:p>
    <w:p>
      <w:pPr>
        <w:ind w:left="100" w:right="2949"/>
        <w:spacing w:after="0" w:line="268" w:lineRule="auto"/>
        <w:rPr>
          <w:sz w:val="20"/>
          <w:szCs w:val="20"/>
          <w:color w:val="auto"/>
        </w:rPr>
      </w:pPr>
      <w:r>
        <w:rPr>
          <w:rFonts w:ascii="Times New Roman" w:cs="Times New Roman" w:eastAsia="Times New Roman" w:hAnsi="Times New Roman"/>
          <w:sz w:val="14"/>
          <w:szCs w:val="14"/>
          <w:color w:val="auto"/>
        </w:rPr>
        <w:t>Repayment of note receivable – affiliate in 2024 related to the Rosie Class B loan issued to Clearway Renew Increase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1530"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Payment for equipment deposit and asset purchase from affiliate in 2025 related to the Goat Mountain repowering</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Decrease in cash paid for Drop Down Assets, net of cash acquired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Proceeds from transfer of assets in 2025 related to the Mt. Storm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031" w:hanging="1031"/>
        <w:spacing w:after="0"/>
        <w:tabs>
          <w:tab w:leader="none" w:pos="103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(324)</w:t>
      </w:r>
    </w:p>
    <w:p>
      <w:pPr>
        <w:spacing w:after="0" w:line="34" w:lineRule="exact"/>
        <w:rPr>
          <w:rFonts w:ascii="Times New Roman" w:cs="Times New Roman" w:eastAsia="Times New Roman" w:hAnsi="Times New Roman"/>
          <w:sz w:val="13"/>
          <w:szCs w:val="13"/>
          <w:color w:val="auto"/>
        </w:rPr>
      </w:pPr>
    </w:p>
    <w:p>
      <w:pPr>
        <w:ind w:left="103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(184)</w:t>
      </w:r>
    </w:p>
    <w:p>
      <w:pPr>
        <w:spacing w:after="0" w:line="30"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(32)</w:t>
      </w:r>
    </w:p>
    <w:p>
      <w:pPr>
        <w:spacing w:after="0" w:line="19"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(27)</w:t>
      </w:r>
    </w:p>
    <w:p>
      <w:pPr>
        <w:spacing w:after="0" w:line="19"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(26)</w:t>
      </w:r>
    </w:p>
    <w:p>
      <w:pPr>
        <w:spacing w:after="0" w:line="19"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360</w:t>
      </w:r>
    </w:p>
    <w:p>
      <w:pPr>
        <w:spacing w:after="0" w:line="19"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152</w:t>
      </w:r>
    </w:p>
    <w:p>
      <w:pPr>
        <w:spacing w:after="0" w:line="19" w:lineRule="exact"/>
        <w:rPr>
          <w:rFonts w:ascii="Times New Roman" w:cs="Times New Roman" w:eastAsia="Times New Roman" w:hAnsi="Times New Roman"/>
          <w:sz w:val="13"/>
          <w:szCs w:val="13"/>
          <w:color w:val="auto"/>
        </w:rPr>
      </w:pPr>
    </w:p>
    <w:p>
      <w:pPr>
        <w:ind w:left="123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w:t>
      </w:r>
    </w:p>
    <w:p>
      <w:pPr>
        <w:spacing w:after="0" w:line="26" w:lineRule="exact"/>
        <w:rPr>
          <w:sz w:val="20"/>
          <w:szCs w:val="20"/>
          <w:color w:val="auto"/>
        </w:rPr>
      </w:pPr>
    </w:p>
    <w:p>
      <w:pPr>
        <w:ind w:left="1091" w:hanging="1091"/>
        <w:spacing w:after="0"/>
        <w:tabs>
          <w:tab w:leader="none" w:pos="109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86931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475" w:lineRule="exact"/>
        <w:rPr>
          <w:sz w:val="20"/>
          <w:szCs w:val="20"/>
          <w:color w:val="auto"/>
        </w:rPr>
      </w:pPr>
    </w:p>
    <w:p>
      <w:pPr>
        <w:sectPr>
          <w:pgSz w:w="11900" w:h="16838" w:orient="portrait"/>
          <w:cols w:equalWidth="0" w:num="2">
            <w:col w:w="9209" w:space="720"/>
            <w:col w:w="1351"/>
          </w:cols>
          <w:pgMar w:left="300" w:top="728"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Changes in net cash provided by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right="3520"/>
        <w:spacing w:after="0" w:line="271" w:lineRule="auto"/>
        <w:rPr>
          <w:sz w:val="20"/>
          <w:szCs w:val="20"/>
          <w:color w:val="auto"/>
        </w:rPr>
      </w:pPr>
      <w:r>
        <w:rPr>
          <w:rFonts w:ascii="Times New Roman" w:cs="Times New Roman" w:eastAsia="Times New Roman" w:hAnsi="Times New Roman"/>
          <w:sz w:val="14"/>
          <w:szCs w:val="14"/>
          <w:color w:val="auto"/>
        </w:rPr>
        <w:t>Decrease in payments for long-term debt and increase in proceeds from issuance of long-term debt Proceeds from the revolving credit facility, net of payments in 2025</w:t>
      </w:r>
    </w:p>
    <w:p>
      <w:pPr>
        <w:spacing w:after="0" w:line="1" w:lineRule="exact"/>
        <w:rPr>
          <w:sz w:val="20"/>
          <w:szCs w:val="20"/>
          <w:color w:val="auto"/>
        </w:rPr>
      </w:pPr>
    </w:p>
    <w:p>
      <w:pPr>
        <w:ind w:left="100" w:right="3560"/>
        <w:spacing w:after="0" w:line="268" w:lineRule="auto"/>
        <w:rPr>
          <w:sz w:val="20"/>
          <w:szCs w:val="20"/>
          <w:color w:val="auto"/>
        </w:rPr>
      </w:pPr>
      <w:r>
        <w:rPr>
          <w:rFonts w:ascii="Times New Roman" w:cs="Times New Roman" w:eastAsia="Times New Roman" w:hAnsi="Times New Roman"/>
          <w:sz w:val="14"/>
          <w:szCs w:val="14"/>
          <w:color w:val="auto"/>
        </w:rPr>
        <w:t>Proceeds from the issuance of Class C common stock under the ATM Program and DSPP in 2025 Decrease in 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61530" cy="114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Decrease in buyouts of noncontrolling interest and 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Decrease in contributions from noncontrolling interests, net of distributions</w:t>
      </w:r>
    </w:p>
    <w:p>
      <w:pPr>
        <w:spacing w:after="0" w:line="19" w:lineRule="exact"/>
        <w:rPr>
          <w:sz w:val="20"/>
          <w:szCs w:val="20"/>
          <w:color w:val="auto"/>
        </w:rPr>
      </w:pPr>
    </w:p>
    <w:p>
      <w:pPr>
        <w:ind w:left="100" w:right="3760"/>
        <w:spacing w:after="0" w:line="297" w:lineRule="auto"/>
        <w:rPr>
          <w:sz w:val="20"/>
          <w:szCs w:val="20"/>
          <w:color w:val="auto"/>
        </w:rPr>
      </w:pPr>
      <w:r>
        <w:rPr>
          <w:rFonts w:ascii="Times New Roman" w:cs="Times New Roman" w:eastAsia="Times New Roman" w:hAnsi="Times New Roman"/>
          <w:sz w:val="14"/>
          <w:szCs w:val="14"/>
          <w:color w:val="auto"/>
        </w:rPr>
        <w:t>Increase in dividends paid to common stockholders and distributions paid to CEG unit holders Pro-rata distributions to CEG related to the Pine Forest Drop Down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61530" cy="11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34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100" w:hanging="1091"/>
        <w:spacing w:after="0"/>
        <w:tabs>
          <w:tab w:leader="none" w:pos="1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557</w:t>
      </w:r>
    </w:p>
    <w:p>
      <w:pPr>
        <w:spacing w:after="0" w:line="23" w:lineRule="exact"/>
        <w:rPr>
          <w:rFonts w:ascii="Times New Roman" w:cs="Times New Roman" w:eastAsia="Times New Roman" w:hAnsi="Times New Roman"/>
          <w:sz w:val="14"/>
          <w:szCs w:val="14"/>
          <w:color w:val="auto"/>
        </w:rPr>
      </w:pP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361</w:t>
      </w:r>
    </w:p>
    <w:p>
      <w:pPr>
        <w:spacing w:after="0" w:line="19" w:lineRule="exact"/>
        <w:rPr>
          <w:rFonts w:ascii="Times New Roman" w:cs="Times New Roman" w:eastAsia="Times New Roman" w:hAnsi="Times New Roman"/>
          <w:sz w:val="14"/>
          <w:szCs w:val="14"/>
          <w:color w:val="auto"/>
        </w:rPr>
      </w:pPr>
    </w:p>
    <w:p>
      <w:pPr>
        <w:ind w:left="1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w:t>
      </w:r>
    </w:p>
    <w:p>
      <w:pPr>
        <w:spacing w:after="0" w:line="19"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w:t>
      </w:r>
    </w:p>
    <w:p>
      <w:pPr>
        <w:spacing w:after="0" w:line="19"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(369)</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(24)</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(19)</w:t>
      </w:r>
    </w:p>
    <w:p>
      <w:pPr>
        <w:spacing w:after="0" w:line="26" w:lineRule="exact"/>
        <w:rPr>
          <w:sz w:val="20"/>
          <w:szCs w:val="20"/>
          <w:color w:val="auto"/>
        </w:rPr>
      </w:pPr>
    </w:p>
    <w:p>
      <w:pPr>
        <w:ind w:left="1100" w:hanging="1091"/>
        <w:spacing w:after="0"/>
        <w:tabs>
          <w:tab w:leader="none" w:pos="1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86931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360"/>
          </w:cols>
          <w:pgMar w:left="300" w:top="728" w:right="319"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NOLs, Deferred Tax Assets and Uncertain Tax Position Implications, under ASC 740</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2025, the Company has a cumulative federal NOL carryforward balance of $212 million for financial statement purposes, none of which are subject to expiration. Additionally, as of December 31, 2025, the Company has a cumulative state NOL carryforward balance of $100 million for financial statement purposes, which will expire between 2026 and 2042 if unutilized. The Company does not anticipate material income tax payments through at least 2030. In addition, as of December 31, 2025, the Company had PTC and ITC carryforward balances totaling $18 million, which will expire between 2036 and 2045 if unutilized.</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has an interest disallowance carryforward of $107 million as a result of Internal Revenue Code §163(j). The disallowed interest deduction has an indefinite carryforward period and any limitations on the utilization of this carryforward have been factored into the Company’s valuation allowance analysis. As of December 31, 2024, the Company had an interest disallowance carryforward of $82 million</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after the utilization of NOL and tax credit carryforwards, paid $1 million in income taxes during the year ended December 31, 2025. The Company does not anticipate being subject to the corporate minimum tax on financial statement income, which is discussed in further detail below.</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Federal tax legislation enacted on July 4, 2025 contains a number of revisions to the Internal Revenue Code, including adjustments to the business interest expense disallowance calculation, accelerated tax depreciation and business tax credits and incentives for the development of clean energy facilities and production of clean energy, including wind, solar and BESS facilities. These changes did not have a material impact on the Company’s consolidated financial statements and the Company does not anticipate that these changes will have an adverse impact either (i) on the anticipated pipeline of facilities being developed by the Company’s sponsor, CEG, through at least 2030 or (ii) on the operation of facilities owned and operated by the Company. The Company will continue to monitor future guidance issued by the United States Department of the Treasury to assess for potential impacts on its consolidated financial statements.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2025, the U.S. federal partnership returns of two of the Company’s subsidiaries are under audit by the IRS. The Company and its subsidiaries are also periodically subject to various state tax audits, including one current audit as a result of filing an amended return in order to pursue a potential California tax refund. The IRS has not yet issued any proposed adjustments with respect to the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an unrecognized tax benefit of $19 million as of December 31,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15</w:t>
      </w:r>
      <w:r>
        <w:rPr>
          <w:rFonts w:ascii="Times New Roman" w:cs="Times New Roman" w:eastAsia="Times New Roman" w:hAnsi="Times New Roman"/>
          <w:sz w:val="14"/>
          <w:szCs w:val="14"/>
          <w:color w:val="000000"/>
        </w:rPr>
        <w:t xml:space="preserve"> — Note 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Instruments</w:t>
      </w:r>
      <w:r>
        <w:rPr>
          <w:rFonts w:ascii="Times New Roman" w:cs="Times New Roman" w:eastAsia="Times New Roman" w:hAnsi="Times New Roman"/>
          <w:sz w:val="14"/>
          <w:szCs w:val="14"/>
          <w:color w:val="231F20"/>
        </w:rPr>
        <w:t>.</w:t>
      </w:r>
    </w:p>
    <w:p>
      <w:pPr>
        <w:spacing w:after="0" w:line="254" w:lineRule="exact"/>
        <w:rPr>
          <w:sz w:val="20"/>
          <w:szCs w:val="20"/>
          <w:color w:val="auto"/>
        </w:rPr>
      </w:pPr>
    </w:p>
    <w:p>
      <w:pPr>
        <w:ind w:left="20"/>
        <w:spacing w:after="0"/>
        <w:tabs>
          <w:tab w:leader="none" w:pos="10400" w:val="left"/>
        </w:tabs>
        <w:rPr>
          <w:sz w:val="20"/>
          <w:szCs w:val="20"/>
          <w:color w:val="auto"/>
        </w:rPr>
      </w:pPr>
      <w:r>
        <w:rPr>
          <w:rFonts w:ascii="Times New Roman" w:cs="Times New Roman" w:eastAsia="Times New Roman" w:hAnsi="Times New Roman"/>
          <w:sz w:val="11"/>
          <w:szCs w:val="11"/>
          <w:b w:val="1"/>
          <w:bCs w:val="1"/>
          <w:u w:val="single" w:color="auto"/>
          <w:color w:val="auto"/>
        </w:rPr>
        <w:t>Derivative Activity Gains (Losses)</w:t>
      </w:r>
      <w:r>
        <w:rPr>
          <w:sz w:val="20"/>
          <w:szCs w:val="20"/>
          <w:color w:val="auto"/>
        </w:rPr>
        <w:tab/>
      </w: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2024</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Changes in fair value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Fair Value Hierarchy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5180" w:type="dxa"/>
        <w:tblCellMar>
          <w:top w:w="0" w:type="dxa"/>
          <w:left w:w="0" w:type="dxa"/>
          <w:bottom w:w="0" w:type="dxa"/>
          <w:right w:w="0" w:type="dxa"/>
        </w:tblCellMar>
      </w:tblPr>
      <w:tr>
        <w:trPr>
          <w:trHeight w:val="186"/>
        </w:trPr>
        <w:tc>
          <w:tcPr>
            <w:tcW w:w="46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0"/>
        </w:trPr>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4"/>
        </w:trPr>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-262255</wp:posOffset>
            </wp:positionV>
            <wp:extent cx="716153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Fair value of contracts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401510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15105" cy="6985"/>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Maturity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Greater Than 1 Year</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Greater Than 3 Years</w:t>
            </w:r>
          </w:p>
        </w:tc>
        <w:tc>
          <w:tcPr>
            <w:tcW w:w="14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Total Fair</w:t>
            </w:r>
          </w:p>
        </w:tc>
      </w:tr>
      <w:tr>
        <w:trPr>
          <w:trHeight w:val="169"/>
        </w:trPr>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32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to 3 Years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to 5 Years</w:t>
            </w:r>
          </w:p>
        </w:tc>
        <w:tc>
          <w:tcPr>
            <w:tcW w:w="1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Greater Than 5 Years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49"/>
        </w:trPr>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4240" w:space="720"/>
            <w:col w:w="6320"/>
          </w:cols>
          <w:pgMar w:left="300" w:top="897"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w w:val="99"/>
              </w:rPr>
              <w:t>51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5"/>
              </w:rPr>
              <w:t>116</w:t>
            </w:r>
          </w:p>
        </w:tc>
      </w:tr>
      <w:tr>
        <w:trPr>
          <w:trHeight w:val="18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w w:val="94"/>
              </w:rPr>
              <w:t>(37)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color w:val="auto"/>
                <w:w w:val="98"/>
              </w:rPr>
              <w:t>(320)</w:t>
            </w:r>
          </w:p>
        </w:tc>
      </w:tr>
      <w:tr>
        <w:trPr>
          <w:trHeight w:val="196"/>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4"/>
              </w:rPr>
              <w:t>(23)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8"/>
              </w:rPr>
              <w:t>(204)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summarized in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determining the fair value of financial instruments.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67" w:name="page68"/>
    <w:bookmarkEnd w:id="67"/>
    <w:tbl>
      <w:tblPr>
        <w:tblLayout w:type="fixed"/>
        <w:tblInd w:w="20" w:type="dxa"/>
        <w:tblCellMar>
          <w:top w:w="0" w:type="dxa"/>
          <w:left w:w="0" w:type="dxa"/>
          <w:bottom w:w="0" w:type="dxa"/>
          <w:right w:w="0" w:type="dxa"/>
        </w:tblCellMar>
      </w:tblPr>
      <w:tr>
        <w:trPr>
          <w:trHeight w:val="126"/>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Accounting Policy</w:t>
            </w:r>
          </w:p>
        </w:tc>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Judgments/Uncertainties Affecting Application</w:t>
            </w:r>
          </w:p>
        </w:tc>
      </w:tr>
      <w:tr>
        <w:trPr>
          <w:trHeight w:val="22"/>
        </w:trPr>
        <w:tc>
          <w:tcPr>
            <w:tcW w:w="88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Taxes and Valuation Allowance for Deferred Tax Assets</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Ability to withstand legal challenges of tax authority decisions or appeals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Anticipated future decisions of tax authorities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tax statutes and regulations to transactions</w:t>
            </w:r>
          </w:p>
        </w:tc>
      </w:tr>
      <w:tr>
        <w:trPr>
          <w:trHeight w:val="142"/>
        </w:trPr>
        <w:tc>
          <w:tcPr>
            <w:tcW w:w="8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Ability to utilize tax benefits through carry backs to prior periods and carryforwards to</w:t>
            </w:r>
          </w:p>
        </w:tc>
      </w:tr>
      <w:tr>
        <w:trPr>
          <w:trHeight w:val="184"/>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periods</w:t>
            </w:r>
          </w:p>
        </w:tc>
      </w:tr>
      <w:tr>
        <w:trPr>
          <w:trHeight w:val="18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Hypothetical Liquidation at Book Value (HLBV)</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Estimates of taxable income (loss) and tax capital accounts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calculation of specified target investor returns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liquidation provisions of operating agreements</w:t>
            </w:r>
          </w:p>
        </w:tc>
      </w:tr>
      <w:tr>
        <w:trPr>
          <w:trHeight w:val="14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Financial Instruments</w:t>
            </w:r>
          </w:p>
        </w:tc>
        <w:tc>
          <w:tcPr>
            <w:tcW w:w="5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Use of unobservable market inputs such as future electricity prices, future interest rates and</w:t>
            </w:r>
          </w:p>
        </w:tc>
      </w:tr>
      <w:tr>
        <w:trPr>
          <w:trHeight w:val="184"/>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Income Taxes and Valuation Allowance for Deferred Tax Assets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Hypothetical Liquidation at Book Value (HLBV)</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Certain portions of the Company’s redeemable noncontrolling interest in subsidiaries and noncontrolling interest represent third-party interests in the net assets under tax equity arrangements, which are consolidated by the Company, that were established to finance the cost of facilities eligible for certain tax credits and benefits. The Company has determined that the provisions in the contractual agreements of these redeemable noncontrolling interests and noncontrolling interests represent substantive profit sharing arrangements. Further, the Company has determined that the appropriate methodology for calculating the redeemable noncontrolling and noncontrolling interest that reflects the substantive profit sharing arrangements is a balance sheet approach utilizing the HLBV method. Under the HLBV method, the amounts reported as redeemable noncontrolling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operations using a systematic and rational method over the period during which the investor is expected to achieve its target return. In certain cases, the Company must apply judgment in determining the methodology for applying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for more information.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231F20"/>
        </w:rPr>
        <w:t xml:space="preserve"> for more information.</w:t>
      </w:r>
    </w:p>
    <w:p>
      <w:pPr>
        <w:spacing w:after="0" w:line="26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and most of its subsidiaries enter into interest rate swaps intended to hedge the risks associated with interest rates on non-recourse facility level debt or any potential refinancing of the Senior Notes.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for more information about interest rate swaps of the Company’s subsidiaries.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above swaps had been discontinued on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the counterparties would have owed the Company $116 million.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a 1% change in interest rates would result in an approximately $6 million change in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the fair value of the Company’s debt was $8,382 million and the carrying value was $8,676 million. The Company estimates that a 1% decrease in market interest rates would have increased the fair value of its long-term debt by $291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for more information about concentration of credit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statements and schedules are listed in Part IV, Item 15 of this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previously reported in the Company’s Current Report on Form 8-K filed on May 10, 2024, the Audit Committee of the Board of Directors of the Company dismissed Ernst &amp; Young LLP as the Company’s independent registered public accounting firm and appointed PricewaterhouseCoopers LLP, an independent registered public accounting firm, to audit the consolidated financial statements of the Company and its subsidiaries for the fiscal year ended December 31, 2024. For more information, please refer to the Company’s Current Report on Form 8-K filed on May 10,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its principal financial officer and its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not effective as of December 31, 2025, the end of the period covered by this Annual Report on Form 10-K, as a result of the material weakness in internal control over financial reporting identified during the fourth quarter of 2025, as described below.</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Notwithstanding the identified material weakness, as of the date of the filing of this Annual Report on Form 10-K, the Company’s management believes that the audited consolidated financial statements contained in this Annual Report on Form 10-K fairly present, in all material respects, the Company’s financial position, results of operations and cash flows for the periods presented and such financial statements are presented in accordance with GAAP.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Inherent Limitations over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internal control over financial reporting is a process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82" w:lineRule="exact"/>
        <w:rPr>
          <w:sz w:val="20"/>
          <w:szCs w:val="20"/>
          <w:color w:val="auto"/>
        </w:rPr>
      </w:pPr>
    </w:p>
    <w:p>
      <w:pPr>
        <w:ind w:left="460" w:hanging="137"/>
        <w:spacing w:after="0"/>
        <w:tabs>
          <w:tab w:leader="none" w:pos="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136" w:lineRule="exact"/>
        <w:rPr>
          <w:rFonts w:ascii="Times New Roman" w:cs="Times New Roman" w:eastAsia="Times New Roman" w:hAnsi="Times New Roman"/>
          <w:sz w:val="14"/>
          <w:szCs w:val="14"/>
          <w:color w:val="auto"/>
        </w:rPr>
      </w:pPr>
    </w:p>
    <w:p>
      <w:pPr>
        <w:ind w:firstLine="323"/>
        <w:spacing w:after="0" w:line="287" w:lineRule="auto"/>
        <w:tabs>
          <w:tab w:leader="none" w:pos="46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4"/>
          <w:szCs w:val="14"/>
          <w:color w:val="auto"/>
        </w:rPr>
      </w:pPr>
    </w:p>
    <w:p>
      <w:pPr>
        <w:ind w:firstLine="323"/>
        <w:spacing w:after="0" w:line="287" w:lineRule="auto"/>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adequate internal control over financial reporting, as such term is defined in Exchange Act Rule 13a-15(f) or 15d-15(f). Under the supervision and with the participation of the Company’s management, including its principal executive officer, its principal financial officer and its principal accounting officer, the Company conducted an evaluation of the effectiveness of the Company’s internal control over financial reporting as of December 31, 2025 using the criteria described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Company’s annual or interim consolidated financial statements may not be prevented or detected on a timely basis.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71" w:name="page72"/>
    <w:bookmarkEnd w:id="71"/>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Based on the evaluation described above, the Company’s management identified a material weakness in its internal control over financial reporting due to ineffective controls over the review of certain calculations of hypothetical liquidation at book value (HLBV) accounting used to allocate net income (loss) to the Company’s redeemable noncontrolling interests and noncontrolling interests in tax equity partnerships. This material weakness resulted in immaterial errors in the previously issued Quarterly Reports on Form 10-Q for the interim periods within the fiscal year ended December 31, 2025, which is disclosed in Note 18, </w:t>
      </w:r>
      <w:r>
        <w:rPr>
          <w:rFonts w:ascii="Times New Roman" w:cs="Times New Roman" w:eastAsia="Times New Roman" w:hAnsi="Times New Roman"/>
          <w:sz w:val="14"/>
          <w:szCs w:val="14"/>
          <w:i w:val="1"/>
          <w:iCs w:val="1"/>
          <w:color w:val="auto"/>
        </w:rPr>
        <w:t>Revision of Previously Issued Unaudited Financial Information (Unaudited)</w:t>
      </w:r>
      <w:r>
        <w:rPr>
          <w:rFonts w:ascii="Times New Roman" w:cs="Times New Roman" w:eastAsia="Times New Roman" w:hAnsi="Times New Roman"/>
          <w:sz w:val="14"/>
          <w:szCs w:val="14"/>
          <w:color w:val="auto"/>
        </w:rPr>
        <w:t>. Additionally, the material weakness could result in misstatements of the aforementioned account balances that would result in a material misstatement of the Company’s annual or interim consolidated financial statements that would not be prevented or detected. As a result of the material weakness described above, management has concluded that the Company’s internal control over financial reporting was not effective as of December 31, 2025.</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effectiveness of the Company’s internal control over financial reporting as of December 31, 2025, has been audited by PricewaterhouseCoopers LLP, an independent registered public accounting firm, as stated in their report which is included in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 Remediation Plan and Activities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committed to addressing the material weakness described above and has begun to implement changes in processes designed to improve its internal control over financial reporting. To remediate the material weakness, the Company has implemented enhancements to its existing controls over the review of HLBV calculations used to allocate net income (loss) to the Company’s redeemable noncontrolling interests and noncontrolling interests in tax equity arrangements. These enhancements include (i) additional procedures to review the completeness and accuracy of key inputs and the mathematical accuracy of HLBV models during funding periods, (ii) the use of additional review tools to ensure that unique circumstances related to funding periods are reflected accurately and (iii) increased precision in the review of HLBV models, including specific procedures designed to identify and evaluate changes to the models subsequent to their initial setup, as well as additional levels of review for model updates, contract amendments and during funding periods. During the fourth quarter of 2025, the Company effectively operated the enhanced controls over the review of HLBV calculations.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Although the Company is in the process of remediating the material weakness and believes, based on its evaluation to date, that the material weakness will be remediated in a timely fashion, it cannot provide assurance that this will occur within a specific timeframe. The material weakness will not be remediated until all necessary internal controls have been tested and determined to be operating effectively for a sufficient period of time. In addition, the Company may need to take additional measures to address the material weakness or modify the planned remediation steps.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than the identified enhancements discussed in the “Material Weakness Remediation Plan and Activities” section above, there were no changes in the Company’s internal control over financial reporting (as such term is defined in Rule 13a-15(f) or 15d-15(f) under the Exchange Act) during the quarter ended December 31, 2025, that materially affected, or are reasonably likely to materially affect, the Company’s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Information about Directors, Executive Officers and Corporate 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Nathaniel Anschuetz, 38, </w:t>
      </w:r>
      <w:r>
        <w:rPr>
          <w:rFonts w:ascii="Times New Roman" w:cs="Times New Roman" w:eastAsia="Times New Roman" w:hAnsi="Times New Roman"/>
          <w:sz w:val="14"/>
          <w:szCs w:val="14"/>
          <w:color w:val="auto"/>
        </w:rPr>
        <w:t>has served as a director since August 2018. Mr. Anschuetz is a Partner at GIP. Prior to joining GIP in 2012, Mr. Anschuetz was an Analyst in the Power &amp; Utilities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Coverage Group at Citigroup from June 2010 through June 2012. Mr. Anschuetz is also a member of the board of directors of Zephyr Acquisition Holdings, L.P., or Zephyr Acquisition Holdings, the indirect parent of CEG and Eolian, L.P. 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Jonathan Bram, 60, </w:t>
      </w:r>
      <w:r>
        <w:rPr>
          <w:rFonts w:ascii="Times New Roman" w:cs="Times New Roman" w:eastAsia="Times New Roman" w:hAnsi="Times New Roman"/>
          <w:sz w:val="14"/>
          <w:szCs w:val="14"/>
          <w:color w:val="auto"/>
        </w:rPr>
        <w:t>has served as a director and Chairman of the Company’s Board of Directors since August 2018. Mr. Bram is a Senior Managing Director and Founding Partner at GIP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serves on its Equity and Credit Investment Committees.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Allete, Eolian, L.P.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0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Brian R. Ford, 77, </w:t>
      </w:r>
      <w:r>
        <w:rPr>
          <w:rFonts w:ascii="Times New Roman" w:cs="Times New Roman" w:eastAsia="Times New Roman" w:hAnsi="Times New Roman"/>
          <w:sz w:val="14"/>
          <w:szCs w:val="14"/>
          <w:color w:val="auto"/>
        </w:rPr>
        <w:t>has served as a director since July 2013 and Lead Independent Director since January 2019. Mr. Ford was the Chief Executive Officer of Washington Philadelphia Partners,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99"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Bruce MacLennan, 59, </w:t>
      </w:r>
      <w:r>
        <w:rPr>
          <w:rFonts w:ascii="Times New Roman" w:cs="Times New Roman" w:eastAsia="Times New Roman" w:hAnsi="Times New Roman"/>
          <w:sz w:val="14"/>
          <w:szCs w:val="14"/>
          <w:color w:val="auto"/>
        </w:rPr>
        <w:t>has served as a director since August 2018. Mr. MacLennan is a Partner at GIP and focuses on the energy and power sectors. Prior to joining GIP at its formation in 2006,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Greenlane Infrastructure,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Company’s Board of Directors.</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Daniel B. More, 69, </w:t>
      </w:r>
      <w:r>
        <w:rPr>
          <w:rFonts w:ascii="Times New Roman" w:cs="Times New Roman" w:eastAsia="Times New Roman" w:hAnsi="Times New Roman"/>
          <w:sz w:val="14"/>
          <w:szCs w:val="14"/>
          <w:color w:val="auto"/>
        </w:rPr>
        <w:t>has served as a director since February 2019. Mr. More was a Senior Advisor with Guggenheim Securities from October 2015 until August 2025. Mr. More retired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E. Stanley O’Neal, 74, </w:t>
      </w:r>
      <w:r>
        <w:rPr>
          <w:rFonts w:ascii="Times New Roman" w:cs="Times New Roman" w:eastAsia="Times New Roman" w:hAnsi="Times New Roman"/>
          <w:sz w:val="14"/>
          <w:szCs w:val="14"/>
          <w:color w:val="auto"/>
        </w:rPr>
        <w:t>has served as a director since August 2018. Mr. O’Neal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erved as Chairman of the Board and Chief Executive Officer of Merrill Lynch &amp; Co., Inc. until October 2007.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and member of the audit committee of Hut 8 Corp, a cryptocurrency mining company, which was formed in November 2023 as a merger between Hut 8 Mining Corp and U.S. Data Mining Group, Inc. Mr. O’Neal is also a member of the board of directors of Allete. Mr. O’Neal was a director of General Motors Corporation from 2001 to 2006, chairman of the board of Merrill Lynch &amp; Co., Inc. from 2003 to 2007, a director of American Beacon Advisors, Inc. (investment advisor registered with the SEC) from 2009 to September 2012 and a director of Arconic Corp., an aluminum manufacturing company, from 2020 to 2023. Mr. O’Neal’s extensive executive experience, financial expertise and leadership skills enable him to provide unique guidance to the Board of Directors and the Company’s management team.</w:t>
      </w:r>
    </w:p>
    <w:p>
      <w:pPr>
        <w:spacing w:after="0" w:line="10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Jennifer Lowry, 57, </w:t>
      </w:r>
      <w:r>
        <w:rPr>
          <w:rFonts w:ascii="Times New Roman" w:cs="Times New Roman" w:eastAsia="Times New Roman" w:hAnsi="Times New Roman"/>
          <w:sz w:val="14"/>
          <w:szCs w:val="14"/>
          <w:color w:val="auto"/>
        </w:rPr>
        <w:t>has served as a director since February 2022. Ms. Lowry served as Vice President of Risk, Treasury and Corporate Finance for McCormick &amp; Company, Inc. from October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served on the board of TPI Composites, Inc. from November 2024 to May 2025. As of May 2025, she serves on the board of MGP Ingredients as chair of the audit committee.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Olivier Jouny, 45, </w:t>
      </w:r>
      <w:r>
        <w:rPr>
          <w:rFonts w:ascii="Times New Roman" w:cs="Times New Roman" w:eastAsia="Times New Roman" w:hAnsi="Times New Roman"/>
          <w:sz w:val="14"/>
          <w:szCs w:val="14"/>
          <w:color w:val="auto"/>
        </w:rPr>
        <w:t>has served as a director since October 2024. Mr. Jouny currently serves as Senior Vice President of the Renewables division of TotalEnergies. He began his career in the Gas</w:t>
      </w:r>
    </w:p>
    <w:p>
      <w:pPr>
        <w:spacing w:after="0" w:line="25" w:lineRule="exact"/>
        <w:rPr>
          <w:sz w:val="20"/>
          <w:szCs w:val="20"/>
          <w:color w:val="auto"/>
        </w:rPr>
      </w:pPr>
    </w:p>
    <w:p>
      <w:pPr>
        <w:jc w:val="both"/>
        <w:ind w:firstLine="5"/>
        <w:spacing w:after="0" w:line="255" w:lineRule="auto"/>
        <w:tabs>
          <w:tab w:leader="none" w:pos="16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Division of TotalEnergies, serving in marketing activities on the European gas markets and then LNG downstream developments in North &amp; Central Americas.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In September 2016, he joined the Marketing &amp; Services branch where he was appointed Managing Director of Total Marine Fuels, TotalEnergies’ worldwide business unit in charge of bunkering activities, based in Singapore. Mr. Jouny then served as Managing Director of TotalEnergies E&amp;P in Angola. He was, during this period, also the country chair for TotalEnergies in Angola. From January 2023 to August 2024, he was Senior Vice President of the Integrated Power division of TotalEnergies within the Gas, Renewables and Power branch, where he developed an expertise in electricity markets and flexible power generation assets. Mr. Jouny graduated as a mechanical engineer from the Mines Paris Tech. Mr. Jouny’s engineering, energy and leadership experience provides significant value to the Company’s Board of Directors.</w:t>
      </w:r>
    </w:p>
    <w:p>
      <w:pPr>
        <w:spacing w:after="0" w:line="102"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Marc-Antoine Pignon, 41, </w:t>
      </w:r>
      <w:r>
        <w:rPr>
          <w:rFonts w:ascii="Times New Roman" w:cs="Times New Roman" w:eastAsia="Times New Roman" w:hAnsi="Times New Roman"/>
          <w:sz w:val="14"/>
          <w:szCs w:val="14"/>
          <w:color w:val="auto"/>
        </w:rPr>
        <w:t>has served as a director since December 2024. Mr. Pignon currently serves as Chief Executive Officer of TotalEnergies Renewables USA. He has been employed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Company’s Board of Directors.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4" w:name="page75"/>
    <w:bookmarkEnd w:id="74"/>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Paige Goodwin, 41</w:t>
      </w:r>
      <w:r>
        <w:rPr>
          <w:rFonts w:ascii="Times New Roman" w:cs="Times New Roman" w:eastAsia="Times New Roman" w:hAnsi="Times New Roman"/>
          <w:sz w:val="14"/>
          <w:szCs w:val="14"/>
          <w:color w:val="auto"/>
        </w:rPr>
        <w:t>, has served as a director since July 2025. Ms. Goodwin currently serves as VP – U.S. Renewables Portfolio for TotalEnergies. She has been employed by TotalEnergies since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2014 and has held a variety of business and legal leadership roles, including as Senior Manager – U.S. Petrochemicals JVs and New Ventures; Assistant General Counsel – U.S. Litigation; and Assistant General Counsel – U.S. Refining &amp; Chemicals. Prior to joining TotalEnergies, Ms. Goodwin was a litigation attorney at Baker Botts L.L.P. in Houston, Texas. Ms. Goodwin received her Juris Doctor from the University of Pennsylvania Law School, and her Bachelor of Arts from Duke University. Ms. Goodwin’s legal, energy industry and leadership experience provides significant value to the Board.</w:t>
      </w:r>
    </w:p>
    <w:p>
      <w:pPr>
        <w:spacing w:after="0" w:line="9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Craig Cornelius, 46, </w:t>
      </w:r>
      <w:r>
        <w:rPr>
          <w:rFonts w:ascii="Times New Roman" w:cs="Times New Roman" w:eastAsia="Times New Roman" w:hAnsi="Times New Roman"/>
          <w:sz w:val="14"/>
          <w:szCs w:val="14"/>
          <w:color w:val="auto"/>
        </w:rPr>
        <w:t>has served as President and Chief Executive Officer of the Company since July 2024 and as a director of the Company since July 2024. He has been CEG’s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since its formation through a spin-out of NRG Energy, Inc.’s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Mr. Cornelius is also a member of the board of directors of Sunrun Inc., where he also serves as a member of its audit committee and nominating, governance and sustainability committee. As President and Chief Executive Officer of the Company, Mr. Cornelius provides the Board of Directors with management’s perspective regarding the Company’s day to day operations and overall strategic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Craig Cornelius </w:t>
      </w:r>
      <w:r>
        <w:rPr>
          <w:rFonts w:ascii="Times New Roman" w:cs="Times New Roman" w:eastAsia="Times New Roman" w:hAnsi="Times New Roman"/>
          <w:sz w:val="14"/>
          <w:szCs w:val="14"/>
          <w:color w:val="auto"/>
        </w:rPr>
        <w:t>has served as President and Chief Executive Officer and as a director of the Company since July 2024. For additional biographical information for Mr. Cornelius, see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“Directors.”</w:t>
      </w:r>
    </w:p>
    <w:p>
      <w:pPr>
        <w:spacing w:after="0" w:line="7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Sarah Rubenstein, 48, </w:t>
      </w:r>
      <w:r>
        <w:rPr>
          <w:rFonts w:ascii="Times New Roman" w:cs="Times New Roman" w:eastAsia="Times New Roman" w:hAnsi="Times New Roman"/>
          <w:sz w:val="14"/>
          <w:szCs w:val="14"/>
          <w:color w:val="auto"/>
        </w:rPr>
        <w:t>has served as Executive Vice President and Chief Financial Officer of the Company since April 2023 and previously served as Senior Vice President and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Kevin P. Malcarney, 59, </w:t>
      </w:r>
      <w:r>
        <w:rPr>
          <w:rFonts w:ascii="Times New Roman" w:cs="Times New Roman" w:eastAsia="Times New Roman" w:hAnsi="Times New Roman"/>
          <w:sz w:val="14"/>
          <w:szCs w:val="14"/>
          <w:color w:val="auto"/>
        </w:rPr>
        <w:t>has served as the Company’s General Counsel, Corporate Secretary and Chief Compliance Officer since May 2018, and was promoted from Senior Vice President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Times New Roman" w:cs="Times New Roman" w:eastAsia="Times New Roman" w:hAnsi="Times New Roman"/>
          <w:sz w:val="14"/>
          <w:szCs w:val="14"/>
          <w:i w:val="1"/>
          <w:iCs w:val="1"/>
          <w:color w:val="auto"/>
        </w:rPr>
        <w:t xml:space="preserve">http://www.clearwayenergy.com. </w:t>
      </w:r>
      <w:r>
        <w:rPr>
          <w:rFonts w:ascii="Times New Roman" w:cs="Times New Roman" w:eastAsia="Times New Roman" w:hAnsi="Times New Roman"/>
          <w:sz w:val="14"/>
          <w:szCs w:val="14"/>
          <w:color w:val="auto"/>
        </w:rPr>
        <w:t>The Company also elects to disclose the information required by Form 8-K, Item 5.05, “Amendments to the Registrant’s Code of Ethics, or Waiver of a Provision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information required by this Item will be incorporated by reference to the similarly named section of the Company’s Definitive Proxy Statement for its 2026 Annual Meeting of Stockholders.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2026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the Clearway Energy, Inc. Amended and Restated 2013 Equity Compensation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w:t>
            </w: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(b)</w:t>
            </w:r>
          </w:p>
        </w:tc>
        <w:tc>
          <w:tcPr>
            <w:tcW w:w="1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Remaining Available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20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for Future Issuance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9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to be Issued Upon</w:t>
            </w:r>
          </w:p>
        </w:tc>
        <w:tc>
          <w:tcPr>
            <w:tcW w:w="200" w:type="dxa"/>
            <w:vAlign w:val="bottom"/>
          </w:tcPr>
          <w:p>
            <w:pPr>
              <w:spacing w:after="0"/>
              <w:rPr>
                <w:sz w:val="10"/>
                <w:szCs w:val="10"/>
                <w:color w:val="auto"/>
              </w:rPr>
            </w:pPr>
          </w:p>
        </w:tc>
        <w:tc>
          <w:tcPr>
            <w:tcW w:w="18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9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Under Equity Compensation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200" w:type="dxa"/>
            <w:vAlign w:val="bottom"/>
          </w:tcPr>
          <w:p>
            <w:pPr>
              <w:spacing w:after="0"/>
              <w:rPr>
                <w:sz w:val="9"/>
                <w:szCs w:val="9"/>
                <w:color w:val="auto"/>
              </w:rPr>
            </w:pPr>
          </w:p>
        </w:tc>
        <w:tc>
          <w:tcPr>
            <w:tcW w:w="1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Price of Outstanding</w:t>
            </w:r>
          </w:p>
        </w:tc>
        <w:tc>
          <w:tcPr>
            <w:tcW w:w="1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Plans (Excluding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9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200" w:type="dxa"/>
            <w:vAlign w:val="bottom"/>
          </w:tcPr>
          <w:p>
            <w:pPr>
              <w:spacing w:after="0"/>
              <w:rPr>
                <w:sz w:val="9"/>
                <w:szCs w:val="9"/>
                <w:color w:val="auto"/>
              </w:rPr>
            </w:pPr>
          </w:p>
        </w:tc>
        <w:tc>
          <w:tcPr>
            <w:tcW w:w="18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Options, Warrants and</w:t>
            </w: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 Reflected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gridSpan w:val="2"/>
            <w:vMerge w:val="continue"/>
          </w:tcPr>
          <w:p>
            <w:pPr>
              <w:spacing w:after="0"/>
              <w:rPr>
                <w:sz w:val="10"/>
                <w:szCs w:val="10"/>
                <w:color w:val="auto"/>
              </w:rPr>
            </w:pPr>
          </w:p>
        </w:tc>
        <w:tc>
          <w:tcPr>
            <w:tcW w:w="198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Warrants and Rights</w:t>
            </w:r>
          </w:p>
        </w:tc>
        <w:tc>
          <w:tcPr>
            <w:tcW w:w="200" w:type="dxa"/>
            <w:vAlign w:val="bottom"/>
          </w:tcPr>
          <w:p>
            <w:pPr>
              <w:spacing w:after="0"/>
              <w:rPr>
                <w:sz w:val="10"/>
                <w:szCs w:val="10"/>
                <w:color w:val="auto"/>
              </w:rPr>
            </w:pPr>
          </w:p>
        </w:tc>
        <w:tc>
          <w:tcPr>
            <w:tcW w:w="180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1"/>
                <w:szCs w:val="11"/>
                <w:b w:val="1"/>
                <w:bCs w:val="1"/>
                <w:color w:val="auto"/>
              </w:rPr>
              <w:t>Rights</w:t>
            </w:r>
          </w:p>
        </w:tc>
        <w:tc>
          <w:tcPr>
            <w:tcW w:w="190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rPr>
              <w:t xml:space="preserve">in Column (a)) </w:t>
            </w:r>
            <w:r>
              <w:rPr>
                <w:rFonts w:ascii="Times New Roman" w:cs="Times New Roman" w:eastAsia="Times New Roman" w:hAnsi="Times New Roman"/>
                <w:sz w:val="11"/>
                <w:szCs w:val="11"/>
                <w:b w:val="1"/>
                <w:bCs w:val="1"/>
                <w:color w:val="auto"/>
                <w:vertAlign w:val="superscript"/>
              </w:rPr>
              <w:t>(1)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 - Class A common stock</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center"/>
              <w:ind w:left="1417"/>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 - Class C 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left="1317"/>
              <w:spacing w:after="0"/>
              <w:rPr>
                <w:sz w:val="20"/>
                <w:szCs w:val="20"/>
                <w:color w:val="auto"/>
              </w:rPr>
            </w:pPr>
            <w:r>
              <w:rPr>
                <w:rFonts w:ascii="Times New Roman" w:cs="Times New Roman" w:eastAsia="Times New Roman" w:hAnsi="Times New Roman"/>
                <w:sz w:val="14"/>
                <w:szCs w:val="14"/>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2,561,831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left="1297"/>
              <w:spacing w:after="0"/>
              <w:rPr>
                <w:sz w:val="20"/>
                <w:szCs w:val="20"/>
                <w:color w:val="auto"/>
              </w:rPr>
            </w:pPr>
            <w:r>
              <w:rPr>
                <w:rFonts w:ascii="Times New Roman" w:cs="Times New Roman" w:eastAsia="Times New Roman" w:hAnsi="Times New Roman"/>
                <w:sz w:val="14"/>
                <w:szCs w:val="14"/>
                <w:color w:val="auto"/>
                <w:w w:val="99"/>
              </w:rPr>
              <w:t>N/A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754,881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center"/>
              <w:ind w:left="1417"/>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8" w:lineRule="exact"/>
        <w:rPr>
          <w:sz w:val="20"/>
          <w:szCs w:val="20"/>
          <w:color w:val="auto"/>
        </w:rPr>
      </w:pPr>
    </w:p>
    <w:p>
      <w:pPr>
        <w:ind w:left="200" w:hanging="131"/>
        <w:spacing w:after="0"/>
        <w:tabs>
          <w:tab w:leader="none" w:pos="200"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2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Other information required by this Item will be incorporated by reference to the similarly named section of the Company’s Definitive Proxy Statement for its 2026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2026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2026 Annual Meeting of Stockholders.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36" w:lineRule="exact"/>
        <w:rPr>
          <w:sz w:val="20"/>
          <w:szCs w:val="20"/>
          <w:color w:val="auto"/>
        </w:rPr>
      </w:pPr>
    </w:p>
    <w:p>
      <w:pPr>
        <w:jc w:val="center"/>
        <w:ind w:left="880"/>
        <w:spacing w:after="0" w:line="287" w:lineRule="auto"/>
        <w:rPr>
          <w:sz w:val="20"/>
          <w:szCs w:val="20"/>
          <w:color w:val="auto"/>
        </w:rPr>
      </w:pPr>
      <w:r>
        <w:rPr>
          <w:rFonts w:ascii="Times New Roman" w:cs="Times New Roman" w:eastAsia="Times New Roman" w:hAnsi="Times New Roman"/>
          <w:sz w:val="14"/>
          <w:szCs w:val="14"/>
          <w:color w:val="auto"/>
        </w:rPr>
        <w:t>The following consolidated financial statements of Clearway Energy, Inc. and related notes thereto, together with the Report of Independent Registered Public Accounting Firm of PricewaterhouseCoopers LLP (PCAOB ID: 238) and Report of Independent Registered Public Accounting Firm of Ernst &amp; Young LLP (PCAOB ID: 42) thereon, are included herein:</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Operations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Comprehensive Income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Balance Sheets — As of December 31, 2025 and 2024</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Stockholders’ Equity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schedules of Clearway Energy, Inc. are filed as part of Item 15 of this report and should be read in conjunction with the Consolidated Financial Statements:</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Schedule I — Clearway Energy, Inc. (Parent) Condensed Financial Statements as of December 31, 2025 and 2024 and for the years ended December 31, 2025, 2024 and 2023, are included in Clearway Energy, Inc.’s Annual Report on Form 10-K pursuant to the requirements of Rule 5-04(c) of Regulation S-X</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Schedule II — Valuation and Qualifying Accounts for the years ended December 31, 2025, 2024 and 2023</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(a)(3) Exhibits: See Exhibit Index submitted as a separate section of this report</w:t>
      </w:r>
    </w:p>
    <w:p>
      <w:pPr>
        <w:spacing w:after="0" w:line="136" w:lineRule="exact"/>
        <w:rPr>
          <w:sz w:val="20"/>
          <w:szCs w:val="20"/>
          <w:color w:val="auto"/>
        </w:rPr>
      </w:pPr>
    </w:p>
    <w:p>
      <w:pPr>
        <w:ind w:left="580" w:hanging="193"/>
        <w:spacing w:after="0"/>
        <w:tabs>
          <w:tab w:leader="none" w:pos="5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Index submitted as a separate section of this report</w:t>
      </w:r>
    </w:p>
    <w:p>
      <w:pPr>
        <w:spacing w:after="0" w:line="136"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Clearway Energy,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Clearway Energy, Inc. and its subsidiaries (the “Company”) as of December 31, 2025 and 2024, and the related consolidated statements of operations, of comprehensive income, of stockholders’ equity and of cash flows for the years then ended, including the related notes and schedule of Clearway Energy, Inc. (Parent) condensed financial statements as of December 31, 2025 and 2024 and for the years then ended and schedule of valuation and qualifying accounts for the years ended December 31, 2025 and 2024 appearing under Item 15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COSO because a material weakness in internal control over financial reporting existed as of that date related to ineffective controls over the review of certain calculations of hypothetical liquidation at book value (HLBV) accounting used to allocate net income (loss) to redeemable noncontrolling interests and noncontrolling interests in tax equity partnerships.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r>
        <w:rPr>
          <w:rFonts w:ascii="Times New Roman" w:cs="Times New Roman" w:eastAsia="Times New Roman" w:hAnsi="Times New Roman"/>
          <w:sz w:val="14"/>
          <w:szCs w:val="14"/>
          <w:b w:val="1"/>
          <w:bCs w:val="1"/>
          <w:color w:val="auto"/>
        </w:rPr>
        <w: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w:t>
      </w:r>
      <w:r>
        <w:rPr>
          <w:rFonts w:ascii="Times New Roman" w:cs="Times New Roman" w:eastAsia="Times New Roman" w:hAnsi="Times New Roman"/>
          <w:sz w:val="14"/>
          <w:szCs w:val="14"/>
          <w:i w:val="1"/>
          <w:iCs w:val="1"/>
          <w:color w:val="auto"/>
        </w:rPr>
        <w:t>g</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Hypothetical Liquidation at Book Value (HLBV) Calculation of Net Loss Attributable to Redeemable Noncontrolling Interests and Noncontrolling Interests in Tax Equity Arrangements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certain portions of the Company’s redeemable noncontrolling interest in subsidiaries and noncontrolling interest represent third-party interests in the net assets under tax equity arrangements, which are consolidated by the Company, that have been entered into to finance the cost of facilities eligible for certain tax credits and benefits. Management has determined that the provisions in the contractual agreements of these redeemable noncontrolling interests and noncontrolling interests represent substantive profit-sharing arrangements, for which management uses a balance sheet approach utilizing the hypothetical liquidation at book value, or HLBV, method to calculate the redeemable noncontrolling interest and noncontrolling interest.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 disclosed by management, management must apply judgment in determining the methodology for applying the HLBV method and changes in certain factors may have a significant impact on the amounts that an investor would receive upon a hypothetical liquidation. For the year ended December 31, 2025, the net loss attributable to noncontrolling interests and redeemable noncontrolling interests was $400 million, of which a majority represents third-party interests in the net assets under tax equity arrangements.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HLBV calculation of net loss attributable to redeemable noncontrolling interests and noncontrolling interests in tax equity arrangements is a critical audit matter are (i) the significant judgment by management in applying the HLBV method to determine the income or loss each redeemable noncontrolling interest and noncontrolling interest would hypothetically receive at each balance sheet date under the liquidation provisions of the contractual agreements; (ii) a high degree of auditor judgment, subjectivity, and effort in performing procedures and evaluating audit evidence related to management’s judgments applied in using the HLBV method to calculate the redeemable noncontrolling interests and noncontrolling interests in tax equity arrangements; and (iii) the audit effort involved the use of professionals with specialized skill and knowledge. As described in the “Opinions on the Financial Statements and Internal Control over Financial Reporting” section, a material weakness was identified related to this matter.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the control relating to management's assessment of the accounting model used for tax equity arrangements. These procedures also included, among others (i) testing the completeness and accuracy of the underlying data used by management and (ii) the involvement of professionals with specialized skill and knowledge to assist in (a) evaluating the appropriateness of the HLBV method based on the terms of the contractual agreements and (b) developing independent calculations of the income or loss attributable to the redeemable noncontrolling interests and noncontrolling interests based on the terms of the contractual agreements and comparing the independent calculations to management's calculations.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0" w:name="page81"/>
    <w:bookmarkEnd w:id="80"/>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Clearway Energy,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operations, comprehensive income, stockholders’ equity and cash flows of Clearway Energy, Inc. (the Company) for the year ended December 31, 2023, and the related notes and financial statement schedules listed in the Index at Item 15(a)(2)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2021 to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w w:val="99"/>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0" w:type="dxa"/>
            <w:vAlign w:val="bottom"/>
          </w:tcPr>
          <w:p>
            <w:pPr>
              <w:spacing w:after="0"/>
              <w:rPr>
                <w:sz w:val="1"/>
                <w:szCs w:val="1"/>
                <w:color w:val="auto"/>
              </w:rPr>
            </w:pPr>
          </w:p>
        </w:tc>
      </w:tr>
      <w:tr>
        <w:trPr>
          <w:trHeight w:val="16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8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 Attributable to Clearway Energy, Inc. Class A and Class C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A common shares outstanding - basic and diluted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basic and diluted</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Earnings per Weighted Average Class A and Class C Common Share - Basic and Diluted</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Common Share</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940" w:type="dxa"/>
            <w:vAlign w:val="bottom"/>
            <w:vMerge w:val="continue"/>
          </w:tcPr>
          <w:p>
            <w:pPr>
              <w:spacing w:after="0"/>
              <w:rPr>
                <w:sz w:val="11"/>
                <w:szCs w:val="11"/>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Dividends Per Class C Common Share</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8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6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34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9"/>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Loss, net of tax</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Unrealized loss on derivatives and changes in accumulated OCI, net of income tax benefit of $(2), $(1) and $(1)</w:t>
            </w:r>
          </w:p>
        </w:tc>
        <w:tc>
          <w:tcPr>
            <w:tcW w:w="6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Comprehensive loss attributable to noncontrolling interests and redeemable noncontrolling interests</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8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Attributable to Clearway Energy, Inc.</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shares)</w:t>
            </w: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70"/>
        </w:trPr>
        <w:tc>
          <w:tcPr>
            <w:tcW w:w="76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 affiliates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9,944</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Right-of-use assets, net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0" w:type="dxa"/>
            <w:vAlign w:val="bottom"/>
          </w:tcPr>
          <w:p>
            <w:pPr>
              <w:spacing w:after="0"/>
              <w:rPr>
                <w:sz w:val="1"/>
                <w:szCs w:val="1"/>
                <w:color w:val="auto"/>
              </w:rPr>
            </w:pPr>
          </w:p>
        </w:tc>
      </w:tr>
      <w:tr>
        <w:trPr>
          <w:trHeight w:val="163"/>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40" w:type="dxa"/>
            <w:vAlign w:val="bottom"/>
            <w:shd w:val="clear" w:color="auto" w:fill="CCEEFF"/>
          </w:tcPr>
          <w:p>
            <w:pPr>
              <w:ind w:left="22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5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debt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8,047</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8,765</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w:t>
            </w: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A, Class B, Class C and Class D common stock, $0.01 par value; 3,000,000,000 shares authorized (Class A 500,000,000, Class B</w:t>
            </w: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500,000,000, Class C 1,000,000,000, Class D 1,000,000,000); 203,773,674 shares issued and outstanding (Class A 34,613,853, Class B</w:t>
            </w: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w w:val="98"/>
              </w:rPr>
              <w:t>42,738,750, Class C 84,844,929, Class D 41,576,142) at December 31, 2025 and 202,147,579 shares issued and outstanding (Class A 34,613,853,</w:t>
            </w:r>
          </w:p>
        </w:tc>
        <w:tc>
          <w:tcPr>
            <w:tcW w:w="2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B 42,738,750, Class C 82,833,226, Class D 41,961,750) at December 31, 2024</w:t>
            </w: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5,564</w:t>
            </w:r>
          </w:p>
        </w:tc>
        <w:tc>
          <w:tcPr>
            <w:tcW w:w="0" w:type="dxa"/>
            <w:vAlign w:val="bottom"/>
          </w:tcPr>
          <w:p>
            <w:pPr>
              <w:spacing w:after="0"/>
              <w:rPr>
                <w:sz w:val="1"/>
                <w:szCs w:val="1"/>
                <w:color w:val="auto"/>
              </w:rPr>
            </w:pPr>
          </w:p>
        </w:tc>
      </w:tr>
      <w:tr>
        <w:trPr>
          <w:trHeight w:val="163"/>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left="67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0"/>
        </w:trPr>
        <w:tc>
          <w:tcPr>
            <w:tcW w:w="8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8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financing costs and debt discounts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Reduction in carrying amount of right-of-use assets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Impairment losses</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deferred income taxes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derivative instruments and amortization of accumulated OCI</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other working capital</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w:t>
            </w:r>
          </w:p>
        </w:tc>
      </w:tr>
      <w:tr>
        <w:trPr>
          <w:trHeight w:val="15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Acquisition of Drop Down Assets, net of cash acquired</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transfer of assets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 for equipment deposit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for equipment deposit and asset purchase from affiliate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Return of investments from unconsolidated affiliates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Decrease (increase) in note receivable — affiliate</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w:t>
            </w:r>
          </w:p>
        </w:tc>
      </w:tr>
      <w:tr>
        <w:trPr>
          <w:trHeight w:val="15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the issuance of Class C common stock</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Payments of dividends and distributions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Pro-rata distributions to CEG</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Tax-related distributions</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Buyouts of noncontrolling interest and redeemable noncontrolling interest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the revolving credit facility</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Payments for the revolving credit facility</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Payments for long-term debt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w:t>
            </w:r>
          </w:p>
        </w:tc>
      </w:tr>
      <w:tr>
        <w:trPr>
          <w:trHeight w:val="16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6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w:t>
            </w:r>
          </w:p>
        </w:tc>
      </w:tr>
      <w:tr>
        <w:trPr>
          <w:trHeight w:val="18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8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paid, net of amount capitalized</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r>
      <w:tr>
        <w:trPr>
          <w:trHeight w:val="172"/>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9"/>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Non-cash financing activity: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adjustment for change in tax basis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9"/>
                <w:szCs w:val="9"/>
                <w:color w:val="auto"/>
              </w:rPr>
            </w:pPr>
          </w:p>
        </w:tc>
        <w:tc>
          <w:tcPr>
            <w:tcW w:w="82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10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220" w:type="dxa"/>
            <w:vAlign w:val="bottom"/>
            <w:gridSpan w:val="3"/>
          </w:tcPr>
          <w:p>
            <w:pPr>
              <w:jc w:val="center"/>
              <w:ind w:right="1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6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140" w:type="dxa"/>
            <w:vAlign w:val="bottom"/>
          </w:tcPr>
          <w:p>
            <w:pPr>
              <w:spacing w:after="0"/>
              <w:rPr>
                <w:sz w:val="9"/>
                <w:szCs w:val="9"/>
                <w:color w:val="auto"/>
              </w:rPr>
            </w:pPr>
          </w:p>
        </w:tc>
        <w:tc>
          <w:tcPr>
            <w:tcW w:w="900" w:type="dxa"/>
            <w:vAlign w:val="bottom"/>
          </w:tcPr>
          <w:p>
            <w:pPr>
              <w:jc w:val="center"/>
              <w:ind w:right="104"/>
              <w:spacing w:after="0" w:line="10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30"/>
        </w:trPr>
        <w:tc>
          <w:tcPr>
            <w:tcW w:w="430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6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40" w:type="dxa"/>
            <w:vAlign w:val="bottom"/>
          </w:tcPr>
          <w:p>
            <w:pPr>
              <w:spacing w:after="0"/>
              <w:rPr>
                <w:sz w:val="11"/>
                <w:szCs w:val="11"/>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1"/>
        </w:trPr>
        <w:tc>
          <w:tcPr>
            <w:tcW w:w="4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3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2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1,761</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4,026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OCI, net of tax</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CEG, net of contributions,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Non-cash adjustments for change in tax basis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 unit holders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0" w:type="dxa"/>
            <w:vAlign w:val="bottom"/>
          </w:tcPr>
          <w:p>
            <w:pPr>
              <w:spacing w:after="0"/>
              <w:rPr>
                <w:sz w:val="1"/>
                <w:szCs w:val="1"/>
                <w:color w:val="auto"/>
              </w:rPr>
            </w:pPr>
          </w:p>
        </w:tc>
      </w:tr>
      <w:tr>
        <w:trPr>
          <w:trHeight w:val="15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4,994</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OCI, net of tax</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1,321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Non-cash adjustments for change in tax basis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 unit holders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5,564</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gain (loss) on derivatives and changes in accumulated OCI, net of tax</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112</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708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Pro-rata distributions to CEG,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the issuance of Class C common stock</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Non-cash adjustments for change in tax basis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 unit holders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2025</w:t>
            </w: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5,811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63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2025, the Company owned 58.62% of the economic interests of Clearway Energy LLC, with CEG owning 41.38% of the economic interests of Clearway Energy LLC. For further discussion, see Note 12, </w:t>
      </w:r>
      <w:r>
        <w:rPr>
          <w:rFonts w:ascii="Times New Roman" w:cs="Times New Roman" w:eastAsia="Times New Roman" w:hAnsi="Times New Roman"/>
          <w:sz w:val="14"/>
          <w:szCs w:val="14"/>
          <w:i w:val="1"/>
          <w:iCs w:val="1"/>
          <w:color w:val="auto"/>
        </w:rPr>
        <w:t>Stockholders’ Equity.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2674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081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GAAP. The FASB ASC is the source of authoritative GAAP to be applied by nongovernmental entities.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rules and interpretative releases of the SEC under authority of federal securities laws are also sources of authoritative GAAP for SEC registrants.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7" w:name="page88"/>
    <w:bookmarkEnd w:id="87"/>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to determine when an entity that is insufficiently capitalized or not controlled through its voting interests, referred to as a variable interest entity, or VIE, should be consolidated.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$194 million as of both December 31, 2025 and 2024.</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4"/>
        </w:trPr>
        <w:tc>
          <w:tcPr>
            <w:tcW w:w="8680" w:type="dxa"/>
            <w:vAlign w:val="bottom"/>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60" w:type="dxa"/>
            <w:vAlign w:val="bottom"/>
          </w:tcPr>
          <w:p>
            <w:pPr>
              <w:spacing w:after="0"/>
              <w:rPr>
                <w:sz w:val="13"/>
                <w:szCs w:val="13"/>
                <w:color w:val="auto"/>
              </w:rPr>
            </w:pPr>
          </w:p>
        </w:tc>
      </w:tr>
      <w:tr>
        <w:trPr>
          <w:trHeight w:val="18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9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2025, these restricted funds were comprised of $146 million designated to fund operating expenses, $99 million designated for current debt service payments and $85 million restricted for reserves, including debt service, performance obligations and other reserves as well as capital expenditures. The remaining $257 million is held in distribution reserve accounts, of which $174 million relates to transferable ITCs for the Rosamond South I solar and BESS facility that were received on behalf of the tax equity investor in Rosie South TE Holdco LLC and subsequently distributed to the tax equity investor in January 2026.</w:t>
      </w:r>
    </w:p>
    <w:p>
      <w:pPr>
        <w:spacing w:after="0" w:line="9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of December 31, 2024, these restricted funds were comprised of $184 million designated to fund operating expenses, $37 million designated for current debt service payments and $102 million restricted for reserves, including debt service, performance obligations and other reserves as well as capital expenditures. The remaining $78 million was held in distribution reserve accounts.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40" w:type="dxa"/>
            <w:vAlign w:val="bottom"/>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6"/>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 Trade and Allowance for Credit Losses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2025 and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incurred on funds borrowed to finance capital projects is capitalized until the project under construction is ready for its intended use. The amount of interest capitalized for the years ended December 31, 2025, 2024 and 2023 was $51 million, $28 million and $36 million,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Impairments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operations.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Investments accounted for by the equity method are reviewed for impairment in accordance with ASC 323, </w:t>
      </w:r>
      <w:r>
        <w:rPr>
          <w:rFonts w:ascii="Times New Roman" w:cs="Times New Roman" w:eastAsia="Times New Roman" w:hAnsi="Times New Roman"/>
          <w:sz w:val="14"/>
          <w:szCs w:val="14"/>
          <w:i w:val="1"/>
          <w:iCs w:val="1"/>
          <w:color w:val="auto"/>
        </w:rPr>
        <w:t>Investments-Equity Method and Joint Ventures</w:t>
      </w:r>
      <w:r>
        <w:rPr>
          <w:rFonts w:ascii="Times New Roman" w:cs="Times New Roman" w:eastAsia="Times New Roman" w:hAnsi="Times New Roman"/>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Intangible assets represent contractual rights held by the Company. The Company recognizes specifically identifiable intangible assets, including PPAs,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4"/>
          <w:szCs w:val="14"/>
          <w:i w:val="1"/>
          <w:iCs w:val="1"/>
          <w:color w:val="auto"/>
        </w:rPr>
        <w:t>Intangible Assets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Flexible Generation Segment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majority of the facilities in the Flexible Generation segment commenced merchant operations during 2023 following the expiration of the PPAs. These facilities generate revenues from selling electricity and/or RA to the CAISO and to public utility and load serving entities, as the power is delivered at the interconnection point.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facilities in the Flexible Generation segment are sold through long-term PPAs and tolling agreements to a single counterparty, which is often a utility or commercial customer. Certain revenue agreements also provide for the sale of BESS capacity. As discussed above, the majority of the facilities in the Flexible Generation segment commenced merchant operations during 2023 following the expiration of the PPAs.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2025, 2024 and 2023 was $797 million, $831 million and $780 million, respectively. See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 related to the Company’s PPAs accounted for as leases.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unnecessary to allocate transaction price to multiple performance obligations.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4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1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r>
      <w:tr>
        <w:trPr>
          <w:trHeight w:val="160"/>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20"/>
        </w:trPr>
        <w:tc>
          <w:tcPr>
            <w:tcW w:w="2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37" w:lineRule="exact"/>
        <w:rPr>
          <w:sz w:val="20"/>
          <w:szCs w:val="20"/>
          <w:color w:val="auto"/>
        </w:rPr>
      </w:pPr>
    </w:p>
    <w:p>
      <w:pPr>
        <w:ind w:left="200" w:hanging="131"/>
        <w:spacing w:after="0"/>
        <w:tabs>
          <w:tab w:leader="none" w:pos="200"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1"/>
          <w:szCs w:val="11"/>
          <w:color w:val="auto"/>
        </w:rPr>
        <w:t>Note 17,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i w:val="1"/>
          <w:iCs w:val="1"/>
          <w:color w:val="auto"/>
        </w:rPr>
        <w:t>Leases,</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1"/>
          <w:szCs w:val="11"/>
          <w:color w:val="auto"/>
        </w:rPr>
        <w:t>amounts of energy and capacity revenues that relate to leases and are accounted for under ASC 842.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4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70"/>
        </w:trPr>
        <w:tc>
          <w:tcPr>
            <w:tcW w:w="64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Other revenues </w:t>
            </w:r>
            <w:r>
              <w:rPr>
                <w:rFonts w:ascii="Times New Roman" w:cs="Times New Roman" w:eastAsia="Times New Roman" w:hAnsi="Times New Roman"/>
                <w:sz w:val="16"/>
                <w:szCs w:val="16"/>
                <w:color w:val="auto"/>
                <w:vertAlign w:val="superscript"/>
              </w:rPr>
              <w:t>(a)</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8"/>
        </w:trPr>
        <w:tc>
          <w:tcPr>
            <w:tcW w:w="6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r>
      <w:tr>
        <w:trPr>
          <w:trHeight w:val="163"/>
        </w:trPr>
        <w:tc>
          <w:tcPr>
            <w:tcW w:w="6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r>
      <w:tr>
        <w:trPr>
          <w:trHeight w:val="20"/>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2" w:lineRule="exact"/>
        <w:rPr>
          <w:sz w:val="20"/>
          <w:szCs w:val="20"/>
          <w:color w:val="auto"/>
        </w:rPr>
      </w:pPr>
    </w:p>
    <w:p>
      <w:pPr>
        <w:ind w:left="200" w:hanging="131"/>
        <w:spacing w:after="0"/>
        <w:tabs>
          <w:tab w:leader="none" w:pos="20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the amounts of energy, capacity and other revenues that relate to leases and are accounted for under ASC 842.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6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36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6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7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163"/>
        </w:trPr>
        <w:tc>
          <w:tcPr>
            <w:tcW w:w="6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the amounts of energy and capacity revenues that relate to leases and are accounted for under ASC 842.</w:t>
      </w:r>
    </w:p>
    <w:p>
      <w:pPr>
        <w:spacing w:after="0" w:line="200" w:lineRule="exact"/>
        <w:rPr>
          <w:rFonts w:ascii="Times New Roman" w:cs="Times New Roman" w:eastAsia="Times New Roman" w:hAnsi="Times New Roman"/>
          <w:sz w:val="17"/>
          <w:szCs w:val="17"/>
          <w:color w:val="auto"/>
          <w:vertAlign w:val="superscript"/>
        </w:rPr>
      </w:pPr>
    </w:p>
    <w:p>
      <w:pPr>
        <w:spacing w:after="0" w:line="352"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4"/>
          <w:szCs w:val="14"/>
          <w:i w:val="1"/>
          <w:iCs w:val="1"/>
          <w:color w:val="auto"/>
        </w:rPr>
        <w:t>Contract Amortization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included on the Company’s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3"/>
                <w:szCs w:val="13"/>
                <w:color w:val="auto"/>
              </w:rPr>
            </w:pP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 - Contracts with customers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receivable, net - Leases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88"/>
        </w:trPr>
        <w:tc>
          <w:tcPr>
            <w:tcW w:w="7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accounts receivable, net</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derivative financial instruments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OCI/OCL until the hedged transactions occur and are recognized in earnings.</w:t>
      </w:r>
    </w:p>
    <w:p>
      <w:pPr>
        <w:spacing w:after="0" w:line="9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OCI/OCL would be frozen until the underlying hedged item is delivered unless the transaction being hedged is no longer probable of occurring in which case the amount in accumulated OCI/OCL would be immediately reclassified into earnings. If the derivative financial instrument is terminated, the effective portion of this derivative deferred in accumulated OCI/OCL will be frozen until the underlying hedged item is delivered.</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facilities have only one customer</w:t>
      </w:r>
      <w:r>
        <w:rPr>
          <w:rFonts w:ascii="Times New Roman" w:cs="Times New Roman" w:eastAsia="Times New Roman" w:hAnsi="Times New Roman"/>
          <w:sz w:val="14"/>
          <w:szCs w:val="14"/>
          <w:color w:val="1F497D"/>
        </w:rPr>
        <w:t>.</w:t>
      </w:r>
      <w:r>
        <w:rPr>
          <w:rFonts w:ascii="Times New Roman" w:cs="Times New Roman" w:eastAsia="Times New Roman" w:hAnsi="Times New Roman"/>
          <w:sz w:val="14"/>
          <w:szCs w:val="14"/>
          <w:color w:val="auto"/>
        </w:rPr>
        <w:t xml:space="preserve"> See Note 6,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for a further discussion of derivative concentrations and Note 13,</w:t>
      </w:r>
      <w:r>
        <w:rPr>
          <w:rFonts w:ascii="Times New Roman" w:cs="Times New Roman" w:eastAsia="Times New Roman" w:hAnsi="Times New Roman"/>
          <w:sz w:val="14"/>
          <w:szCs w:val="14"/>
          <w:i w:val="1"/>
          <w:iCs w:val="1"/>
          <w:color w:val="auto"/>
        </w:rPr>
        <w:t xml:space="preserve"> Segment Reporting</w:t>
      </w:r>
      <w:r>
        <w:rPr>
          <w:rFonts w:ascii="Times New Roman" w:cs="Times New Roman" w:eastAsia="Times New Roman" w:hAnsi="Times New Roman"/>
          <w:sz w:val="14"/>
          <w:szCs w:val="14"/>
          <w:color w:val="auto"/>
        </w:rPr>
        <w:t>, for concentration of counterparties.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carrying amount of cash and cash equivalents, restricted cash, accounts receivable — trade, accounts receivable — affiliates, accounts payable — trade, accounts payable — affiliates and accrued expenses and other current liabilities approximate fair value because of the short-term maturity of these instruments.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fair value of financial instruments.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Asset retirement obligations, or AROs, are accounted for in accordance with ASC 410-20, </w:t>
      </w:r>
      <w:r>
        <w:rPr>
          <w:rFonts w:ascii="Times New Roman" w:cs="Times New Roman" w:eastAsia="Times New Roman" w:hAnsi="Times New Roman"/>
          <w:sz w:val="14"/>
          <w:szCs w:val="14"/>
          <w:i w:val="1"/>
          <w:iCs w:val="1"/>
          <w:color w:val="auto"/>
        </w:rPr>
        <w:t>Asset Retirement Obligations,</w:t>
      </w:r>
      <w:r>
        <w:rPr>
          <w:rFonts w:ascii="Times New Roman" w:cs="Times New Roman" w:eastAsia="Times New Roman" w:hAnsi="Times New Roman"/>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9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balance of AROs, along with the related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4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9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4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by the Equity Method</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investments in various energy facilities accounted for by the equity method, several of which are VIEs, where the Company is not a primary beneficiary, as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equity method of accounting is applied to these investments in affiliates because the ownership structure prevents the Company from exercising a controlling influence over the operating and financial policies of the facilities.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i w:val="1"/>
          <w:iCs w:val="1"/>
          <w:color w:val="auto"/>
        </w:rPr>
        <w:t>Sale-Leaseback Arrangements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party to sale-leaseback arrangements that provide for the sale of certain assets to a third-party and simultaneous leaseback to the Company. In accordance with ASC 842-40, </w:t>
      </w:r>
      <w:r>
        <w:rPr>
          <w:rFonts w:ascii="Times New Roman" w:cs="Times New Roman" w:eastAsia="Times New Roman" w:hAnsi="Times New Roman"/>
          <w:sz w:val="14"/>
          <w:szCs w:val="14"/>
          <w:i w:val="1"/>
          <w:iCs w:val="1"/>
          <w:color w:val="auto"/>
        </w:rPr>
        <w:t>Sale-Leaseback Transactions</w:t>
      </w:r>
      <w:r>
        <w:rPr>
          <w:rFonts w:ascii="Times New Roman" w:cs="Times New Roman" w:eastAsia="Times New Roman" w:hAnsi="Times New Roman"/>
          <w:sz w:val="14"/>
          <w:szCs w:val="14"/>
          <w:color w:val="auto"/>
        </w:rPr>
        <w:t>, if the seller-lessee retains, through the leaseback, substantially all of the benefits and risks incident to the ownership of the property sold, the sale-leaseback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income taxes using the liability method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or ASC 740, which requires that the Company use the asset and liability method of accounting for deferred income taxes and provide deferred income taxes for all significant temporary differences.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two categories of income tax expense or benefit — current and deferred, as follows:</w:t>
      </w:r>
    </w:p>
    <w:p>
      <w:pPr>
        <w:spacing w:after="0" w:line="51"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income tax expense or benefit consists solely of current taxes payable less applicable tax credits,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income tax expense or benefit is the change in the net deferred income tax asset or liability, excluding amounts charged or credited to accumulated other comprehensive income (loss).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0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The Company, through its consolidated subsidiaries, may earn tax credits in the ordinary course of business, which may be eligible for a transferability election permitting the Company to sell the tax credit to a third party. These tax credits, which are accounted for in accordance with ASC 740, include production tax credits, or PTCs, which are based on electricity generated by an operating facility, and investment tax credits, or ITCs, which are earned based on eligible costs to place an asset in service. The Company accounts for PTCs as electricity is generated and sold and records transferable PTCs as reduction to current income taxes. The Company records ITCs when generated as a deferred tax asset and other non-current liability. The Company reduces the deferred tax asset when the credit is sold and then reduces the other non-current liability ratably as a reduction to income tax expense over the depreciable life of the related property, plant and equipment. For further discussion, see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91"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ASC 740 and as discussed further in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changes to existing net deferred tax assets, valuation allowances, or changes to uncertain tax benefits, are recorded to income tax expense.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i w:val="1"/>
          <w:iCs w:val="1"/>
          <w:color w:val="auto"/>
        </w:rPr>
        <w:t>Asset 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acquisitions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Equity Arrangements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Certain portions of the Company’s redeemable noncontrolling interest in subsidiaries and noncontrolling interest represent third-party interests in the net assets under tax equity arrangements, which are consolidated by the Company, that have been entered into to finance the cost of facilities eligible for certain tax credits and benefits. The Company has determined that the provisions in the contractual agreements of these redeemable noncontrolling interests and noncontrolling interests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operations using a systematic and rational method over the period during which the investor is expected to achieve its target return.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Noncontrolling Interest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In 2025, the Company entered into new tax equity arrangements that provide third parties with the right to redeem their interests in the partnerships for cash or other assets at a point in time,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following table reflects the changes in the Company’s redeemable noncontrolling interest balance: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9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Repurchase of redeemable noncontrolling interest</w:t>
            </w: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contributions to redeemable noncontrolling interests, net of distributions</w:t>
            </w: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80"/>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distributions to redeemable noncontrolling interests</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9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interests</w:t>
            </w: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96"/>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5" w:name="page96"/>
    <w:bookmarkEnd w:id="95"/>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Standards Not Yet Adopted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In December 2025, the FASB issued ASU No 2025-10, </w:t>
      </w:r>
      <w:r>
        <w:rPr>
          <w:rFonts w:ascii="Times New Roman" w:cs="Times New Roman" w:eastAsia="Times New Roman" w:hAnsi="Times New Roman"/>
          <w:sz w:val="14"/>
          <w:szCs w:val="14"/>
          <w:i w:val="1"/>
          <w:iCs w:val="1"/>
          <w:color w:val="auto"/>
        </w:rPr>
        <w:t>Government Grants - (Topic 832): Accounting for Government Grants Received by Business Entities.</w:t>
      </w:r>
      <w:r>
        <w:rPr>
          <w:rFonts w:ascii="Times New Roman" w:cs="Times New Roman" w:eastAsia="Times New Roman" w:hAnsi="Times New Roman"/>
          <w:sz w:val="14"/>
          <w:szCs w:val="14"/>
          <w:color w:val="auto"/>
        </w:rPr>
        <w:t xml:space="preserve"> The amendment establishes the accounting guidance for governmental grants received by a business entity. This guidance is effective for annual reporting periods beginning after December 15, 2028 and interim reporting periods within the annual reporting period. The amendment may be applied on a modified prospective approach, a modified retrospective approach or retrospectively. Early adoption is permitted in both interim and annual reporting periods. As of December 31, 2025, the Company has not elected to early adopt the standard and is evaluating the effect of the new guidance on its consolidated financial statements.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 - Goodwill and Other - 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The amendment clarifies when software costs should be capitalized and requires certain disclosures for all capitalized internal-use software costs. This guidance may be applied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prospectively, retrospectively or on a modified retrospective basis and is effective for annual reporting periods in fiscal years beginning after December 15, 2027. The Company intends to early adopt ASU 2025-06 prospectively, effective January 1, 2026. The adoption is not expected to have an impact on the Company’s financial statements.</w:t>
      </w:r>
    </w:p>
    <w:p>
      <w:pPr>
        <w:spacing w:after="0" w:line="9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2025-07, </w:t>
      </w:r>
      <w:r>
        <w:rPr>
          <w:rFonts w:ascii="Times New Roman" w:cs="Times New Roman" w:eastAsia="Times New Roman" w:hAnsi="Times New Roman"/>
          <w:sz w:val="14"/>
          <w:szCs w:val="14"/>
          <w:i w:val="1"/>
          <w:iCs w:val="1"/>
          <w:color w:val="auto"/>
        </w:rPr>
        <w:t>Derivatives and Hedging (Topic 815) and Revenue from Contracts with Customers (Topic 606): Derivatives Scope Refinements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Scope Clarification for Share-Based Noncash Consideration from a Customer in a Revenue Contract. </w:t>
      </w:r>
      <w:r>
        <w:rPr>
          <w:rFonts w:ascii="Times New Roman" w:cs="Times New Roman" w:eastAsia="Times New Roman" w:hAnsi="Times New Roman"/>
          <w:sz w:val="14"/>
          <w:szCs w:val="14"/>
          <w:color w:val="auto"/>
        </w:rPr>
        <w:t>The amendment expands the derivative scope exceptions and clarifies when an entity should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apply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to contracts with share-based noncash consideration from a customer for the transfer of goods or services. This guidance may be applied either prospectively or on a modified retrospective basis and is effective for annual reporting periods in fiscal years beginning after December 15, 2026. The Company intends to early adopt ASU 2025-07 prospectively, effective January 1, 2026. The adoption is not expected to have an impact on the Company’s financial statements.</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In November 2024, the FASB issued ASU No 2024-03</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 Reporting Comprehensive Income-Expense Disaggregation Disclosures (Subtopic 220-40).</w:t>
      </w:r>
      <w:r>
        <w:rPr>
          <w:rFonts w:ascii="Times New Roman" w:cs="Times New Roman" w:eastAsia="Times New Roman" w:hAnsi="Times New Roman"/>
          <w:sz w:val="14"/>
          <w:szCs w:val="14"/>
          <w:color w:val="auto"/>
        </w:rPr>
        <w:t xml:space="preserve"> The amendment requires certain expenses presented on the face of the income statement to be disaggregated in the notes to the financial statements. This guidance is effective for annual reporting periods beginning after December 15, 2026 and interim periods within annual reporting periods beginning after December 15, 2027. The amendments may be applied either prospectively to financial statements issued for reporting periods after the effective date of this ASU or retrospectively to all prior periods presented in the financial statements. As of December 31, 2025, the Company has not elected to early adopt the standard and is evaluating the effect of the new guidance on its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Acquisitions and Dispositions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further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assets for power purchase agreements related to the Company’s third-party acquisitions of Tuolumne and Catalina were determined utilizing a variation of the income approach determined by discounting the replacement market price of the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6" w:name="page97"/>
    <w:bookmarkEnd w:id="96"/>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Pine Forest Drop Down </w:t>
      </w:r>
      <w:r>
        <w:rPr>
          <w:rFonts w:ascii="Times New Roman" w:cs="Times New Roman" w:eastAsia="Times New Roman" w:hAnsi="Times New Roman"/>
          <w:sz w:val="14"/>
          <w:szCs w:val="14"/>
          <w:color w:val="auto"/>
        </w:rPr>
        <w:t>— On June 10, 2025, the Company, through its indirect subsidiary, Pine Forest CE Class A Owner LLC, acquired the Class A membership interests in Pine Forest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TargetCo, a partnership and the indirect owner of Pine Forest, a 300 MW solar facility that is paired with a 200 MW BESS facility located in Hopkins County, Texas, from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contributed $9 million to acquire the Class A membership interests in Pine Forest TE HoldCo LLC. On December 17, 2025, when the facility reached substantial completion, the Company paid $50 million to Clearway Renew as additional purchase price for its Class A membership interests in Pine Forest TargetCo and contributed an additional $38 million for its Class A membership interests in Pine Forest TE HoldCo LLC. In addition, the third-party cash equity investor in Pine Forest TargetCo contributed an additional $144 million. Pine Forest TargetCo consolidates as primary beneficiary, Pine Forest TE HoldCo LLC, a tax equity fund that directly owns the Pine Forest solar and BESS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Pine Forest has PPAs for the solar facility with investment-grade counterparties and a 20-year weighted average contract duration that commenced in December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initial cash consideration of $18 million and the historical cost of the Company’s net liabilities assumed of $9 million was recorded as an adjustment to CEG’s noncontrolling interest balance. The $50 million additional purchase price was also recorded as an adjustment to CEG’s noncontrolling interest balance. In addition, the Company reflected the entire $18 million of the Company’s initial purchase price and $50 million of the Company’s additional purchase price, which were contributed back to the Company by CEG to pay down the acquired long-term debt, in the line item contributions from CEG, net of distributions, in the consolidated statements of stockholders’ equity. The Company’s total capital investment in Pine Forest TargetCo was $115 million.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June 10,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Pine Forest</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212"/>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71"/>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$550 million.</w:t>
      </w:r>
    </w:p>
    <w:p>
      <w:pPr>
        <w:spacing w:after="0" w:line="45"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84"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$103 million construction loan, a $102 million cash equity bridge loan, a $41 million tax equity bridge loan and a $275 million tax credit transfer bridge loan, offset by $6 million in unamortized debt issuance costs. See Note 10, </w:t>
      </w:r>
      <w:r>
        <w:rPr>
          <w:rFonts w:ascii="Times New Roman" w:cs="Times New Roman" w:eastAsia="Times New Roman" w:hAnsi="Times New Roman"/>
          <w:sz w:val="10"/>
          <w:szCs w:val="10"/>
          <w:i w:val="1"/>
          <w:iCs w:val="1"/>
          <w:color w:val="auto"/>
        </w:rPr>
        <w:t xml:space="preserve">Long-term Debt, </w:t>
      </w:r>
      <w:r>
        <w:rPr>
          <w:rFonts w:ascii="Times New Roman" w:cs="Times New Roman" w:eastAsia="Times New Roman" w:hAnsi="Times New Roman"/>
          <w:sz w:val="10"/>
          <w:szCs w:val="10"/>
          <w:color w:val="auto"/>
        </w:rPr>
        <w:t>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7" w:name="page98"/>
    <w:bookmarkEnd w:id="97"/>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Honeycomb Portfolio Drop Down </w:t>
      </w:r>
      <w:r>
        <w:rPr>
          <w:rFonts w:ascii="Times New Roman" w:cs="Times New Roman" w:eastAsia="Times New Roman" w:hAnsi="Times New Roman"/>
          <w:sz w:val="14"/>
          <w:szCs w:val="14"/>
          <w:color w:val="auto"/>
        </w:rPr>
        <w:t>— On October 15, 2025, the Company, through its indirect subsidiary, Honeycomb 1 Holdco LLC, acquired Honeycomb TargetCo, the indirect owner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Honeycomb Portfolio, which includes four BESS facilities under construction in Beaver County and Iron County, Utah representing 320 MW of capacity, from Clearway Renew for initial cash consideration of $16 million. At substantial completion, which is expected to occur in the first half of 2026, the Company estimates it will pay an additional $62 million to Clearway Renew. Honeycomb TargetCo consolidates as primary beneficiary, Honeycomb TE HoldCo LLC, a tax equity fund that owns the Honeycomb Portfolio BESS facilities,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Honeycomb Portfolio has 20-year PPAs with an investment-grade utility that will commence when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operating assets reach commercial operations, which is expected to occur in the first half of 2026. The Honeycomb Portfolio is reflected in the Company’s Renewables &amp; Storage segment and the acquisition was funded with existing sources of liquidity. The acquisition was determined to be an asset acquisition and the Company consolidates the Honeycomb Portfolio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Combinations - Related Issues</w:t>
      </w:r>
      <w:r>
        <w:rPr>
          <w:rFonts w:ascii="Times New Roman" w:cs="Times New Roman" w:eastAsia="Times New Roman" w:hAnsi="Times New Roman"/>
          <w:sz w:val="14"/>
          <w:szCs w:val="14"/>
          <w:color w:val="auto"/>
        </w:rPr>
        <w:t>. The sum of the Company’s initial cash consideration of $16 million and the historical cost of the Company’s net liabilities assumed of $2 million was recorded as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adjustment to CEG’s noncontrolling interest balance. The Company estimates that its total capital investment in Honeycomb TargetCo will be $78 million, excluding the impact of any closing adjustments noted in the purchase agreement.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15,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Honeycomb Portfolio</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212"/>
        </w:trPr>
        <w:tc>
          <w:tcPr>
            <w:tcW w:w="9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9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1"/>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4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$473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4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$218 million construction loan and a $234 million tax equity bridge loan, offset by $9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8" w:name="page99"/>
    <w:bookmarkEnd w:id="98"/>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1 Drop Down </w:t>
      </w:r>
      <w:r>
        <w:rPr>
          <w:rFonts w:ascii="Times New Roman" w:cs="Times New Roman" w:eastAsia="Times New Roman" w:hAnsi="Times New Roman"/>
          <w:sz w:val="14"/>
          <w:szCs w:val="14"/>
          <w:color w:val="auto"/>
        </w:rPr>
        <w:t>— On April 29, 2025, the Company, through its indirect subsidiary, LV-Daggett Parent Holdco LLC, acquired Daggett 1 Class B, the indirect owner of Daggett 1, a 114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MW BESS facility located in San Bernardino County, California, from Clearway Renew for initial cash consideration of $11 million. On September 19, 2025, when the facility reached substantial completion, the Company paid $42 million to Clearway Renew as additional purchase price. Daggett 1 Class B consolidates as primary beneficiary, Daggett 1 TE Holdco LLC, a tax equity fund that owns the Daggett 1 BESS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Daggett 1 has a PPA for capacity with an investment-grade counterparty for a contract duration of 15 years that commenced in September 2025. 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initial cash consideration of $11 million and the historical cost of the Company’s net assets acquired of $1 million was recorded as an adjustment to CEG’s noncontrolling interest balance. The $42 million additional purchase price was also recorded as an adjustment to CEG’s noncontrolling interest balance. In addition, the Company reflected the entire $11 million of the Company’s initial purchase price, which was contributed back to the Company by CEG into escrow in the line item contributions from CEG, net of distributions, in the consolidated statements of stockholders’ equity. The Company also reflected the entire $42 million of the Company’s additional purchase price, which was contributed back to the Company by CEG to pay down long-term debt, in the line item contributions from CEG, net of distributions, in the consolidated statements of stockholders’ equity.</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15, 2025, the Company paid $4 million to Clearway Renew as a final purchase price adjustment, which was recorded as an adjustment to CEG’s noncontrolling interest balance. The Company’s total capital investment in Daggett 1 Class B was $57 million.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29,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3"/>
                <w:szCs w:val="13"/>
                <w:b w:val="1"/>
                <w:bCs w:val="1"/>
                <w:color w:val="auto"/>
              </w:rPr>
              <w:t>Daggett 1</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4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12"/>
        </w:trPr>
        <w:tc>
          <w:tcPr>
            <w:tcW w:w="9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4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71"/>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4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$221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4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$92 million construction loan and a $131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9" w:name="page100"/>
    <w:bookmarkEnd w:id="99"/>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Luna Valley Drop Down </w:t>
      </w:r>
      <w:r>
        <w:rPr>
          <w:rFonts w:ascii="Times New Roman" w:cs="Times New Roman" w:eastAsia="Times New Roman" w:hAnsi="Times New Roman"/>
          <w:sz w:val="14"/>
          <w:szCs w:val="14"/>
          <w:color w:val="auto"/>
        </w:rPr>
        <w:t>— On April 29, 2025, the Company, through its indirect subsidiary, LV-Daggett Parent Holdco LLC, acquired Luna Valley Class B, the indirect owner of Luna Valley,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 200 MW solar facility located in Fresno County, California, from Clearway Renew for initial cash consideration of $18 million. On September 4, 2025, when the facility reached substantial completion, the Company paid $72 million to Clearway Renew as additional purchase price. Luna Valley Class B consolidates as primary beneficiary, Luna Valley TE Holdco LLC, a tax equity fund that owns the Luna Valley solar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Luna Valley has PPAs with investment-grade counterparties that have a 17-year weighted average contract duration that commenced in August 2025. 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sum of the initial cash consideration of $18 million and the historical cost of the Company’s net liabilities assumed of $7 million was recorded as an adjustment to CEG’s noncontrolling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balance. The $72 million additional purchase price was also recorded as an adjustment to CEG’s noncontrolling interest balance. In addition, the Company reflected the entire $18 million of the Company’s initial purchase price and $72 million of the Company’s additional purchase price, which were contributed back to the Company by CEG to pay down the acquired long-term debt, in the line item contributions from CEG, net of distributions, in the consolidated statements of stockholders’ equity.</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October 15, 2025, the Company paid $29 million to Clearway Renew as a final purchase price adjustment, which was recorded as an adjustment to CEG’s noncontrolling interest balance.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total capital investment in Luna Valley Class B was $119 million.</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29,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Luna Valley</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Right-of-use assets, net </w:t>
            </w:r>
            <w:r>
              <w:rPr>
                <w:rFonts w:ascii="Times New Roman" w:cs="Times New Roman" w:eastAsia="Times New Roman" w:hAnsi="Times New Roman"/>
                <w:sz w:val="8"/>
                <w:szCs w:val="8"/>
                <w:color w:val="auto"/>
              </w:rPr>
              <w:t>(b)</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12"/>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8"/>
                <w:szCs w:val="8"/>
                <w:color w:val="auto"/>
              </w:rPr>
              <w:t>(c)</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lease liabilities </w:t>
            </w:r>
            <w:r>
              <w:rPr>
                <w:rFonts w:ascii="Times New Roman" w:cs="Times New Roman" w:eastAsia="Times New Roman" w:hAnsi="Times New Roman"/>
                <w:sz w:val="8"/>
                <w:szCs w:val="8"/>
                <w:color w:val="auto"/>
              </w:rPr>
              <w:t>(b)</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171"/>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4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$338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4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Balances primarily relate to a land lease agreement with a wholly-owned subsidiary of CEG, which expires on September 23, 2058.</w:t>
      </w:r>
    </w:p>
    <w:p>
      <w:pPr>
        <w:spacing w:after="0" w:line="46"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80" w:val="left"/>
        </w:tabs>
        <w:numPr>
          <w:ilvl w:val="0"/>
          <w:numId w:val="4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$144 million construction loan, a $64 million cash equity bridge loan and a $144 million tax equity bridge loan, offset by $4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0" w:name="page101"/>
    <w:bookmarkEnd w:id="100"/>
    <w:p>
      <w:pPr>
        <w:jc w:val="both"/>
        <w:ind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Rosamond South I Drop Down </w:t>
      </w:r>
      <w:r>
        <w:rPr>
          <w:rFonts w:ascii="Times New Roman" w:cs="Times New Roman" w:eastAsia="Times New Roman" w:hAnsi="Times New Roman"/>
          <w:sz w:val="14"/>
          <w:szCs w:val="14"/>
          <w:color w:val="auto"/>
        </w:rPr>
        <w:t>— On March 20, 2025, the Company, through its indirect subsidiary, Rosamond South Investment LLC, acquired the Class A membership interests in Rosie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South TargetCo, a partnership and the indirect owner of Rosamond South I, a 140 MW solar facility that is paired with a 117 MW BESS facility located in Rosamond, California,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Rosie South TargetCo consolidates as primary beneficiary, Rosie South TE Holdco LLC, a tax equity fund that directly owns the Rosamond South I solar and BESS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Rosamond South I has PPAs with investment-grade counterparties that have a 15-year weighted average contract duration that commenced in August 2025. 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initial cash consideration of $4 million and the historical cost of the Company’s net liabilities assumed of $3 million was recorded as an adjustment to CEG’s noncontrolling interest balance. The $29 million additional purchase price was also recorded as an adjustment to CEG’s noncontrolling interest balance. In addition, the Company reflected the entire $4 million of the Company’s initial purchase price and $29 million of the Company’s additional purchase price, which were contributed back to the Company by CEG to pay down the acquired long-term debt, in the line item contributions from CEG, net of distributions, in the consolidated statements of stockholders’ equity. The Company’s total capital investment in Rosie South TargetCo was $33 million.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20,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Rosamond South I</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8"/>
                <w:szCs w:val="8"/>
                <w:color w:val="auto"/>
              </w:rPr>
              <w:t>(a)</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Right-of-use assets, net </w:t>
            </w:r>
            <w:r>
              <w:rPr>
                <w:rFonts w:ascii="Times New Roman" w:cs="Times New Roman" w:eastAsia="Times New Roman" w:hAnsi="Times New Roman"/>
                <w:sz w:val="8"/>
                <w:szCs w:val="8"/>
                <w:color w:val="auto"/>
              </w:rPr>
              <w:t>(b)</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212"/>
        </w:trPr>
        <w:tc>
          <w:tcPr>
            <w:tcW w:w="9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8"/>
                <w:szCs w:val="8"/>
                <w:color w:val="auto"/>
              </w:rPr>
              <w:t>(c)</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Long-term lease liabilities </w:t>
            </w:r>
            <w:r>
              <w:rPr>
                <w:rFonts w:ascii="Times New Roman" w:cs="Times New Roman" w:eastAsia="Times New Roman" w:hAnsi="Times New Roman"/>
                <w:sz w:val="8"/>
                <w:szCs w:val="8"/>
                <w:color w:val="auto"/>
              </w:rPr>
              <w:t>(b)</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9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171"/>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9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4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$495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4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Balances primarily relate to a land lease agreement with a wholly-owned subsidiary of CEG, which expires on September 30, 2058.</w:t>
      </w:r>
    </w:p>
    <w:p>
      <w:pPr>
        <w:spacing w:after="0" w:line="46"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80" w:val="left"/>
        </w:tabs>
        <w:numPr>
          <w:ilvl w:val="0"/>
          <w:numId w:val="4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$179 million construction loan, a $6 million cash equity bridge loan and a $284 million tax equity bridge loan, offset by $1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1" w:name="page102"/>
    <w:bookmarkEnd w:id="101"/>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Catalina Solar Acquisition — </w:t>
      </w:r>
      <w:r>
        <w:rPr>
          <w:rFonts w:ascii="Times New Roman" w:cs="Times New Roman" w:eastAsia="Times New Roman" w:hAnsi="Times New Roman"/>
          <w:sz w:val="14"/>
          <w:szCs w:val="14"/>
          <w:color w:val="auto"/>
        </w:rPr>
        <w:t>On July 16, 2025, the Company, through its indirect subsidiary, Catalina Solar Investment LLC, acquired Catalina Solar Lessee Holdco LLC, which leases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operates Catalina, a 109 MW solar facility located in Kern County, California, from a third-party for approximately $127 million, which excludes $1 million in transaction expenses incurred in connection with the acquisition. Catalina reached commercial operations in 2013 and has a PPA with an investment-grade utility through 2038. Catalina is reflected in the Renewables &amp; Storage segment and the acquisition was funded with existing sources of liquidity. After factoring in cash reserves acquired and transaction expenses, the Company’s net capital investment in Catalina was $128 million. The acquisition was determined to be an asset acquisition and the purchase price, including transaction expenses, was allocated to the fair value of the assets acquired and liabilities assumed on the acquisition date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Catalina</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for power purchase agreement</w:t>
            </w: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212"/>
        </w:trPr>
        <w:tc>
          <w:tcPr>
            <w:tcW w:w="9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
        </w:trPr>
        <w:tc>
          <w:tcPr>
            <w:tcW w:w="9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Dan’s Mountain Drop Down — </w:t>
      </w: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Mountain TargetCo, a partnership and the indirect owner of Dan’s Mountain, a 55 MW wind facility located in Allegany County, Maryland, from Clearway Renew for initial cash consideration of $7 million. On May 21, 2025, when the facility reached substantial completion, the Company paid $36 million to Clearway Renew as additional purchase price. Also on May 21, 2025, a third-party cash equity investor contributed $45 million to acquire the Class B membership interests in Dan’s Mountain TargetCo from Clearway Renew. Dan’s Mountain TargetCo consolidates as primary beneficiary, Dan’s Mountain Tax Credit Holdco LLC, a tax equity fund that owns the Dan’s Mountain wind facility. Dan’s Mountain has a 12-year PPA with an investment-grade utility that commenced in May 2025. Dan’s Mountain is reflected in the Company’s Renewables &amp; Storage segment and the acquisition was funded with existing sources of liquidity. The acquisition was determined to be an asset acquisition and the Company consolidates Dan’s Mountain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$7 million and the historical cost of the Company’s net liabilities assumed of $2 million, less Clearway Renew’s investment of $1 million in Dan’s Mountain TargetCo, was recorded as an adjustment to CEG’s noncontrolling interest balance. The $36 million additional purchase price was also recorded as an adjustment to CEG’s noncontrolling interest balance. In addition, the Company reflected the entire $7 million purchase price, which was contributed back to the Company by CEG to pay down the acquired long-term debt, in the line item contributions from CEG, net of distributions, in the consolidated statements of stockholders’ equity. The Company also reflected the entire $36 million of the Company’s additional purchase price, which was contributed back to the Company by CEG to pay down the acquired long-term debt, in the line item contributions from CEG, net of distributions, in the consolidated statements of stockholders’ equity. The Company’s total capital investment in Dan’s Mountain TargetCo was $43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November 18,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Dan’s Mountain</w:t>
            </w:r>
          </w:p>
        </w:tc>
      </w:tr>
      <w:tr>
        <w:trPr>
          <w:trHeight w:val="173"/>
        </w:trPr>
        <w:tc>
          <w:tcPr>
            <w:tcW w:w="92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2"/>
        </w:trPr>
        <w:tc>
          <w:tcPr>
            <w:tcW w:w="9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9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$150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$77 million cash equity bridge loan and a $49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Tuolumne Wind Acquisition — </w:t>
      </w:r>
      <w:r>
        <w:rPr>
          <w:rFonts w:ascii="Times New Roman" w:cs="Times New Roman" w:eastAsia="Times New Roman" w:hAnsi="Times New Roman"/>
          <w:sz w:val="14"/>
          <w:szCs w:val="14"/>
          <w:color w:val="auto"/>
        </w:rPr>
        <w:t>On April 29, 2025, the Company, through its indirect subsidiary, Washington Wind LLC, acquired Tuolumne, a 137 MW wind facility located in Klickitat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County, Washington, from an investment-grade regulated entity for approximately $210 million, which excludes $1 million in transaction expenses incurred in connection with the acquisition. Tuolumne reached commercial operations in 2009. In connection with the acquisition, the Company entered into a 15-year PPA with an investment-grade regulated entity that commenced in April 2025. Tuolumne is reflected in the Company’s Renewables &amp; Storage segment and the acquisition was funded with borrowings under the new financing agreement that was entered into in connection with the acquisition,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Tuolumne</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0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for power purchase agreement</w:t>
            </w:r>
          </w:p>
        </w:tc>
        <w:tc>
          <w:tcPr>
            <w:tcW w:w="5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5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50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5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5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0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50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4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50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060" w:type="dxa"/>
            <w:vAlign w:val="bottom"/>
            <w:vMerge w:val="restart"/>
          </w:tcPr>
          <w:p>
            <w:pPr>
              <w:jc w:val="right"/>
              <w:ind w:right="3369"/>
              <w:spacing w:after="0"/>
              <w:rPr>
                <w:sz w:val="20"/>
                <w:szCs w:val="20"/>
                <w:color w:val="auto"/>
              </w:rPr>
            </w:pPr>
            <w:r>
              <w:rPr>
                <w:rFonts w:ascii="Times New Roman" w:cs="Times New Roman" w:eastAsia="Times New Roman" w:hAnsi="Times New Roman"/>
                <w:sz w:val="14"/>
                <w:szCs w:val="14"/>
                <w:color w:val="auto"/>
              </w:rPr>
              <w:t>103</w:t>
            </w: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14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50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3" w:name="page104"/>
    <w:bookmarkEnd w:id="103"/>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Rosamond Central BESS Drop Down </w:t>
      </w:r>
      <w:r>
        <w:rPr>
          <w:rFonts w:ascii="Times New Roman" w:cs="Times New Roman" w:eastAsia="Times New Roman" w:hAnsi="Times New Roman"/>
          <w:sz w:val="14"/>
          <w:szCs w:val="14"/>
          <w:color w:val="auto"/>
        </w:rPr>
        <w:t>— On December 1, 2023, the Rosamond Central solar facility acquired a 147 MW co-located BESS facility from Clearway Renew for initial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consideration of $70 million, $16 million of which was funded by the Company, with the remaining $54 million funded through contributions from the third-party cash equity investor in Rosie TargetCo LLC and the tax equity investor in Rosie TE HoldCo LLC. On June 13, 2024, when the Rosamond Central BESS facility reached substantial completion, the Company paid $279 million to Clearway Renew as additional purchase price to complete its acquisition of the facility. The additional purchase price consisted of $64 million funded by the Company and $215 million funded through contributions from the third-party cash equity and tax equity investors. In order to facilitate and fund the construction of the BESS facility, Rosie Class B LLC, the indirect owner of the Rosamond Central solar facility, utilizing the proceeds from borrowings received under the refinanced debt facility, issued a loan to Clearway Renew,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and also made equity contributions to Rosie BESS Devco LLC, or Rosie Central BESS, which were accounted for as investments under the equity method of accounting, as further described in </w:t>
      </w:r>
      <w:r>
        <w:rPr>
          <w:rFonts w:ascii="Times New Roman" w:cs="Times New Roman" w:eastAsia="Times New Roman" w:hAnsi="Times New Roman"/>
          <w:sz w:val="14"/>
          <w:szCs w:val="14"/>
          <w:color w:val="000000"/>
        </w:rPr>
        <w:t>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5, </w:t>
      </w:r>
      <w:r>
        <w:rPr>
          <w:rFonts w:ascii="Times New Roman" w:cs="Times New Roman" w:eastAsia="Times New Roman" w:hAnsi="Times New Roman"/>
          <w:sz w:val="14"/>
          <w:szCs w:val="14"/>
          <w:i w:val="1"/>
          <w:iCs w:val="1"/>
          <w:color w:val="000000"/>
        </w:rPr>
        <w:t>Investments Accounted for by the Equity Method and Variable Interest Entities</w:t>
      </w:r>
      <w:r>
        <w:rPr>
          <w:rFonts w:ascii="Times New Roman" w:cs="Times New Roman" w:eastAsia="Times New Roman" w:hAnsi="Times New Roman"/>
          <w:sz w:val="14"/>
          <w:szCs w:val="14"/>
          <w:color w:val="000000"/>
        </w:rPr>
        <w:t xml:space="preserve">. The BESS facility has a 15-year PPA for capacity with an investment-grade utility that commenced in July 2024. The Rosamond Central BESS operations are reflected in the Company’s Renewables &amp; Storage segment and the Company’s portion of the purchase price was funded with existing sources of liquidity. The acquisition was determined to be an asset acquisition and the Company consolidates the Rosamond Central BESS net assets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000000"/>
        </w:rPr>
        <w:t>Business Combinations - Related Issues</w:t>
      </w:r>
      <w:r>
        <w:rPr>
          <w:rFonts w:ascii="Times New Roman" w:cs="Times New Roman" w:eastAsia="Times New Roman" w:hAnsi="Times New Roman"/>
          <w:sz w:val="14"/>
          <w:szCs w:val="14"/>
          <w:color w:val="000000"/>
        </w:rPr>
        <w:t>. The difference between the historical cost of the Company’s net assets acquired of $266 million and the Company’s initial cash consideration of $70 million was recorded as an adjustment to CEG’s noncontrolling interest balance. The $279 million additional purchase price was also recorded as an adjustment to CEG’s noncontrolling interest balance.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Rosamond Central BESS</w:t>
            </w:r>
          </w:p>
        </w:tc>
      </w:tr>
      <w:tr>
        <w:trPr>
          <w:trHeight w:val="173"/>
        </w:trPr>
        <w:tc>
          <w:tcPr>
            <w:tcW w:w="90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12"/>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8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$272 million.</w:t>
      </w:r>
    </w:p>
    <w:p>
      <w:pPr>
        <w:spacing w:after="0" w:line="1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Victory Pass and Arica Drop Down </w:t>
      </w:r>
      <w:r>
        <w:rPr>
          <w:rFonts w:ascii="Times New Roman" w:cs="Times New Roman" w:eastAsia="Times New Roman" w:hAnsi="Times New Roman"/>
          <w:sz w:val="14"/>
          <w:szCs w:val="14"/>
          <w:color w:val="auto"/>
        </w:rPr>
        <w:t xml:space="preserve">— On October 31, 2023, the Company, through its indirect subsidiary, VP-Arica 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for initial cash consideration of $46 million. Simultaneously, a third-party cash equity investor acquired the Class B membership interests in VP-Arica TargetCo LLC from Clearway Renew for initial cash consideration of $87 million. On May 1, 2024, when the facilities reached substantial completion, the Company paid $165 million to Clearway Renew as additional purchase price and the third-party cash equity investor contributed an additional $347 million. VP-Arica TargetCo LLC consolidates as primary beneficiary, VP-Arica TE Holdco LLC, a tax equity fund that owns the Victory Pass and Arica solar and BESS facilities. Victory Pass and Arica each have PPAs with investment-grade counterparties that have a 15-year and 14-year weighted average contract duration, respectively, that commenced between March 2024 and April 2024. The Victory Pass and Arica operations are reflected in the Company’s Renewables &amp; Storage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$46 million and the historical cost of the Company’s net liabilities assumed of $1 million was recorded as an adjustment to CEG’s noncontrolling interest balance. The $165 million additional purchase price was also recorded as an adjustment to CEG’s noncontrolling interest balance. In addition, the Company reflected the entire $46 million of the Company’s initial purchase price, which was contributed back to the Company by CEG to pay down the acquired long-term debt, in the line item distributions to CEG, net of contributions, in the consolidated statements of stockholders’ equity. The Company also reflected the entire $165 million of the Company’s additional purchase price, which was contributed back to the Company by CEG to pay down long-term debt, in the line item contributions to CEG, net of distributions, in the consolidated statements of stockholders’ equity.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4" w:name="page105"/>
    <w:bookmarkEnd w:id="104"/>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Victory Pass and Arica</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212"/>
        </w:trPr>
        <w:tc>
          <w:tcPr>
            <w:tcW w:w="9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4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$893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$483 million cash equity bridge loan and $385 million tax equity bridge loan, offset by $4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Cedar Creek operations are reflected in the Company’s Renewables &amp; Storage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Company’s cash paid of $117 million and the historical cost of the Company’s net assets acquired of $17 million was recorded as an adjustment to CEG’s noncontrolling interest balance. In addition, the Company reflected the entire $117 million purchase price, which was contributed back to the Company by CEG to pay down the acquired long-term debt, in the line item contributions from CEG, net of distributions, in the consolidated statements of stockholders’ equity.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16,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Cedar Creek</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7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tcPr>
          <w:p>
            <w:pPr>
              <w:spacing w:after="0"/>
              <w:rPr>
                <w:sz w:val="9"/>
                <w:szCs w:val="9"/>
                <w:color w:val="auto"/>
              </w:rPr>
            </w:pPr>
          </w:p>
        </w:tc>
      </w:tr>
    </w:tbl>
    <w:p>
      <w:pPr>
        <w:spacing w:after="0" w:line="87" w:lineRule="exact"/>
        <w:rPr>
          <w:sz w:val="20"/>
          <w:szCs w:val="20"/>
          <w:color w:val="auto"/>
        </w:rPr>
      </w:pPr>
    </w:p>
    <w:p>
      <w:pPr>
        <w:ind w:left="60" w:firstLine="9"/>
        <w:spacing w:after="0" w:line="230" w:lineRule="auto"/>
        <w:tabs>
          <w:tab w:leader="none" w:pos="190"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$112 million construction loan, a $91 million cash equity bridge loan, and a $109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5" w:name="page106"/>
    <w:bookmarkEnd w:id="105"/>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of which $17 million was funded by the Company, with the remaining $95 million funded through a contribution from the third-party cash equity investor in Lighthouse Renewable Holdco 2 LLC, a partnership. Lighthouse Renewable Holdco 2 LLC indirectly consolidates as primary beneficiary, TSN1 TE Holdco LLC, a tax equity fund that owns Texas Solar Nova 1 and Texas Solar Nova 2</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Texas Solar Nova 2 has an 18-year PPA with an investment-grade counterparty that commenced in February 2024. The Texas Solar Nova 2 operations are reflected in the Company’s Renewables &amp; Storage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Company’s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contributions from CEG, net of distributions, in the consolidated statements of stockholders’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Dispositions</w:t>
      </w:r>
    </w:p>
    <w:p>
      <w:pPr>
        <w:spacing w:after="0" w:line="1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Mt. Storm Sale to Clearway Renew </w:t>
      </w:r>
      <w:r>
        <w:rPr>
          <w:rFonts w:ascii="Times New Roman" w:cs="Times New Roman" w:eastAsia="Times New Roman" w:hAnsi="Times New Roman"/>
          <w:sz w:val="14"/>
          <w:szCs w:val="14"/>
          <w:color w:val="auto"/>
        </w:rPr>
        <w:t>— On October 2, 2025, the Company, through its indirect subsidiary, WV Wind Holdco LLC, sold 100% of its membership interests in Mount Storm Wind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LLC, which owns Mt. Storm, a 264 MW wind facility located in Grant County, West Virginia,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Upon achieving repowering commercial operations, which is expected to occur in the second half of 2026, the facility will sell power to Microsoft under a 20-year PPA. The membership interests sold by the Company relate to interests under common control, and thus, the sale was accounted for as a transfer of assets under common control, with the difference between the cash received of $152 million and the net assets transferred of $51 million recorded as an adjustment to CEG’s noncontrolling interest balance.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6" w:name="page107"/>
    <w:bookmarkEnd w:id="106"/>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disposition as of October 2,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Mt. Storm</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transferred</w:t>
            </w:r>
          </w:p>
        </w:tc>
        <w:tc>
          <w:tcPr>
            <w:tcW w:w="4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2"/>
        </w:trPr>
        <w:tc>
          <w:tcPr>
            <w:tcW w:w="9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transferred</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transferred</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major classes of property, plant, and equipment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Depreciable Lives</w:t>
            </w:r>
          </w:p>
        </w:tc>
      </w:tr>
      <w:tr>
        <w:trPr>
          <w:trHeight w:val="154"/>
        </w:trPr>
        <w:tc>
          <w:tcPr>
            <w:tcW w:w="2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80" w:type="dxa"/>
            <w:vAlign w:val="bottom"/>
            <w:gridSpan w:val="3"/>
          </w:tcPr>
          <w:p>
            <w:pPr>
              <w:jc w:val="right"/>
              <w:ind w:right="131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8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 and equipment</w:t>
            </w: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3 - 40 Years</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1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50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(a) (b)</w:t>
            </w:r>
          </w:p>
        </w:tc>
        <w:tc>
          <w:tcPr>
            <w:tcW w:w="1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16,269</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spacing w:after="0"/>
              <w:rPr>
                <w:sz w:val="9"/>
                <w:szCs w:val="9"/>
                <w:color w:val="auto"/>
              </w:rPr>
            </w:pPr>
          </w:p>
        </w:tc>
      </w:tr>
    </w:tbl>
    <w:p>
      <w:pPr>
        <w:spacing w:after="0" w:line="106" w:lineRule="exact"/>
        <w:rPr>
          <w:sz w:val="20"/>
          <w:szCs w:val="20"/>
          <w:color w:val="auto"/>
        </w:rPr>
      </w:pPr>
    </w:p>
    <w:p>
      <w:pPr>
        <w:ind w:left="60" w:firstLine="9"/>
        <w:spacing w:after="0" w:line="225" w:lineRule="auto"/>
        <w:tabs>
          <w:tab w:leader="none" w:pos="197"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December 31, 2025 and 2024, construction in progress included $24 million and $23 million, respectively, of capital expenditures that relate to prepaid long-term service agreements for facilities in the Flexible Generation segment.</w:t>
      </w:r>
    </w:p>
    <w:p>
      <w:pPr>
        <w:spacing w:after="0" w:line="18" w:lineRule="exact"/>
        <w:rPr>
          <w:rFonts w:ascii="Times New Roman" w:cs="Times New Roman" w:eastAsia="Times New Roman" w:hAnsi="Times New Roman"/>
          <w:sz w:val="17"/>
          <w:szCs w:val="17"/>
          <w:color w:val="auto"/>
          <w:vertAlign w:val="superscript"/>
        </w:rPr>
      </w:pPr>
    </w:p>
    <w:p>
      <w:pPr>
        <w:ind w:left="200" w:hanging="131"/>
        <w:spacing w:after="0"/>
        <w:tabs>
          <w:tab w:leader="none" w:pos="20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As of December 31, 2025 and 2024, construction in progress included $12 million and $9 million, respectively, of accrued non-cash capital expenditures.</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Depreciation expense related to property, plant and equipment during the years ended December 31, 2025, 2024 and 2023 was $662 million, $610 million and $514 million, respectively. The Company accelerated depreciation of both the Mt. Storm and Goat Mountain wind facilities related to the repowering of the facilities, which resulted in additional depreciation expense in the amount of $22 million for the year ended December 31, 2025.</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 recorded long-lived asset impairments during the year ended December 31, 2023, as further described in Note 9, </w:t>
      </w:r>
      <w:r>
        <w:rPr>
          <w:rFonts w:ascii="Times New Roman" w:cs="Times New Roman" w:eastAsia="Times New Roman" w:hAnsi="Times New Roman"/>
          <w:sz w:val="14"/>
          <w:szCs w:val="14"/>
          <w:i w:val="1"/>
          <w:iCs w:val="1"/>
          <w:color w:val="auto"/>
        </w:rPr>
        <w:t>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December 31,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360" w:type="dxa"/>
            <w:vAlign w:val="bottom"/>
          </w:tcPr>
          <w:p>
            <w:pPr>
              <w:spacing w:after="0"/>
              <w:rPr>
                <w:sz w:val="16"/>
                <w:szCs w:val="16"/>
                <w:color w:val="auto"/>
              </w:rPr>
            </w:pPr>
          </w:p>
        </w:tc>
        <w:tc>
          <w:tcPr>
            <w:tcW w:w="206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6"/>
                <w:szCs w:val="16"/>
                <w:b w:val="1"/>
                <w:bCs w:val="1"/>
                <w:color w:val="auto"/>
                <w:vertAlign w:val="superscript"/>
              </w:rPr>
              <w:t>(a)</w:t>
            </w:r>
          </w:p>
        </w:tc>
      </w:tr>
      <w:tr>
        <w:trPr>
          <w:trHeight w:val="159"/>
        </w:trPr>
        <w:tc>
          <w:tcPr>
            <w:tcW w:w="2200" w:type="dxa"/>
            <w:vAlign w:val="bottom"/>
            <w:tcBorders>
              <w:top w:val="single" w:sz="8" w:color="auto"/>
            </w:tcBorders>
          </w:tcPr>
          <w:p>
            <w:pPr>
              <w:spacing w:after="0"/>
              <w:rPr>
                <w:sz w:val="13"/>
                <w:szCs w:val="13"/>
                <w:color w:val="auto"/>
              </w:rPr>
            </w:pPr>
          </w:p>
        </w:tc>
        <w:tc>
          <w:tcPr>
            <w:tcW w:w="4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6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Desert Sunlight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340" w:type="dxa"/>
            <w:vAlign w:val="bottom"/>
            <w:gridSpan w:val="3"/>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2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
        </w:trPr>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Pr>
          <w:p>
            <w:pPr>
              <w:spacing w:after="0"/>
              <w:rPr>
                <w:sz w:val="8"/>
                <w:szCs w:val="8"/>
                <w:color w:val="auto"/>
              </w:rPr>
            </w:pPr>
          </w:p>
        </w:tc>
      </w:tr>
    </w:tbl>
    <w:p>
      <w:pPr>
        <w:spacing w:after="0" w:line="23" w:lineRule="exact"/>
        <w:rPr>
          <w:sz w:val="20"/>
          <w:szCs w:val="20"/>
          <w:color w:val="auto"/>
        </w:rPr>
      </w:pPr>
    </w:p>
    <w:p>
      <w:pPr>
        <w:ind w:left="200" w:hanging="131"/>
        <w:spacing w:after="0"/>
        <w:tabs>
          <w:tab w:leader="none" w:pos="200" w:val="left"/>
        </w:tabs>
        <w:numPr>
          <w:ilvl w:val="0"/>
          <w:numId w:val="5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Company’s maximum exposure to loss is limited to its investment balances.</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GenConn is a VIE.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7" w:name="page108"/>
    <w:bookmarkEnd w:id="107"/>
    <w:p>
      <w:pPr>
        <w:ind w:left="320"/>
        <w:spacing w:after="0"/>
        <w:rPr>
          <w:sz w:val="20"/>
          <w:szCs w:val="20"/>
          <w:color w:val="auto"/>
        </w:rPr>
      </w:pPr>
      <w:r>
        <w:rPr>
          <w:rFonts w:ascii="Times New Roman" w:cs="Times New Roman" w:eastAsia="Times New Roman" w:hAnsi="Times New Roman"/>
          <w:sz w:val="14"/>
          <w:szCs w:val="14"/>
          <w:color w:val="auto"/>
        </w:rPr>
        <w:t>As of December 31, 2025 and 2024, the Company had $25 million and $20 million, respectively, of undistributed earnings from its equity method investments.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acquired its interest in Desert Sunlight on June 30, 2015, for $285 million, which resulted in a $181 million difference between the purchase price and the basis of the acquired assets and liabilities. The difference is attributable to the fair value of the property, plant and equipment and PPAs. The Company is amortizing the related basis differences to equity in earnings of unconsolidated subsidiaries over the related useful life of the underlying assets acquired. As of December 31, 2025, the carrying value of the basis difference is $109 million.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pro-rata share of non-recourse debt held by unconsolidated affiliates was $259 million as of December 31, 2025.</w:t>
      </w:r>
    </w:p>
    <w:p>
      <w:pPr>
        <w:spacing w:after="0" w:line="13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Rosie Central BESS </w:t>
      </w:r>
      <w:r>
        <w:rPr>
          <w:rFonts w:ascii="Times New Roman" w:cs="Times New Roman" w:eastAsia="Times New Roman" w:hAnsi="Times New Roman"/>
          <w:sz w:val="14"/>
          <w:szCs w:val="14"/>
          <w:color w:val="auto"/>
        </w:rPr>
        <w:t>— On June 13, 2024, when the Rosamond Central BESS facility reached substantial completion, Clearway Renew redeemed Rosie Class B LLC’s entire investment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$28 million in Rosie Central BESS utilizing the additional purchase price paid by the Company,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Rosie Class B LLC’s equity investment in Rosie Central BESS was comprised of contributions from the Company and the third-party cash equity investor in Rosie TargetCo LLC during the year ended December 31, 2023. The Company previously accounted for its investment in Rosie Central BESS as an equity method investment.</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summarized financial information for the Company’s equity method investments: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6440" w:type="dxa"/>
            <w:vAlign w:val="bottom"/>
          </w:tcPr>
          <w:p>
            <w:pPr>
              <w:spacing w:after="0"/>
              <w:rPr>
                <w:sz w:val="13"/>
                <w:szCs w:val="13"/>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206</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146</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113</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0"/>
        </w:trPr>
        <w:tc>
          <w:tcPr>
            <w:tcW w:w="64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(a)</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96</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95</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25</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4"/>
                <w:szCs w:val="14"/>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16</w:t>
            </w: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8"/>
        </w:trPr>
        <w:tc>
          <w:tcPr>
            <w:tcW w:w="6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20" w:type="dxa"/>
            <w:vAlign w:val="bottom"/>
            <w:tcBorders>
              <w:bottom w:val="single" w:sz="8" w:color="auto"/>
            </w:tcBorders>
          </w:tcPr>
          <w:p>
            <w:pPr>
              <w:spacing w:after="0"/>
              <w:rPr>
                <w:sz w:val="13"/>
                <w:szCs w:val="13"/>
                <w:color w:val="auto"/>
              </w:rPr>
            </w:pPr>
          </w:p>
        </w:tc>
      </w:tr>
      <w:tr>
        <w:trPr>
          <w:trHeight w:val="150"/>
        </w:trPr>
        <w:tc>
          <w:tcPr>
            <w:tcW w:w="6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7"/>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2"/>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spacing w:after="0"/>
              <w:rPr>
                <w:sz w:val="13"/>
                <w:szCs w:val="13"/>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77</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1,025</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66</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653</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r>
      <w:tr>
        <w:trPr>
          <w:trHeight w:val="170"/>
        </w:trPr>
        <w:tc>
          <w:tcPr>
            <w:tcW w:w="64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(a)</w:t>
            </w: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72</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358</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33</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208</w:t>
            </w:r>
          </w:p>
        </w:tc>
        <w:tc>
          <w:tcPr>
            <w:tcW w:w="6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3" w:lineRule="exact"/>
        <w:rPr>
          <w:sz w:val="20"/>
          <w:szCs w:val="20"/>
          <w:color w:val="auto"/>
        </w:rPr>
      </w:pPr>
    </w:p>
    <w:p>
      <w:pPr>
        <w:ind w:left="200" w:hanging="131"/>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Avenal, Elkhorn Ridge, GenConn and San Juan Mesa.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Variable Interest Entities, or VIEs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2025 related to the Company’s consolidated VIEs:</w:t>
      </w:r>
    </w:p>
    <w:p>
      <w:pPr>
        <w:spacing w:after="0" w:line="13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Honeycomb TE HoldCo LLC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October 15, 2025, Honeycomb 1 Holdco LLC, an indirect subsidiary of the Company, acquired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Honeycomb TargetCo. Honeycomb TargetCo consolidates as primary beneficiary, and through its ownership of the Class B membership interests, Honeycomb TE HoldCo LLC, a tax equity fund that owns the Honeycomb Portfolio BESS facilities. The Class A membership interests in Honeycomb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DGPV Funds </w:t>
      </w:r>
      <w:r>
        <w:rPr>
          <w:rFonts w:ascii="Times New Roman" w:cs="Times New Roman" w:eastAsia="Times New Roman" w:hAnsi="Times New Roman"/>
          <w:sz w:val="14"/>
          <w:szCs w:val="14"/>
          <w:color w:val="auto"/>
        </w:rPr>
        <w:t>— On August 11, 2025, Puma Class B LLC, an indirect subsidiary of the Company, acquired 100% of the Class A membership interests in Golden Puma Fund LLC, a tax equity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fund that owns several distributed solar facilities, from the tax equity investor for $3 million. Prior to the acquisition, the Company consolidated Golden Puma Fund LLC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and the cash paid to acquire the Class A membership interests was less than $1 million.</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Pine Forest TargetCo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June 10, 2025, Pine Forest CE Class A Owner LLC, an indirect subsidiary of the Company, acquired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additional paid-in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the Company.</w:t>
      </w:r>
    </w:p>
    <w:p>
      <w:pPr>
        <w:spacing w:after="0" w:line="9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Luna Valley TE Holdco LLC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April 29, 2025, LV-Daggett Parent Holdco LLC, an indirect subsidiary of the Company, acquired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27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1 TE Holdco LLC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April 29, 2025, LV-Daggett Parent Holdco LLC acquired Daggett 1 Class B. Daggett 1 Class B</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9" w:name="page110"/>
    <w:bookmarkEnd w:id="109"/>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Rosie South TargetCo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March 20, 2025, Rosamond South Investment LLC, an indirect subsidiary of the Company, acquired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additional paid-in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Pr>
          <w:p>
            <w:pPr>
              <w:spacing w:after="0"/>
              <w:rPr>
                <w:sz w:val="14"/>
                <w:szCs w:val="14"/>
                <w:color w:val="auto"/>
              </w:rPr>
            </w:pP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18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5,985</w:t>
            </w:r>
          </w:p>
        </w:tc>
      </w:tr>
      <w:tr>
        <w:trPr>
          <w:trHeight w:val="171"/>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r>
      <w:tr>
        <w:trPr>
          <w:trHeight w:val="184"/>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9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 and estimated fair value of the Company’s recorded financial instrument not carried at fair market value or that does not approximate fair value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40" w:type="dxa"/>
            <w:vAlign w:val="bottom"/>
          </w:tcPr>
          <w:p>
            <w:pPr>
              <w:spacing w:after="0"/>
              <w:rPr>
                <w:sz w:val="13"/>
                <w:szCs w:val="13"/>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4"/>
        </w:trPr>
        <w:tc>
          <w:tcPr>
            <w:tcW w:w="6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91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including current portion </w:t>
            </w:r>
            <w:r>
              <w:rPr>
                <w:rFonts w:ascii="Times New Roman" w:cs="Times New Roman" w:eastAsia="Times New Roman" w:hAnsi="Times New Roman"/>
                <w:sz w:val="18"/>
                <w:szCs w:val="18"/>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8,676</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7,237</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138811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89" w:lineRule="exact"/>
        <w:rPr>
          <w:sz w:val="20"/>
          <w:szCs w:val="20"/>
          <w:color w:val="auto"/>
        </w:rPr>
      </w:pPr>
    </w:p>
    <w:p>
      <w:pPr>
        <w:ind w:left="200" w:hanging="131"/>
        <w:spacing w:after="0"/>
        <w:tabs>
          <w:tab w:leader="none" w:pos="200"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Excludes net debt issuance costs, which are recorded as a reduction to long-term debt on the Company’s consolidated balance sheets.</w:t>
      </w:r>
    </w:p>
    <w:p>
      <w:pPr>
        <w:spacing w:after="0" w:line="200" w:lineRule="exact"/>
        <w:rPr>
          <w:rFonts w:ascii="Times New Roman" w:cs="Times New Roman" w:eastAsia="Times New Roman" w:hAnsi="Times New Roman"/>
          <w:sz w:val="17"/>
          <w:szCs w:val="17"/>
          <w:color w:val="auto"/>
          <w:vertAlign w:val="superscript"/>
        </w:rPr>
      </w:pPr>
    </w:p>
    <w:p>
      <w:pPr>
        <w:spacing w:after="0" w:line="341" w:lineRule="exact"/>
        <w:rPr>
          <w:rFonts w:ascii="Times New Roman" w:cs="Times New Roman" w:eastAsia="Times New Roman" w:hAnsi="Times New Roman"/>
          <w:sz w:val="17"/>
          <w:szCs w:val="17"/>
          <w:color w:val="auto"/>
          <w:vertAlign w:val="superscript"/>
        </w:rPr>
      </w:pPr>
    </w:p>
    <w:p>
      <w:pPr>
        <w:ind w:left="554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0" w:name="page111"/>
    <w:bookmarkEnd w:id="110"/>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2,032</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1,922</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269"/>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89"/>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3"/>
                <w:szCs w:val="13"/>
                <w:color w:val="auto"/>
              </w:rPr>
            </w:pPr>
          </w:p>
        </w:tc>
        <w:tc>
          <w:tcPr>
            <w:tcW w:w="1500" w:type="dxa"/>
            <w:vAlign w:val="bottom"/>
            <w:gridSpan w:val="2"/>
          </w:tcPr>
          <w:p>
            <w:pPr>
              <w:ind w:left="260"/>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660" w:type="dxa"/>
            <w:vAlign w:val="bottom"/>
          </w:tcPr>
          <w:p>
            <w:pPr>
              <w:spacing w:after="0"/>
              <w:rPr>
                <w:sz w:val="13"/>
                <w:szCs w:val="13"/>
                <w:color w:val="auto"/>
              </w:rPr>
            </w:pPr>
          </w:p>
        </w:tc>
        <w:tc>
          <w:tcPr>
            <w:tcW w:w="1120" w:type="dxa"/>
            <w:vAlign w:val="bottom"/>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ind w:left="280"/>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660" w:type="dxa"/>
            <w:vAlign w:val="bottom"/>
          </w:tcPr>
          <w:p>
            <w:pPr>
              <w:spacing w:after="0"/>
              <w:rPr>
                <w:sz w:val="13"/>
                <w:szCs w:val="13"/>
                <w:color w:val="auto"/>
              </w:rPr>
            </w:pPr>
          </w:p>
        </w:tc>
        <w:tc>
          <w:tcPr>
            <w:tcW w:w="1120" w:type="dxa"/>
            <w:vAlign w:val="bottom"/>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0" w:type="dxa"/>
            <w:vAlign w:val="bottom"/>
          </w:tcPr>
          <w:p>
            <w:pPr>
              <w:spacing w:after="0"/>
              <w:rPr>
                <w:sz w:val="1"/>
                <w:szCs w:val="1"/>
                <w:color w:val="auto"/>
              </w:rPr>
            </w:pPr>
          </w:p>
        </w:tc>
      </w:tr>
      <w:tr>
        <w:trPr>
          <w:trHeight w:val="160"/>
        </w:trPr>
        <w:tc>
          <w:tcPr>
            <w:tcW w:w="3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6"/>
                <w:szCs w:val="16"/>
                <w:color w:val="auto"/>
                <w:vertAlign w:val="superscript"/>
              </w:rPr>
              <w:t>(c)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6"/>
                <w:szCs w:val="16"/>
                <w:b w:val="1"/>
                <w:bCs w:val="1"/>
                <w:color w:val="auto"/>
                <w:vertAlign w:val="superscript"/>
              </w:rPr>
              <w:t>(d)</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6"/>
                <w:szCs w:val="16"/>
                <w:color w:val="auto"/>
                <w:vertAlign w:val="superscript"/>
              </w:rPr>
              <w:t>(e)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20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31"/>
        <w:spacing w:after="0"/>
        <w:tabs>
          <w:tab w:leader="none" w:pos="20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derivative assets or liabilities classified as Level 1 as of December 31, 2025 and 2024.</w:t>
      </w:r>
    </w:p>
    <w:p>
      <w:pPr>
        <w:spacing w:after="0" w:line="39"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interest rate swaps are measured at fair value using an income approach, which use readily observable inputs, such as forward interest rates (e.g., SOFR) and contractual terms to estimate fair value.</w:t>
      </w:r>
    </w:p>
    <w:p>
      <w:pPr>
        <w:spacing w:after="0" w:line="50"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short-term backbone transportation service contracts classified as Level 2 and heat rate call option contracts classified as Level 3.</w:t>
      </w:r>
    </w:p>
    <w:p>
      <w:pPr>
        <w:spacing w:after="0" w:line="4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SREC contract.</w:t>
      </w:r>
    </w:p>
    <w:p>
      <w:pPr>
        <w:spacing w:after="0" w:line="50" w:lineRule="exact"/>
        <w:rPr>
          <w:rFonts w:ascii="Times New Roman" w:cs="Times New Roman" w:eastAsia="Times New Roman" w:hAnsi="Times New Roman"/>
          <w:sz w:val="16"/>
          <w:szCs w:val="16"/>
          <w:color w:val="auto"/>
          <w:vertAlign w:val="superscript"/>
        </w:rPr>
      </w:pPr>
    </w:p>
    <w:p>
      <w:pPr>
        <w:ind w:left="60" w:firstLine="9"/>
        <w:spacing w:after="0" w:line="263" w:lineRule="auto"/>
        <w:tabs>
          <w:tab w:leader="none" w:pos="183" w:val="left"/>
        </w:tabs>
        <w:numPr>
          <w:ilvl w:val="0"/>
          <w:numId w:val="5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long-term power commodity contracts and heat rate call option contracts classified as Level 3. As of December 31, 2025 and 2024, $330 million and $366 million, respectively, related to long-term power commodity contracts, and $3 million and $5 million, respectively, related to heat rate call option contracts.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0"/>
        </w:trPr>
        <w:tc>
          <w:tcPr>
            <w:tcW w:w="6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62"/>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7"/>
              </w:rPr>
              <w:t>Fair Value Measurement Using Significant Unobservable Inputs (Level 3)</w:t>
            </w:r>
          </w:p>
        </w:tc>
        <w:tc>
          <w:tcPr>
            <w:tcW w:w="120" w:type="dxa"/>
            <w:vAlign w:val="bottom"/>
          </w:tcPr>
          <w:p>
            <w:pPr>
              <w:spacing w:after="0"/>
              <w:rPr>
                <w:sz w:val="14"/>
                <w:szCs w:val="14"/>
                <w:color w:val="auto"/>
              </w:rPr>
            </w:pPr>
          </w:p>
        </w:tc>
      </w:tr>
      <w:tr>
        <w:trPr>
          <w:trHeight w:val="17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4"/>
                <w:szCs w:val="14"/>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1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1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r>
      <w:tr>
        <w:trPr>
          <w:trHeight w:val="17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4"/>
                <w:szCs w:val="14"/>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6"/>
        </w:trPr>
        <w:tc>
          <w:tcPr>
            <w:tcW w:w="6860" w:type="dxa"/>
            <w:vAlign w:val="bottom"/>
            <w:shd w:val="clear" w:color="auto" w:fill="CCEEFF"/>
          </w:tcPr>
          <w:p>
            <w:pPr>
              <w:ind w:left="120"/>
              <w:spacing w:after="0" w:line="106" w:lineRule="exact"/>
              <w:rPr>
                <w:sz w:val="20"/>
                <w:szCs w:val="20"/>
                <w:color w:val="auto"/>
              </w:rPr>
            </w:pPr>
            <w:r>
              <w:rPr>
                <w:rFonts w:ascii="Times New Roman" w:cs="Times New Roman" w:eastAsia="Times New Roman" w:hAnsi="Times New Roman"/>
                <w:sz w:val="12"/>
                <w:szCs w:val="12"/>
                <w:color w:val="auto"/>
              </w:rPr>
              <w:t>Change in unrealized losses included in earnings for derivatives and other financial instruments held as of December</w:t>
            </w:r>
          </w:p>
        </w:tc>
        <w:tc>
          <w:tcPr>
            <w:tcW w:w="1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tcPr>
          <w:p>
            <w:pPr>
              <w:spacing w:after="0"/>
              <w:rPr>
                <w:sz w:val="9"/>
                <w:szCs w:val="9"/>
                <w:color w:val="auto"/>
              </w:rPr>
            </w:pPr>
          </w:p>
        </w:tc>
      </w:tr>
      <w:tr>
        <w:trPr>
          <w:trHeight w:val="184"/>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r>
      <w:tr>
        <w:trPr>
          <w:trHeight w:val="806"/>
        </w:trPr>
        <w:tc>
          <w:tcPr>
            <w:tcW w:w="686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6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2025, contracts valued with prices provided by models and other valuation techniques make up 8% of derivative assets, 93% of derivative liabilities and 100% of other financial instruments.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quantify the significant unobservable inputs used in developing the fair value of the Company’s Level 3 positions:</w:t>
      </w:r>
    </w:p>
    <w:p>
      <w:pPr>
        <w:spacing w:after="0" w:line="8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b w:val="1"/>
          <w:bCs w:val="1"/>
          <w:color w:val="auto"/>
        </w:rPr>
        <w:t>December 31, 2025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200" w:type="dxa"/>
            <w:vAlign w:val="bottom"/>
            <w:tcBorders>
              <w:top w:val="single" w:sz="8" w:color="auto"/>
              <w:bottom w:val="single" w:sz="8" w:color="auto"/>
            </w:tcBorders>
            <w:gridSpan w:val="2"/>
          </w:tcPr>
          <w:p>
            <w:pPr>
              <w:jc w:val="right"/>
              <w:ind w:right="137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6"/>
              </w:rPr>
              <w:t>Input/Range</w:t>
            </w: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5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8"/>
              </w:rPr>
              <w:t>Significant Unobservable</w:t>
            </w:r>
          </w:p>
        </w:tc>
        <w:tc>
          <w:tcPr>
            <w:tcW w:w="340" w:type="dxa"/>
            <w:vAlign w:val="bottom"/>
          </w:tcPr>
          <w:p>
            <w:pPr>
              <w:spacing w:after="0"/>
              <w:rPr>
                <w:sz w:val="10"/>
                <w:szCs w:val="10"/>
                <w:color w:val="auto"/>
              </w:rPr>
            </w:pPr>
          </w:p>
        </w:tc>
        <w:tc>
          <w:tcPr>
            <w:tcW w:w="100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Pr>
          <w:p>
            <w:pPr>
              <w:spacing w:after="0"/>
              <w:rPr>
                <w:sz w:val="10"/>
                <w:szCs w:val="10"/>
                <w:color w:val="auto"/>
              </w:rPr>
            </w:pPr>
          </w:p>
        </w:tc>
        <w:tc>
          <w:tcPr>
            <w:tcW w:w="11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120" w:type="dxa"/>
            <w:vAlign w:val="bottom"/>
          </w:tcPr>
          <w:p>
            <w:pPr>
              <w:spacing w:after="0"/>
              <w:rPr>
                <w:sz w:val="10"/>
                <w:szCs w:val="10"/>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330 Discounted Cash Flow</w:t>
            </w:r>
          </w:p>
        </w:tc>
        <w:tc>
          <w:tcPr>
            <w:tcW w:w="1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Forward Market Price ($ per</w:t>
            </w:r>
          </w:p>
        </w:tc>
        <w:tc>
          <w:tcPr>
            <w:tcW w:w="34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56.51</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13</w:t>
            </w:r>
          </w:p>
        </w:tc>
        <w:tc>
          <w:tcPr>
            <w:tcW w:w="660" w:type="dxa"/>
            <w:vAlign w:val="bottom"/>
          </w:tcPr>
          <w:p>
            <w:pPr>
              <w:spacing w:after="0"/>
              <w:rPr>
                <w:sz w:val="13"/>
                <w:szCs w:val="13"/>
                <w:color w:val="auto"/>
              </w:rPr>
            </w:pPr>
          </w:p>
        </w:tc>
        <w:tc>
          <w:tcPr>
            <w:tcW w:w="15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color w:val="auto"/>
              </w:rPr>
              <w:t>3 Option Model</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Forward Market Price ($ per</w:t>
            </w:r>
          </w:p>
        </w:tc>
        <w:tc>
          <w:tcPr>
            <w:tcW w:w="3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(29.26)</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260.77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0" w:type="dxa"/>
            <w:vAlign w:val="bottom"/>
          </w:tcPr>
          <w:p>
            <w:pPr>
              <w:spacing w:after="0"/>
              <w:rPr>
                <w:sz w:val="1"/>
                <w:szCs w:val="1"/>
                <w:color w:val="auto"/>
              </w:rPr>
            </w:pPr>
          </w:p>
        </w:tc>
      </w:tr>
      <w:tr>
        <w:trPr>
          <w:trHeight w:val="16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Forward Market Price ($ per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color w:val="auto"/>
              </w:rPr>
              <w:t>Option Model</w:t>
            </w:r>
          </w:p>
        </w:tc>
        <w:tc>
          <w:tcPr>
            <w:tcW w:w="1600" w:type="dxa"/>
            <w:vAlign w:val="bottom"/>
            <w:vMerge w:val="continue"/>
          </w:tcPr>
          <w:p>
            <w:pPr>
              <w:spacing w:after="0"/>
              <w:rPr>
                <w:sz w:val="6"/>
                <w:szCs w:val="6"/>
                <w:color w:val="auto"/>
              </w:rPr>
            </w:pPr>
          </w:p>
        </w:tc>
        <w:tc>
          <w:tcPr>
            <w:tcW w:w="3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0.92</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4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7</w:t>
            </w:r>
          </w:p>
        </w:tc>
        <w:tc>
          <w:tcPr>
            <w:tcW w:w="66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 Discounted Cash Flow</w:t>
            </w:r>
          </w:p>
        </w:tc>
        <w:tc>
          <w:tcPr>
            <w:tcW w:w="160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60,047 MWh</w:t>
            </w: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120,094 MWh</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108,791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2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right"/>
              <w:ind w:right="137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6"/>
              </w:rPr>
              <w:t>Input/Range</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5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6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8"/>
              </w:rPr>
              <w:t>Significant Unobservable</w:t>
            </w:r>
          </w:p>
        </w:tc>
        <w:tc>
          <w:tcPr>
            <w:tcW w:w="340" w:type="dxa"/>
            <w:vAlign w:val="bottom"/>
          </w:tcPr>
          <w:p>
            <w:pPr>
              <w:spacing w:after="0"/>
              <w:rPr>
                <w:sz w:val="10"/>
                <w:szCs w:val="10"/>
                <w:color w:val="auto"/>
              </w:rPr>
            </w:pPr>
          </w:p>
        </w:tc>
        <w:tc>
          <w:tcPr>
            <w:tcW w:w="100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Pr>
          <w:p>
            <w:pPr>
              <w:spacing w:after="0"/>
              <w:rPr>
                <w:sz w:val="10"/>
                <w:szCs w:val="10"/>
                <w:color w:val="auto"/>
              </w:rPr>
            </w:pPr>
          </w:p>
        </w:tc>
        <w:tc>
          <w:tcPr>
            <w:tcW w:w="11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120" w:type="dxa"/>
            <w:vAlign w:val="bottom"/>
          </w:tcPr>
          <w:p>
            <w:pPr>
              <w:spacing w:after="0"/>
              <w:rPr>
                <w:sz w:val="10"/>
                <w:szCs w:val="10"/>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366 Discounted Cash Flow</w:t>
            </w:r>
          </w:p>
        </w:tc>
        <w:tc>
          <w:tcPr>
            <w:tcW w:w="1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Forward Market Price ($ per</w:t>
            </w:r>
          </w:p>
        </w:tc>
        <w:tc>
          <w:tcPr>
            <w:tcW w:w="34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Forward Market Price ($ per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9</w:t>
            </w:r>
          </w:p>
        </w:tc>
        <w:tc>
          <w:tcPr>
            <w:tcW w:w="660" w:type="dxa"/>
            <w:vAlign w:val="bottom"/>
          </w:tcPr>
          <w:p>
            <w:pPr>
              <w:spacing w:after="0"/>
              <w:rPr>
                <w:sz w:val="12"/>
                <w:szCs w:val="12"/>
                <w:color w:val="auto"/>
              </w:rPr>
            </w:pPr>
          </w:p>
        </w:tc>
        <w:tc>
          <w:tcPr>
            <w:tcW w:w="154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rPr>
              <w:t>5 Option Model</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1,011.79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color w:val="auto"/>
              </w:rPr>
              <w:t>Option Model</w:t>
            </w:r>
          </w:p>
        </w:tc>
        <w:tc>
          <w:tcPr>
            <w:tcW w:w="16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8"/>
              </w:rPr>
              <w:t>Forward Market Price $ (per</w:t>
            </w:r>
          </w:p>
        </w:tc>
        <w:tc>
          <w:tcPr>
            <w:tcW w:w="3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0.85</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4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 Discounted Cash Flow</w:t>
            </w:r>
          </w:p>
        </w:tc>
        <w:tc>
          <w:tcPr>
            <w:tcW w:w="160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59,425 MWh</w:t>
            </w: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118,850 MWh</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111,091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provides the impact on the fair value measurements to increases/(decreases) in significant unobservable inputs as of December 31, 2025 and </w:t>
      </w:r>
      <w:r>
        <w:rPr>
          <w:rFonts w:ascii="Times New Roman" w:cs="Times New Roman" w:eastAsia="Times New Roman" w:hAnsi="Times New Roman"/>
          <w:sz w:val="12"/>
          <w:szCs w:val="12"/>
          <w:color w:val="auto"/>
        </w:rPr>
        <w:t>2024</w:t>
      </w:r>
      <w:r>
        <w:rPr>
          <w:rFonts w:ascii="Times New Roman" w:cs="Times New Roman" w:eastAsia="Times New Roman" w:hAnsi="Times New Roman"/>
          <w:sz w:val="14"/>
          <w:szCs w:val="14"/>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72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8"/>
              </w:rPr>
              <w:t>Significant Observable Input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Change In Input</w:t>
            </w:r>
          </w:p>
        </w:tc>
        <w:tc>
          <w:tcPr>
            <w:tcW w:w="270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7"/>
              </w:rPr>
              <w:t>Impact on Fair Value Measurement</w:t>
            </w:r>
          </w:p>
        </w:tc>
      </w:tr>
      <w:tr>
        <w:trPr>
          <w:trHeight w:val="16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Forward Market Price Power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Increase/(Decrease)</w:t>
            </w:r>
          </w:p>
        </w:tc>
        <w:tc>
          <w:tcPr>
            <w:tcW w:w="2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97"/>
              </w:rPr>
              <w:t>Lower/(Higher)</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Forward Market Price Gas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Increase/(Decrease)</w:t>
            </w:r>
          </w:p>
        </w:tc>
        <w:tc>
          <w:tcPr>
            <w:tcW w:w="2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Higher/(Lower)</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Forecast Generation Levels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Increase/(Decrease)</w:t>
            </w:r>
          </w:p>
        </w:tc>
        <w:tc>
          <w:tcPr>
            <w:tcW w:w="2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97"/>
              </w:rPr>
              <w:t>Higher/(Lower)</w:t>
            </w:r>
          </w:p>
        </w:tc>
      </w:tr>
    </w:tbl>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2025, the non-performance reserve was a $16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Accounting for Derivative Instruments and Hedging Activities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that may arise in connection with its non-recourse debt or a potential refinancing of its Senior Notes. As of December 31,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energy-related derivative instruments extending through 2033. At December 31, 2025, these contracts were not designated as cash flow or fair value hedges.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Volumetric Underlying Derivative Transactions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6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17"/>
        </w:trPr>
        <w:tc>
          <w:tcPr>
            <w:tcW w:w="20" w:type="dxa"/>
            <w:vAlign w:val="bottom"/>
          </w:tcPr>
          <w:p>
            <w:pPr>
              <w:spacing w:after="0"/>
              <w:rPr>
                <w:sz w:val="10"/>
                <w:szCs w:val="10"/>
                <w:color w:val="auto"/>
              </w:rPr>
            </w:pPr>
          </w:p>
        </w:tc>
        <w:tc>
          <w:tcPr>
            <w:tcW w:w="29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4560" w:type="dxa"/>
            <w:vAlign w:val="bottom"/>
            <w:gridSpan w:val="3"/>
          </w:tcPr>
          <w:p>
            <w:pPr>
              <w:ind w:left="230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4560" w:type="dxa"/>
            <w:vAlign w:val="bottom"/>
            <w:gridSpan w:val="3"/>
            <w:shd w:val="clear" w:color="auto" w:fill="CCEEFF"/>
          </w:tcPr>
          <w:p>
            <w:pPr>
              <w:ind w:left="2300"/>
              <w:spacing w:after="0"/>
              <w:rPr>
                <w:sz w:val="20"/>
                <w:szCs w:val="20"/>
                <w:color w:val="auto"/>
              </w:rPr>
            </w:pPr>
            <w:r>
              <w:rPr>
                <w:rFonts w:ascii="Times New Roman" w:cs="Times New Roman" w:eastAsia="Times New Roman" w:hAnsi="Times New Roman"/>
                <w:sz w:val="14"/>
                <w:szCs w:val="14"/>
                <w:color w:val="auto"/>
              </w:rPr>
              <w:t>MWh</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4560" w:type="dxa"/>
            <w:vAlign w:val="bottom"/>
            <w:gridSpan w:val="3"/>
          </w:tcPr>
          <w:p>
            <w:pPr>
              <w:ind w:left="2300"/>
              <w:spacing w:after="0"/>
              <w:rPr>
                <w:sz w:val="20"/>
                <w:szCs w:val="20"/>
                <w:color w:val="auto"/>
              </w:rPr>
            </w:pPr>
            <w:r>
              <w:rPr>
                <w:rFonts w:ascii="Times New Roman" w:cs="Times New Roman" w:eastAsia="Times New Roman" w:hAnsi="Times New Roman"/>
                <w:sz w:val="14"/>
                <w:szCs w:val="14"/>
                <w:color w:val="auto"/>
              </w:rPr>
              <w:t>MMBtu</w:t>
            </w:r>
          </w:p>
        </w:tc>
        <w:tc>
          <w:tcPr>
            <w:tcW w:w="140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5</w:t>
            </w:r>
          </w:p>
        </w:tc>
        <w:tc>
          <w:tcPr>
            <w:tcW w:w="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4560" w:type="dxa"/>
            <w:vAlign w:val="bottom"/>
            <w:gridSpan w:val="3"/>
            <w:shd w:val="clear" w:color="auto" w:fill="CCEEFF"/>
          </w:tcPr>
          <w:p>
            <w:pPr>
              <w:ind w:left="2300"/>
              <w:spacing w:after="0"/>
              <w:rPr>
                <w:sz w:val="20"/>
                <w:szCs w:val="20"/>
                <w:color w:val="auto"/>
              </w:rPr>
            </w:pPr>
            <w:r>
              <w:rPr>
                <w:rFonts w:ascii="Times New Roman" w:cs="Times New Roman" w:eastAsia="Times New Roman" w:hAnsi="Times New Roman"/>
                <w:sz w:val="14"/>
                <w:szCs w:val="14"/>
                <w:color w:val="auto"/>
              </w:rPr>
              <w:t>Dollars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4,080</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40" w:type="dxa"/>
            <w:vAlign w:val="bottom"/>
          </w:tcPr>
          <w:p>
            <w:pPr>
              <w:spacing w:after="0"/>
              <w:rPr>
                <w:sz w:val="13"/>
                <w:szCs w:val="13"/>
                <w:color w:val="auto"/>
              </w:rPr>
            </w:pPr>
          </w:p>
        </w:tc>
        <w:tc>
          <w:tcPr>
            <w:tcW w:w="2560" w:type="dxa"/>
            <w:vAlign w:val="bottom"/>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14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4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4" w:name="page115"/>
    <w:bookmarkEnd w:id="114"/>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December 31, 2025 and 2024,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6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35"/>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6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7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(OCL) balance attributable to interest rate swaps designated as cash flow hedge derivatives, net of tax:</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40" w:type="dxa"/>
            <w:vAlign w:val="bottom"/>
          </w:tcPr>
          <w:p>
            <w:pPr>
              <w:spacing w:after="0"/>
              <w:rPr>
                <w:sz w:val="13"/>
                <w:szCs w:val="13"/>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0"/>
        </w:trPr>
        <w:tc>
          <w:tcPr>
            <w:tcW w:w="7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beginning balance</w:t>
            </w:r>
          </w:p>
        </w:tc>
        <w:tc>
          <w:tcPr>
            <w:tcW w:w="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Rosamond South I Drop Down </w:t>
            </w:r>
            <w:r>
              <w:rPr>
                <w:rFonts w:ascii="Times New Roman" w:cs="Times New Roman" w:eastAsia="Times New Roman" w:hAnsi="Times New Roman"/>
                <w:sz w:val="18"/>
                <w:szCs w:val="18"/>
                <w:color w:val="auto"/>
                <w:vertAlign w:val="superscript"/>
              </w:rPr>
              <w:t>(a)</w:t>
            </w:r>
          </w:p>
        </w:tc>
        <w:tc>
          <w:tcPr>
            <w:tcW w:w="8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Daggett 1 Drop Down </w:t>
            </w:r>
            <w:r>
              <w:rPr>
                <w:rFonts w:ascii="Times New Roman" w:cs="Times New Roman" w:eastAsia="Times New Roman" w:hAnsi="Times New Roman"/>
                <w:sz w:val="18"/>
                <w:szCs w:val="18"/>
                <w:color w:val="auto"/>
                <w:vertAlign w:val="superscript"/>
              </w:rPr>
              <w:t>(b)</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Luna Valley Drop Down </w:t>
            </w:r>
            <w:r>
              <w:rPr>
                <w:rFonts w:ascii="Times New Roman" w:cs="Times New Roman" w:eastAsia="Times New Roman" w:hAnsi="Times New Roman"/>
                <w:sz w:val="18"/>
                <w:szCs w:val="18"/>
                <w:color w:val="auto"/>
                <w:vertAlign w:val="superscript"/>
              </w:rPr>
              <w:t>(c)</w:t>
            </w:r>
          </w:p>
        </w:tc>
        <w:tc>
          <w:tcPr>
            <w:tcW w:w="8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Pine Forest Drop Down </w:t>
            </w:r>
            <w:r>
              <w:rPr>
                <w:rFonts w:ascii="Times New Roman" w:cs="Times New Roman" w:eastAsia="Times New Roman" w:hAnsi="Times New Roman"/>
                <w:sz w:val="18"/>
                <w:szCs w:val="18"/>
                <w:color w:val="auto"/>
                <w:vertAlign w:val="superscript"/>
              </w:rPr>
              <w:t>(d)</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Honeycomb Portfolio Drop Down </w:t>
            </w:r>
            <w:r>
              <w:rPr>
                <w:rFonts w:ascii="Times New Roman" w:cs="Times New Roman" w:eastAsia="Times New Roman" w:hAnsi="Times New Roman"/>
                <w:sz w:val="18"/>
                <w:szCs w:val="18"/>
                <w:color w:val="auto"/>
                <w:vertAlign w:val="superscript"/>
              </w:rPr>
              <w:t>(e)</w:t>
            </w:r>
          </w:p>
        </w:tc>
        <w:tc>
          <w:tcPr>
            <w:tcW w:w="8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Reclassified from accumulated OCI to income due to realization of previously deferred amounts</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OCI ending balance, net of income tax (benefit) expense of $(1), $1 and $2, respectively</w:t>
            </w:r>
          </w:p>
        </w:tc>
        <w:tc>
          <w:tcPr>
            <w:tcW w:w="8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60"/>
              <w:spacing w:after="0" w:line="143"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680"/>
              <w:spacing w:after="0" w:line="143"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OCI attributable to Clearway Energy, Inc.</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Losses expected to be realized from OCL during the next 12 months, net of income tax benefit of $2</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40" w:type="dxa"/>
            <w:vAlign w:val="bottom"/>
            <w:vMerge w:val="continue"/>
          </w:tcPr>
          <w:p>
            <w:pPr>
              <w:spacing w:after="0"/>
              <w:rPr>
                <w:sz w:val="12"/>
                <w:szCs w:val="12"/>
                <w:color w:val="auto"/>
              </w:rPr>
            </w:pPr>
          </w:p>
        </w:tc>
        <w:tc>
          <w:tcPr>
            <w:tcW w:w="800" w:type="dxa"/>
            <w:vAlign w:val="bottom"/>
          </w:tcPr>
          <w:p>
            <w:pPr>
              <w:jc w:val="right"/>
              <w:ind w:right="65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Represents $1 million attributable to the Company and $3 million attributable to noncontrolling interests.</w:t>
      </w:r>
    </w:p>
    <w:p>
      <w:pPr>
        <w:ind w:left="60"/>
        <w:spacing w:after="0" w:line="233" w:lineRule="auto"/>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Represents $4 million attributable to the Company and $2 million attributable to noncontrolling interests.</w:t>
      </w:r>
    </w:p>
    <w:p>
      <w:pPr>
        <w:ind w:left="60"/>
        <w:spacing w:after="0" w:line="234" w:lineRule="auto"/>
        <w:rPr>
          <w:sz w:val="20"/>
          <w:szCs w:val="20"/>
          <w:color w:val="auto"/>
        </w:rPr>
      </w:pP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1"/>
          <w:szCs w:val="11"/>
          <w:color w:val="auto"/>
        </w:rPr>
        <w:t xml:space="preserve"> Represents $5 million attributable to the Company and $3 million attributable to noncontrolling interests.</w:t>
      </w:r>
    </w:p>
    <w:p>
      <w:pPr>
        <w:ind w:left="60"/>
        <w:spacing w:after="0" w:line="234" w:lineRule="auto"/>
        <w:rPr>
          <w:sz w:val="20"/>
          <w:szCs w:val="20"/>
          <w:color w:val="auto"/>
        </w:rPr>
      </w:pPr>
      <w:r>
        <w:rPr>
          <w:rFonts w:ascii="Times New Roman" w:cs="Times New Roman" w:eastAsia="Times New Roman" w:hAnsi="Times New Roman"/>
          <w:sz w:val="18"/>
          <w:szCs w:val="18"/>
          <w:color w:val="auto"/>
          <w:vertAlign w:val="superscript"/>
        </w:rPr>
        <w:t>(d)</w:t>
      </w:r>
      <w:r>
        <w:rPr>
          <w:rFonts w:ascii="Times New Roman" w:cs="Times New Roman" w:eastAsia="Times New Roman" w:hAnsi="Times New Roman"/>
          <w:sz w:val="11"/>
          <w:szCs w:val="11"/>
          <w:color w:val="auto"/>
        </w:rPr>
        <w:t xml:space="preserve"> Represents $3 million attributable to the Company and $2 million attributable to noncontrolling interests.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(e)</w:t>
      </w:r>
      <w:r>
        <w:rPr>
          <w:rFonts w:ascii="Times New Roman" w:cs="Times New Roman" w:eastAsia="Times New Roman" w:hAnsi="Times New Roman"/>
          <w:sz w:val="11"/>
          <w:szCs w:val="11"/>
          <w:color w:val="auto"/>
        </w:rPr>
        <w:t xml:space="preserve"> Represents $2 million attributable to the Company and $1 million attributable to noncontrolling interests.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OCI/OCL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operations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7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Total operating revenues) </w:t>
            </w:r>
            <w:r>
              <w:rPr>
                <w:rFonts w:ascii="Times New Roman" w:cs="Times New Roman" w:eastAsia="Times New Roman" w:hAnsi="Times New Roman"/>
                <w:sz w:val="18"/>
                <w:szCs w:val="18"/>
                <w:color w:val="auto"/>
                <w:vertAlign w:val="superscript"/>
              </w:rPr>
              <w:t>(a)</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5"/>
                <w:szCs w:val="15"/>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242424"/>
              </w:rPr>
              <w:t>(32)</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7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Cost of operations) </w:t>
            </w:r>
            <w:r>
              <w:rPr>
                <w:rFonts w:ascii="Times New Roman" w:cs="Times New Roman" w:eastAsia="Times New Roman" w:hAnsi="Times New Roman"/>
                <w:sz w:val="18"/>
                <w:szCs w:val="18"/>
                <w:color w:val="auto"/>
                <w:vertAlign w:val="superscript"/>
              </w:rPr>
              <w:t>(b)</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242424"/>
              </w:rPr>
              <w:t>(2)</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7" w:lineRule="exact"/>
        <w:rPr>
          <w:sz w:val="20"/>
          <w:szCs w:val="20"/>
          <w:color w:val="auto"/>
        </w:rPr>
      </w:pPr>
    </w:p>
    <w:p>
      <w:pPr>
        <w:ind w:left="200" w:hanging="131"/>
        <w:spacing w:after="0"/>
        <w:tabs>
          <w:tab w:leader="none" w:pos="200" w:val="left"/>
        </w:tabs>
        <w:numPr>
          <w:ilvl w:val="0"/>
          <w:numId w:val="6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Relates to long-term energy-related commodity contracts at Elbow Creek, Mesquite Star, Mt. Storm, Langford and Mesquite Sky and heat rate call option energy-related commodity contracts at El Segundo, Marsh Landing and Walnut Creek.</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6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backbone transportation service energy-related commodity contracts at El Segundo and Walnut Creek.</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Note 8 — Intangible Assets</w:t>
      </w:r>
    </w:p>
    <w:p>
      <w:pPr>
        <w:spacing w:after="0" w:line="136" w:lineRule="exact"/>
        <w:rPr>
          <w:sz w:val="20"/>
          <w:szCs w:val="20"/>
          <w:color w:val="auto"/>
        </w:rPr>
      </w:pPr>
    </w:p>
    <w:p>
      <w:pPr>
        <w:ind w:firstLine="318"/>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The Company’s intangible assets as of December 31, 2025 and 2024 primarily reflect intangible assets established from its business acquisitions and are comprised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w:t>
      </w:r>
    </w:p>
    <w:p>
      <w:pPr>
        <w:spacing w:after="0" w:line="1" w:lineRule="exact"/>
        <w:rPr>
          <w:sz w:val="20"/>
          <w:szCs w:val="20"/>
          <w:color w:val="auto"/>
        </w:rPr>
      </w:pPr>
    </w:p>
    <w:p>
      <w:pPr>
        <w:ind w:left="520" w:hanging="260"/>
        <w:spacing w:after="0" w:line="284" w:lineRule="auto"/>
        <w:tabs>
          <w:tab w:leader="none" w:pos="516"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PPAs </w:t>
      </w:r>
      <w:r>
        <w:rPr>
          <w:rFonts w:ascii="Times New Roman" w:cs="Times New Roman" w:eastAsia="Times New Roman" w:hAnsi="Times New Roman"/>
          <w:sz w:val="14"/>
          <w:szCs w:val="14"/>
          <w:color w:val="auto"/>
        </w:rPr>
        <w:t>— Established predominantly with the acquisitions of the Alta Wind Portfolio, Tapestry, Laredo Ridge, Carlsbad Energy Center, Agua Caliente, the Utah Solar Portfolio, the Capistrano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Wind Portfolio, Tuolumne and Catalina. These represent the fair value of the PPAs acquired. These are amortized on a straight-line basis, over the term of the PPA.</w:t>
      </w:r>
    </w:p>
    <w:p>
      <w:pPr>
        <w:ind w:left="520" w:hanging="260"/>
        <w:spacing w:after="0" w:line="265"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Leasehold Rights </w:t>
      </w:r>
      <w:r>
        <w:rPr>
          <w:rFonts w:ascii="Times New Roman" w:cs="Times New Roman" w:eastAsia="Times New Roman" w:hAnsi="Times New Roman"/>
          <w:sz w:val="14"/>
          <w:szCs w:val="14"/>
          <w:color w:val="auto"/>
        </w:rPr>
        <w:t>— Established with the acquisition of the Alta Wind Portfolio, this represents the fair value of contractual rights to receive royalty payments equal to a percentage of PPA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from certain facilities. These are amortized as a reduction to operating revenue on a straight-line basis over the term of the PPAs.</w:t>
      </w:r>
    </w:p>
    <w:p>
      <w:pPr>
        <w:jc w:val="both"/>
        <w:ind w:left="520" w:hanging="260"/>
        <w:spacing w:after="0" w:line="230"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Emission Allowances </w:t>
      </w:r>
      <w:r>
        <w:rPr>
          <w:rFonts w:ascii="Times New Roman" w:cs="Times New Roman" w:eastAsia="Times New Roman" w:hAnsi="Times New Roman"/>
          <w:sz w:val="14"/>
          <w:szCs w:val="14"/>
          <w:color w:val="auto"/>
        </w:rPr>
        <w:t>— These intangibles primarily consist of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 allowances established with the El Segundo, Walnut Creek and Carlsbad Energy Center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emission allowances are held-for-use and are amortized to cost of operations, with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color w:val="auto"/>
        </w:rPr>
        <w:t xml:space="preserve"> allowances amortized on a straight-line basis and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allowances amortized based on units of production.</w:t>
      </w:r>
    </w:p>
    <w:p>
      <w:pPr>
        <w:spacing w:after="0" w:line="26"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 Consists of a) the acquisition date fair value of the contractual rights to a ground lease for South Trent and to utilize certain interconnection facilities for Blythe as well as land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acquired in connection with the acquisition of Elbow Creek; b) development rights related to certain solar business acquisitions; c) purchased software for certain solar facilities; d) RECs acquired in connection with the acquisition of the Utah Solar Portfolio; and e) favorable land leases acquired in connection with the acquisition of the Utah Solar Portfolio.</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components of intangible assets subject to amortization: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300" w:type="dxa"/>
            <w:vAlign w:val="bottom"/>
          </w:tcPr>
          <w:p>
            <w:pPr>
              <w:spacing w:after="0"/>
              <w:rPr>
                <w:sz w:val="11"/>
                <w:szCs w:val="1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2025</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Acquisitions </w:t>
            </w:r>
            <w:r>
              <w:rPr>
                <w:rFonts w:ascii="Times New Roman" w:cs="Times New Roman" w:eastAsia="Times New Roman" w:hAnsi="Times New Roman"/>
                <w:sz w:val="16"/>
                <w:szCs w:val="16"/>
                <w:color w:val="auto"/>
                <w:vertAlign w:val="superscript"/>
              </w:rPr>
              <w:t>(a)</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2025</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3"/>
                <w:szCs w:val="13"/>
                <w:color w:val="auto"/>
                <w:w w:val="92"/>
              </w:rPr>
              <w:t>(46)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w w:val="92"/>
              </w:rPr>
              <w:t>(6)</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weighted average life of acquired intangibles was 14 years for PPAs.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00" w:type="dxa"/>
            <w:vAlign w:val="bottom"/>
          </w:tcPr>
          <w:p>
            <w:pPr>
              <w:spacing w:after="0"/>
              <w:rPr>
                <w:sz w:val="11"/>
                <w:szCs w:val="1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2024</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58"/>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center"/>
              <w:ind w:left="7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ind w:left="858"/>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left="838"/>
              <w:spacing w:after="0"/>
              <w:rPr>
                <w:sz w:val="20"/>
                <w:szCs w:val="20"/>
                <w:color w:val="auto"/>
              </w:rPr>
            </w:pPr>
            <w:r>
              <w:rPr>
                <w:rFonts w:ascii="Times New Roman" w:cs="Times New Roman" w:eastAsia="Times New Roman" w:hAnsi="Times New Roman"/>
                <w:sz w:val="13"/>
                <w:szCs w:val="13"/>
                <w:color w:val="auto"/>
                <w:w w:val="92"/>
              </w:rPr>
              <w:t>(42)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center"/>
              <w:ind w:left="858"/>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recorded amortization expense of $189 million, $184 million and $186 million during the years ended December 31, 2025, 2024 and 2023, respectively. Of these amounts, $183 million, $178 million and $181 million during the years ended December 31, 2025, 2024 and 2023, respectively, were related to the amortization of intangible assets for PPAs and were recorded to contract amortization expense, which reduced operating revenues in the consolidated statements of operations. The Company estimates the amortization expense for its intangibles for each of the next five years will be $200 million.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Note 9 — 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Impairment Losses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facilities within the Renewables &amp; Storage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borrowings, including short-term and long-term portions,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Interest rate % </w:t>
            </w:r>
            <w:r>
              <w:rPr>
                <w:rFonts w:ascii="Times New Roman" w:cs="Times New Roman" w:eastAsia="Times New Roman" w:hAnsi="Times New Roman"/>
                <w:sz w:val="14"/>
                <w:szCs w:val="14"/>
                <w:b w:val="1"/>
                <w:bCs w:val="1"/>
                <w:color w:val="auto"/>
                <w:vertAlign w:val="superscript"/>
              </w:rPr>
              <w:t>(a)</w:t>
            </w:r>
          </w:p>
        </w:tc>
        <w:tc>
          <w:tcPr>
            <w:tcW w:w="480" w:type="dxa"/>
            <w:vAlign w:val="bottom"/>
          </w:tcPr>
          <w:p>
            <w:pPr>
              <w:spacing w:after="0"/>
              <w:rPr>
                <w:sz w:val="14"/>
                <w:szCs w:val="14"/>
                <w:color w:val="auto"/>
              </w:rPr>
            </w:pPr>
          </w:p>
        </w:tc>
      </w:tr>
      <w:tr>
        <w:trPr>
          <w:trHeight w:val="145"/>
        </w:trPr>
        <w:tc>
          <w:tcPr>
            <w:tcW w:w="54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r>
      <w:tr>
        <w:trPr>
          <w:trHeight w:val="17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2028-2032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- 4.750%</w:t>
            </w:r>
          </w:p>
        </w:tc>
      </w:tr>
      <w:tr>
        <w:trPr>
          <w:trHeight w:val="170"/>
        </w:trPr>
        <w:tc>
          <w:tcPr>
            <w:tcW w:w="5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w:t>
            </w:r>
            <w:r>
              <w:rPr>
                <w:rFonts w:ascii="Times New Roman" w:cs="Times New Roman" w:eastAsia="Times New Roman" w:hAnsi="Times New Roman"/>
                <w:sz w:val="16"/>
                <w:szCs w:val="16"/>
                <w:color w:val="auto"/>
                <w:vertAlign w:val="superscript"/>
              </w:rPr>
              <w:t>(b) (c)</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S+1.750%</w:t>
            </w:r>
          </w:p>
        </w:tc>
      </w:tr>
      <w:tr>
        <w:trPr>
          <w:trHeight w:val="1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facility-level debt:</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Fixed 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2031-2040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- 8.000%</w:t>
            </w: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rate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2026-2033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S+1.375%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- 2.750%</w:t>
            </w:r>
          </w:p>
        </w:tc>
      </w:tr>
      <w:tr>
        <w:trPr>
          <w:trHeight w:val="158"/>
        </w:trPr>
        <w:tc>
          <w:tcPr>
            <w:tcW w:w="54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7,235</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5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(d)</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60"/>
        </w:trPr>
        <w:tc>
          <w:tcPr>
            <w:tcW w:w="5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long-term debt</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6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of December 31, 2025, S+ equals SOFR plus x%.</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6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Applicable rate is determined by the borrower leverage ratio, as defined in the credit agreement, and only applies to outstanding borrowings.</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6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During January 2026, the Company repaid all of the outstanding borrowings under the revolving credit facility utilizing the proceeds from the sale of the 2034 Senior Notes, as further described below.</w:t>
      </w:r>
    </w:p>
    <w:p>
      <w:pPr>
        <w:spacing w:after="0" w:line="17"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6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Premiums relate to the 2028 Senior Notes.</w:t>
      </w:r>
    </w:p>
    <w:p>
      <w:pPr>
        <w:spacing w:after="0" w:line="110" w:lineRule="exact"/>
        <w:rPr>
          <w:sz w:val="20"/>
          <w:szCs w:val="20"/>
          <w:color w:val="auto"/>
        </w:rPr>
      </w:pPr>
    </w:p>
    <w:p>
      <w:pPr>
        <w:jc w:val="both"/>
        <w:ind w:left="60" w:firstLine="318"/>
        <w:spacing w:after="0" w:line="261"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each respective arrangement. Under the facility-level financing arrangements, each facility is permitted to pay distributions out of available cash as long as certain conditions are satisfied, including that no default under the applicable arrangements has occurred and that each facility is otherwise in compliance with all relevant conditions under the financing agreements, including meeting required financial ratios, where applicable. The Company’s facility-level financing arrangements are non-recourse to the Company, thus, each facility pledges its underlying assets as collateral, and if a facility is in default under its financing arrangement, then the related lender could demand repayment of the facility’s obligations or enforce its security interests with respect to the pledged collateral.</w:t>
      </w:r>
    </w:p>
    <w:p>
      <w:pPr>
        <w:spacing w:after="0" w:line="10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$1,063 million in letters of credit outstanding, $96 million of which is related to the Company’s revolving credit facility. Also as of December 31, 2025, the Company was in compliance with all of the required covenants.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i w:val="1"/>
          <w:iCs w:val="1"/>
          <w:color w:val="231F20"/>
        </w:rPr>
        <w:t>2034 Senior Notes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On January 13, 2026, Clearway Energy Operating LLC completed the sale of $600 million aggregate principal amount of senior unsecured notes due 2034, or the 2034 Senior Notes. The 2034 Senior Notes bear interest at 5.750%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Deriva Solar Portfolio</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February 5, 2026, in order to partially fund the third-party acquisition of the Deriva Solar Portfolio, which is expected to close in the first half of 2026, the Company, through its indirect subsidiary, Cardinal Investment Holdco LLC, entered into a financing agreement that provides for a term loan of up to $100 million and $119 million in letters of credit in support of debt service and facility obligations. The financing will be supported by the Company’s interest in the Deriva Solar Portfolio upon closing of the acquisition. Upon funding, the term loan will bear interest a rate of SOFR plus 2.00% per annum and will mature 364 days after the funding date.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Pine Forest</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June 10, 2025, as part of the acquisition of Pine Forest,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$103 million construction loan,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third-party cash equity investor related to the Pine Forest TargetCo acquisition.</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December 17, 2025, when Pine Forest reached substantial completion, the Company paid $50 million to Clearway Renew as an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third-party cash equity investor contributed $144 million, the Company contributed an additional $38 million for its Class A membership interests in Pine Forest 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HoldCo LLC and CEG contributed $49 million, which were utilized, along with the $9 million previously held in escrow, to repay the $100 million cash equity bridge loan, to repay the $41 million tax equity bridge loan, to partially repay $44 million of the tax credit transfer bridge loan, to fund $39 million in construction completion reserves, which is included in restricted cash on the Company’s consolidated balance sheet, and to pay $15 million in associated fees. Additionally, on December 17, 2025, the outstanding construction loans were converted to a term loan in the amount of $103 million that matures on December 17, 2030. Subsequent to the acquisition during 2025, the Company borrowed an additional $52 million in cash equity bridge loans.</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 January 2026, the Company repaid the $231 million outstanding on the tax credit transfer bridge loan utilizing the proceeds received from the sale of transferable ITCs, as further described in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and distributed the remaining $51 million to CEG.</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Honeycomb Portfolio</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October 15, 2025, as part of the acquisition of the Honeycomb Portfolio,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$218 million construction loan that converts to a term loan at substantial completion, which is expected to occur in the first half of 2026, and a $234 million tax equity bridge loan, offset by $9 million in unamortized debt issuance costs. The tax equity bridge loan will be repaid at substantial completion with the final proceeds received from the tax equity investor, as well as the Company’s additional purchase price, along with the $59 million that was contributed into escrow by the tax equity investor at acquisition date, which is included in restricted cash on the Company’s consolidated balance sheet. Subsequent to the acquisition during 2025, the Company borrowed an additional $38 million in construction loans through December 31, 2025.</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1</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April 29, 2025, as part of the acquisition of Daggett 1,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$92 million construction loan and a $131 million tax equity bridge loan, offset by $3 million in unamortized debt issuance costs.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9" w:name="page120"/>
    <w:bookmarkEnd w:id="119"/>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September 19, 2025, when Daggett 1 reached substantial completion, the Company paid $42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the tax equity investor contributed an additional $108 million, which was utilized, along with the $38 million previously held in escrow and $31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loan proceeds, to repay the $131 million tax equity bridge loan, to fund $6 million in construction completion reserves, which is included in restricted cash on the Company’s consolidated balance sheet, and to pay $7 million in associated fees with the remaining $33 million distributed to CEG. Additionally, on September 19, 2025, the outstanding construction loans were converted to a term loan in the amount of $132 million that matures on September 19, 2030. Subsequent to the acquisition during 2025, the Company borrowed an additional $40 million in construction loans.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Luna Valley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April 29, 2025, as part of the acquisition of Luna Valley,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September 4, 2025, when Luna Valley facility reached substantial completion, the Company paid $72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tax equity investor contributed an additional $114 million and CEG contributed $50 million, which were utilized, along with the $29 million previously held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escrow and $28 million in construction loan proceeds, to repay the $46 million cash equity bridge loan, to repay the $144 million tax equity bridge loan, to fund $22 million in construction completion reserves, which is included in restricted cash on the Company’s consolidated balance sheet, and to pay $9 million in associated fees. Additionally, on September 4, 2025, the outstanding construction loans were converted to a term loan in the amount of $195 million that matures on September 4, 2030. Subsequent to the acquisition during 2025, the Company borrowed an additional $51 million in construction loans.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South I</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20, 2025, as part of the acquisition of Rosamond South I,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August 13, 2025, when Rosamond South I reached substantial completion, the Company paid $29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third-party cash equity investor contributed an additional $41 million and the tax equity investor contributed an additional $226 million, which were utilized, along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$58 million previously held in escrow and $13 million in construction loan proceeds, to repay the $276 million tax equity bridge loan and to pay $9 million in associated fees with the remaining $53 million distributed to CEG. Additionally, on August 13, 2025, the outstanding construction loans were converted to a term loan in the amount of $228 million that matures on August 13, 2030. Subsequent to the acquisition during 2025, the Company borrowed an additional $49 million in construction loans and also received $46 million in contributions from CEG to pay for construction completion expenses.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Dan’s Mountain</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November 18, 2024, as part of the acquisition of Dan’s Mountain,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the Company assumed the facility’s financing agreement, which included a $77 million cash equity bridge loan and a $49 million tax equity bridge loan, offset by $1 million in unamortized debt issuance costs. A partial payment of $7 million was made on the cash equity bridge loan at acquisition date utilizing all of the proceeds from the Company, which were contributed back to the Company by CEG.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0" w:name="page121"/>
    <w:bookmarkEnd w:id="120"/>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On May 21, 2025, when the Dan’s Mountain facility reached substantial completion, the Company paid $36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Subsequent to the acquisition, the Company borrowed an additional $24 million in tax equity bridge loans during 2024 and $18 million in tax equity bridge loans during 2025. The Company also received $16 million in contributions from CEG to pay for construction completion expenses during 2025.</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Tuolumne</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April 29, 2025, in order to partially fund the third-party acquisition of the Tuolumne wind facility,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entered into a financing agreement, 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Buckthorn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Cedro Hill Repowering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December 12, 2023, the Company entered into a financing agreement for non-recourse debt for a total commitment of $254 million, which consists of construction loans, a tax equity bridge loan and a cash equity bridge loan, related to the repowering of the Cedro Hill wind facility. The Company’s initial borrowing of $165 million was utilized to repay the $72 million of outstanding principal under the original financing agreement, to pay $55 million to Clearway Renew for the future delivery of equipment, which was included in other non-current assets on the Company’s consolidated balance sheet, to pay $27 million to a third party for the future delivery of equipment, which was included in other non-current assets on the Company’s consolidated balance sheet, to pay a $4 million development services fee to Clearway Renew, to pay for $4 million in debt issuance costs that were deferred and to pay for $3 million in capital expenditures. During 2024, the $82 million of equipment was delivered, and therefore, was included in property, plant and equipment, net on the Company’s consolidated balance sheet as of December 31, 2024.</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$138 million tax equity bridge loan, the $16 million cash equity bridge loan, to fund $38 million in construction completion and related reserves, which was included in restricted cash on the Company’s consolidated balance sheet, to pay $11 million in construction invoices and to pay $4 million in associated fees with the remaining $26 million distributed to CEG. Also at substantial completion, the outstanding construction loans were converted to a term loan in the amount of $99 million. Under the new financing agreement, the Company borrowed $88 million during 2024.</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Capistrano Portfolio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Company utilized the proceeds from the term loan to pay off the existing debt in the amount of $63 million related to Broken Bow and Crofton Bluffs and to pay related financing costs.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1" w:name="page122"/>
    <w:bookmarkEnd w:id="121"/>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The letter of credit facility has an initial term of three years and the option for two additional one-year extensions.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(Rosie Class B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June 30, 2023, Rosie Class B LLC, the indirect owner of the Rosamond Central solar facility, amended its financing agreement to provide for (i) a refinanced term loan in the amount of $77 million, (ii) construction loans up to $115 million, (iii) tax equity bridge loans up to $188 million, (iv) an increase to the letter of credit sublimit to $41 million and (v) an extension of the maturity date of the term loan and construction loans to June 13, 2029.</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July 3, 2023, Rosie Class B LLC issued a loan to Clearway Renew, utilizing a portion of the loan proceeds under the amended financing agreement, in order to finance the construction of the BESS facility. On December 1, 2023, the Rosamond Central solar facility acquired the BESS facility from Clearway Renew for initial cash consideration of $70 million,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Clearway Renew utilized the funds to partially repay the loan.</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Clearway Renew repaid the $184 million outstanding loan balance owed to Rosie Class B LLC utilizing the additional purchase price of $279 million paid by the Company,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third-party cash equity investor, to fund $21 million in construction completion reserves, which was included in restricted cash on the Company’s consolidated balance sheet, and to pay $11 million in associated fees. Additionally, on June 13, 2024, the outstanding construction loans were converted to a term loan in the amount of $115 million. Under the amended financing agreement, the Company borrowed $271 million during 2023 and $30 million during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NIMH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June 11, 2024, the Company, through its indirect subsidiary, NIMH Solar LLC, </w:t>
      </w:r>
      <w:r>
        <w:rPr>
          <w:rFonts w:ascii="Times New Roman" w:cs="Times New Roman" w:eastAsia="Times New Roman" w:hAnsi="Times New Roman"/>
          <w:sz w:val="14"/>
          <w:szCs w:val="14"/>
          <w:color w:val="212529"/>
        </w:rPr>
        <w:t>refinanced its amended and restated credit agreement, which was scheduled to mature in September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resulting in the issuance of a $137 million term loan facility, as well as $17 million in letters of credit in support of debt service and facility obligations. </w:t>
      </w:r>
      <w:r>
        <w:rPr>
          <w:rFonts w:ascii="Times New Roman" w:cs="Times New Roman" w:eastAsia="Times New Roman" w:hAnsi="Times New Roman"/>
          <w:sz w:val="14"/>
          <w:szCs w:val="14"/>
          <w:color w:val="000000"/>
        </w:rPr>
        <w:t>The obligations under the new financing</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October 31, 2023, as part of the acquisition of Victory Pass and Arica,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the Company assumed the facility’s financing agreement, which included a $483 million cash equity bridge loan and a $385 million tax equity bridge loan, offset by $4 million in unamortized debt issuance costs. A partial payment of $133 million was made on the cash equity bridge loan at acquisition date utilizing all of the proceeds from the Company, which were contributed back to the Company by CEG, and the contribution from the third-party cash equity investor.</w:t>
      </w:r>
    </w:p>
    <w:p>
      <w:pPr>
        <w:spacing w:after="0" w:line="9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On May 1, 2024, when the facilities reached substantial completion, the Company paid $165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third-party cash equity investor contributed an additional $347 million, the tax equity investor contributed an additional $410 million and CEG contributed $52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which were utilized, along with $103 million held previously in escrow, to repay the $351 million cash equity bridge loan, to repay the $468 million tax equity bridge loan, to fund $75 million in construction completion reserves, which was included in restricted cash on the Company’s consolidated balance sheet, and to pay $18 million in associated fees. Subsequent to the acquisition, the Company borrowed an additional $22 million during 2023 and $62 million during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2" w:name="page123"/>
    <w:bookmarkEnd w:id="122"/>
    <w:p>
      <w:pPr>
        <w:ind w:left="320"/>
        <w:spacing w:after="0"/>
        <w:rPr>
          <w:sz w:val="20"/>
          <w:szCs w:val="20"/>
          <w:color w:val="auto"/>
        </w:rPr>
      </w:pPr>
      <w:r>
        <w:rPr>
          <w:rFonts w:ascii="Times New Roman" w:cs="Times New Roman" w:eastAsia="Times New Roman" w:hAnsi="Times New Roman"/>
          <w:sz w:val="14"/>
          <w:szCs w:val="14"/>
          <w:i w:val="1"/>
          <w:iCs w:val="1"/>
          <w:color w:val="auto"/>
        </w:rPr>
        <w:t>Cedar Creek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April 16, 2024, as part of the acquisition of Cedar Creek,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to the Company by CEG, to repay the tax equity bridge loan, to repay the cash equity bridge loan, to partially repay $2 million in construction loans, to fund $16 million in construction completion reserves, which was included in restricted cash on the Company’s consolidated balance sheet, and to pay $6 million in associated fees. Also at acquisition date, the outstanding construction loans were converted to a term loan in the amount of $110 million.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December 28, 2023, as part of the acquisition of Texas Solar Nova 1, the Company assumed the facility’s financing agreement, which included a $90 million construction loan, $109 million cash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third-party cash equity investor, to repay the $109 million cash equity bridge loan, to repay the $151 million tax equity bridge loan, to fund $18 million in construction completion reserves, which was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10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was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that may arise in connection with its non-recourse facility level debt or any potential refinancing of its Senior Notes. The facility level debt swaps amortize in proportion to their respective loans and are floating for a fixed rate where the subsidiary pays its counterparty the equivalent of a fixed interest payment on a predetermined notional amount and will receive quarterly the equivalent of a floating interest payment based on the same notional amount. All interest rate swap payments by the subsidiary and its counterparty are made quarterly and the SOFR is determined in advance of each interest period.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3" w:name="page124"/>
    <w:bookmarkEnd w:id="123"/>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swaps, some of which are forward starting as indicated, related to the Company’s facility level debt and the potential refinancing of its Senior Notes: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Fixed Interest</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Floating Interest</w:t>
            </w:r>
          </w:p>
        </w:tc>
        <w:tc>
          <w:tcPr>
            <w:tcW w:w="120" w:type="dxa"/>
            <w:vAlign w:val="bottom"/>
          </w:tcPr>
          <w:p>
            <w:pPr>
              <w:spacing w:after="0"/>
              <w:rPr>
                <w:sz w:val="12"/>
                <w:szCs w:val="12"/>
                <w:color w:val="auto"/>
              </w:rPr>
            </w:pPr>
          </w:p>
        </w:tc>
        <w:tc>
          <w:tcPr>
            <w:tcW w:w="182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Notional Amount at</w:t>
            </w: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of Principal</w:t>
            </w:r>
          </w:p>
        </w:tc>
        <w:tc>
          <w:tcPr>
            <w:tcW w:w="9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3"/>
          </w:tcPr>
          <w:p>
            <w:pPr>
              <w:jc w:val="center"/>
              <w:ind w:right="4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 2025 (In</w:t>
            </w:r>
          </w:p>
        </w:tc>
        <w:tc>
          <w:tcPr>
            <w:tcW w:w="15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9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4"/>
                <w:szCs w:val="14"/>
                <w:color w:val="auto"/>
              </w:rPr>
            </w:pPr>
          </w:p>
        </w:tc>
        <w:tc>
          <w:tcPr>
            <w:tcW w:w="182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158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Avra Valley</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March 31, 2023</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31, 2031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Alta Wind Asset Management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May 22, 2013</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15, 2031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2.63 %</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April 9, 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July 31, 2043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Capistrano Portfolio Holdco</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October 24,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September 30, 2033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2027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Cedar Creek</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April 30,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2049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Operating </w:t>
            </w:r>
            <w:r>
              <w:rPr>
                <w:rFonts w:ascii="Times New Roman" w:cs="Times New Roman" w:eastAsia="Times New Roman" w:hAnsi="Times New Roman"/>
                <w:sz w:val="16"/>
                <w:szCs w:val="16"/>
                <w:color w:val="auto"/>
                <w:vertAlign w:val="superscript"/>
              </w:rPr>
              <w:t>(a)</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Daggett 2</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2043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September 30,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Honeycomb Portfolio </w:t>
            </w:r>
            <w:r>
              <w:rPr>
                <w:rFonts w:ascii="Times New Roman" w:cs="Times New Roman" w:eastAsia="Times New Roman" w:hAnsi="Times New Roman"/>
                <w:sz w:val="16"/>
                <w:szCs w:val="16"/>
                <w:color w:val="auto"/>
                <w:vertAlign w:val="superscript"/>
              </w:rPr>
              <w:t>(a)</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Kansas South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28, 2013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31, 2030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Luna Valley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Class B</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NIMH Solar</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June 11,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January 31, 2033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November 30, 2019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October 31, 2040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Pine Forest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November 28,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Rosie South</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Trent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June 30, 2028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TSN1 Class B</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September 30, 2043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Viento Funding II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31, 2032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Tuolumne</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April 29, 2025</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March 31, 2040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5560" w:type="dxa"/>
            <w:vAlign w:val="bottom"/>
            <w:gridSpan w:val="11"/>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760" w:type="dxa"/>
            <w:vAlign w:val="bottom"/>
            <w:gridSpan w:val="12"/>
          </w:tcPr>
          <w:p>
            <w:pPr>
              <w:ind w:left="60"/>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As of December 31, 2025, the notional amount includes forward swaps that are not included in the percentage of outstanding principal disclosed.</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Annual Maturities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gridSpan w:val="12"/>
          </w:tcPr>
          <w:p>
            <w:pPr>
              <w:ind w:left="360"/>
              <w:spacing w:after="0"/>
              <w:rPr>
                <w:sz w:val="20"/>
                <w:szCs w:val="20"/>
                <w:color w:val="auto"/>
              </w:rPr>
            </w:pPr>
            <w:r>
              <w:rPr>
                <w:rFonts w:ascii="Times New Roman" w:cs="Times New Roman" w:eastAsia="Times New Roman" w:hAnsi="Times New Roman"/>
                <w:sz w:val="14"/>
                <w:szCs w:val="14"/>
                <w:color w:val="auto"/>
              </w:rPr>
              <w:t>Annual payments based on the maturities of the Company’s debt, for the years ending after December 31, 2025, are as follows:</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63"/>
        </w:trPr>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2026 </w:t>
            </w:r>
            <w:r>
              <w:rPr>
                <w:rFonts w:ascii="Times New Roman" w:cs="Times New Roman" w:eastAsia="Times New Roman" w:hAnsi="Times New Roman"/>
                <w:sz w:val="16"/>
                <w:szCs w:val="16"/>
                <w:color w:val="auto"/>
                <w:vertAlign w:val="superscript"/>
              </w:rPr>
              <w:t>(a)</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1,139</w:t>
            </w:r>
          </w:p>
        </w:tc>
        <w:tc>
          <w:tcPr>
            <w:tcW w:w="0" w:type="dxa"/>
            <w:vAlign w:val="bottom"/>
          </w:tcPr>
          <w:p>
            <w:pPr>
              <w:spacing w:after="0"/>
              <w:rPr>
                <w:sz w:val="1"/>
                <w:szCs w:val="1"/>
                <w:color w:val="auto"/>
              </w:rPr>
            </w:pPr>
          </w:p>
        </w:tc>
      </w:tr>
      <w:tr>
        <w:trPr>
          <w:trHeight w:val="165"/>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65"/>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863</w:t>
            </w: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168"/>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3,291</w:t>
            </w:r>
          </w:p>
        </w:tc>
        <w:tc>
          <w:tcPr>
            <w:tcW w:w="0" w:type="dxa"/>
            <w:vAlign w:val="bottom"/>
          </w:tcPr>
          <w:p>
            <w:pPr>
              <w:spacing w:after="0"/>
              <w:rPr>
                <w:sz w:val="1"/>
                <w:szCs w:val="1"/>
                <w:color w:val="auto"/>
              </w:rPr>
            </w:pPr>
          </w:p>
        </w:tc>
      </w:tr>
      <w:tr>
        <w:trPr>
          <w:trHeight w:val="188"/>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8,674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tabs>
          <w:tab w:leader="none" w:pos="190" w:val="left"/>
        </w:tabs>
        <w:numPr>
          <w:ilvl w:val="0"/>
          <w:numId w:val="6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At December 31, 2025, amount includes $431 million of construction-related financings recorded in long-term debt on the Company’s consolidated balance sheet that is being funded through long-term equity contributions or is converting to long-term debt.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Earnings Per Share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4" w:name="page125"/>
    <w:bookmarkEnd w:id="124"/>
    <w:p>
      <w:pPr>
        <w:ind w:left="320"/>
        <w:spacing w:after="0"/>
        <w:rPr>
          <w:sz w:val="20"/>
          <w:szCs w:val="20"/>
          <w:color w:val="auto"/>
        </w:rPr>
      </w:pPr>
      <w:r>
        <w:rPr>
          <w:rFonts w:ascii="Times New Roman" w:cs="Times New Roman" w:eastAsia="Times New Roman" w:hAnsi="Times New Roman"/>
          <w:sz w:val="14"/>
          <w:szCs w:val="14"/>
          <w:color w:val="auto"/>
        </w:rPr>
        <w:t>The reconciliation of the Company’s basic and diluted earnings per share is shown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52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Basic and diluted income per share attributable to Clearway Energy, Inc. common</w:t>
            </w: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Clearway Energy, Inc.</w:t>
            </w: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 and diluted</w:t>
            </w:r>
          </w:p>
        </w:tc>
        <w:tc>
          <w:tcPr>
            <w:tcW w:w="3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per weighted average common share — basic and diluted</w:t>
            </w: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0.75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income attributable to Clearway Energy, Inc. and basic and diluted earnings per share might not recalculate due to presenting amounts in millions rather than whole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Stockholders’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Equity Offering Program, or the ATM Program</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August 6, 2025, the Company entered into an equity distribution agreement with Morgan Stanley &amp; Co. LLC, BofA Securities, Inc., Citigroup Global Markets Inc., J.P. Morgan Securities LLC and Wells Fargo Securities LLC, as sales agents. Pursuant to the terms of the agreement, the Company may offer and sell shares of its Class C common stock, from time to time through the sales agents, up to an aggregate sales price of $100 million through an at-the-market equity offering program, or ATM Program. During the year ended December 31, 2025, the Company sold 787,980 shares of Class C common stock under the ATM Program for gross proceeds of $25 million and incurred fees of less than $1 million, which were exchanged for 787,980 Class C units of Clearway Energy LLC. The net proceeds from the sale of shares under the ATM Program were used for general corporate purposes. As of December 31, 2025, approximately $75 million of Class C common stock remained available for issuance under the ATM Program.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Reinvestment and Direct Stock Purchase Plan, or DRIP/DSPP</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On August 6, 2025, the Company adopted a DRIP and DSPP, under which the Company registered and reserved for issuance up to an aggregate of 3,300,000 shares of Class C common stock. Under the DRIP, holders of the Company’s Class C common stock can designate all or a portion of their cash dividends, when paid, to be reinvested in additional shares of the Company’s Class C common stock. The DSPP allows (i) plan participants and registered stockholders of the Company who are not plan participants to purchase shares of Class C common stock in the minimum amount of $50 per investment up to a maximum aggregate amount of $150,000 per calendar year; (ii) new investors who do not own shares of Class C common stock to purchase shares by making an initial minimum investment of $250, up to a maximum aggregate amount of $150,000 per calendar year; and (iii) plan participants, other registered stockholders and new investors to request a waiver from the Company to make optional cash investments in excess of the maximum aggregate amount of $150,000 per calendar year. During the year ended December 31, 2025, the Company issued 793,202 shares of Class C common stock under the DSPP for gross proceeds of $25 million and incurred fees of less than $1 million, which were exchanged for 793,202 Class C units of Clearway Energy LLC. The net proceeds from the sale of shares under the DSPP were used for general corporate purposes. As of December 31, 2025, approximately 2,506,798 shares of Class C common stock remained available for issuance under the DRIP/DSPP.</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January 2026, the Company issued 1,445,244 shares of Class C common stock under the DSPP for gross proceeds of $50 million and incurred fees of less than $1 million, which were exchanged for 1,445,244 Class C units of Clearway Energy LLC. As of January 31, 2026, approximately 1,061,554 shares Class C common stock remained available for issuance under the DRIP/DSPP.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Class A and Class C common stockholders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list the dividends paid on the Company’s Class A and Class C common stock during the years ended December 31, 2025, 2024 and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Fourth Quarter 2025</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2025</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2025</w:t>
            </w:r>
          </w:p>
        </w:tc>
        <w:tc>
          <w:tcPr>
            <w:tcW w:w="14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2025</w:t>
            </w:r>
          </w:p>
        </w:tc>
      </w:tr>
      <w:tr>
        <w:trPr>
          <w:trHeight w:val="18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9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800"/>
        </w:trPr>
        <w:tc>
          <w:tcPr>
            <w:tcW w:w="362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7"/>
        </w:trPr>
        <w:tc>
          <w:tcPr>
            <w:tcW w:w="36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4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367"/>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2023</w:t>
            </w:r>
          </w:p>
        </w:tc>
        <w:tc>
          <w:tcPr>
            <w:tcW w:w="1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2023</w:t>
            </w: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2023</w:t>
            </w:r>
          </w:p>
        </w:tc>
        <w:tc>
          <w:tcPr>
            <w:tcW w:w="140" w:type="dxa"/>
            <w:vAlign w:val="bottom"/>
          </w:tcPr>
          <w:p>
            <w:pPr>
              <w:spacing w:after="0"/>
              <w:rPr>
                <w:sz w:val="24"/>
                <w:szCs w:val="24"/>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2023</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0.3745</w:t>
            </w:r>
          </w:p>
        </w:tc>
      </w:tr>
    </w:tbl>
    <w:p>
      <w:pPr>
        <w:spacing w:after="0" w:line="17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2026, the Company declared a quarterly dividend on its Class A and Class C common stock of $0.4602 per share payable on March 16, 2026 to stockholders of record as of March 2, 2026.</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also authorized 10,000,000 shares of preferred stock, par value $0.01 per share. None of the shares of preferred stock have been issued.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CEG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list the distributions paid to CEG during the years ended December 31, 2025, 2024 and 2023 on Clearway Energy LLC’s Class B and D units: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2025</w:t>
            </w: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2025</w:t>
            </w:r>
          </w:p>
        </w:tc>
        <w:tc>
          <w:tcPr>
            <w:tcW w:w="14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2025</w:t>
            </w:r>
          </w:p>
        </w:tc>
        <w:tc>
          <w:tcPr>
            <w:tcW w:w="16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2025</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367"/>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367"/>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2023</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2023</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2023</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2023</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0.3745</w:t>
            </w:r>
          </w:p>
        </w:tc>
      </w:tr>
    </w:tbl>
    <w:p>
      <w:pPr>
        <w:spacing w:after="0" w:line="17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In addition to the quarterly distributions paid to CEG, on June 10, 2025, Clearway Energy LLC distributed an additional $7 million to CEG, representing CEG’s pro-rata share of distributions related to the Company’s $9 million contribution through Pine Forest TE Class A, an indirect subsidiary of the Company, to acquire the Class A membership interests in Pine Forest TE HoldCo LLC,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On December 17, 2025, Clearway Energy LLC distributed an additional $12 million to CEG, representing CEG’s pro-rata share of distributions related to $16 million of the Company’s $38 million additional contribution through Pine Forest TE Class A to complete its acquisition of the Class A membership interests in Pine Forest TE HoldCo LLC,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17, 2026, Clearway Energy LLC declared a quarterly distribution on its Class B and Class D units of $0.4602 per unit payable on March 16, 2026 to unit holders of record as of March 2,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color w:val="auto"/>
        </w:rPr>
        <w:t>Note 13 — Segment Reporting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Flexible Generation and Renewables</w:t>
      </w:r>
    </w:p>
    <w:p>
      <w:pPr>
        <w:spacing w:after="0" w:line="23" w:lineRule="exact"/>
        <w:rPr>
          <w:sz w:val="20"/>
          <w:szCs w:val="20"/>
          <w:color w:val="auto"/>
        </w:rPr>
      </w:pPr>
    </w:p>
    <w:p>
      <w:pPr>
        <w:jc w:val="both"/>
        <w:ind w:firstLine="5"/>
        <w:spacing w:after="0" w:line="259" w:lineRule="auto"/>
        <w:tabs>
          <w:tab w:leader="none" w:pos="15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01" w:lineRule="exact"/>
        <w:rPr>
          <w:sz w:val="20"/>
          <w:szCs w:val="20"/>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Approximately 58% of the Company’s operating revenues and 45% of the Company’s assets relate to operations located in California. Also, the Company generated more than 10% of its revenues from the following customers for the years ended December 31, 2025, 2024 and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10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1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SCE</w:t>
            </w:r>
          </w:p>
        </w:tc>
        <w:tc>
          <w:tcPr>
            <w:tcW w:w="118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PG&amp;E</w:t>
            </w:r>
          </w:p>
        </w:tc>
        <w:tc>
          <w:tcPr>
            <w:tcW w:w="1180" w:type="dxa"/>
            <w:vAlign w:val="bottom"/>
          </w:tcPr>
          <w:p>
            <w:pPr>
              <w:jc w:val="center"/>
              <w:ind w:left="79"/>
              <w:spacing w:after="0"/>
              <w:rPr>
                <w:sz w:val="20"/>
                <w:szCs w:val="20"/>
                <w:color w:val="auto"/>
              </w:rPr>
            </w:pPr>
            <w:r>
              <w:rPr>
                <w:rFonts w:ascii="Times New Roman" w:cs="Times New Roman" w:eastAsia="Times New Roman" w:hAnsi="Times New Roman"/>
                <w:sz w:val="13"/>
                <w:szCs w:val="13"/>
                <w:color w:val="auto"/>
                <w:w w:val="92"/>
              </w:rPr>
              <w:t>2%</w:t>
            </w:r>
          </w:p>
        </w:tc>
        <w:tc>
          <w:tcPr>
            <w:tcW w:w="1360" w:type="dxa"/>
            <w:vAlign w:val="bottom"/>
            <w:gridSpan w:val="3"/>
          </w:tcPr>
          <w:p>
            <w:pPr>
              <w:jc w:val="center"/>
              <w:ind w:left="258"/>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18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right"/>
              <w:ind w:right="359"/>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26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60"/>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80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income, net</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6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Interest expense</w:t>
            </w:r>
          </w:p>
        </w:tc>
        <w:tc>
          <w:tcPr>
            <w:tcW w:w="1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(387)</w:t>
            </w: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58"/>
        </w:trPr>
        <w:tc>
          <w:tcPr>
            <w:tcW w:w="6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gridSpan w:val="5"/>
          </w:tcPr>
          <w:p>
            <w:pPr>
              <w:ind w:left="6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 interests</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3"/>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180" w:type="dxa"/>
            <w:vAlign w:val="bottom"/>
            <w:shd w:val="clear" w:color="auto" w:fill="CCEEFF"/>
          </w:tcPr>
          <w:p>
            <w:pPr>
              <w:spacing w:after="0"/>
              <w:rPr>
                <w:sz w:val="14"/>
                <w:szCs w:val="1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180" w:type="dxa"/>
            <w:vAlign w:val="bottom"/>
            <w:shd w:val="clear" w:color="auto" w:fill="CCEEFF"/>
          </w:tcPr>
          <w:p>
            <w:pPr>
              <w:spacing w:after="0"/>
              <w:rPr>
                <w:sz w:val="14"/>
                <w:szCs w:val="1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eliminations.</w:t>
      </w:r>
    </w:p>
    <w:p>
      <w:pPr>
        <w:spacing w:after="0" w:line="2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6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accruals.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18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1,371</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Other income,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2"/>
        </w:trPr>
        <w:tc>
          <w:tcPr>
            <w:tcW w:w="60" w:type="dxa"/>
            <w:vAlign w:val="bottom"/>
            <w:shd w:val="clear" w:color="auto" w:fill="CCEEFF"/>
          </w:tcPr>
          <w:p>
            <w:pPr>
              <w:spacing w:after="0"/>
              <w:rPr>
                <w:sz w:val="14"/>
                <w:szCs w:val="14"/>
                <w:color w:val="auto"/>
              </w:rPr>
            </w:pPr>
          </w:p>
        </w:tc>
        <w:tc>
          <w:tcPr>
            <w:tcW w:w="5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6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63"/>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6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3"/>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8"/>
        </w:trPr>
        <w:tc>
          <w:tcPr>
            <w:tcW w:w="60" w:type="dxa"/>
            <w:vAlign w:val="bottom"/>
            <w:tcBorders>
              <w:bottom w:val="single" w:sz="8" w:color="CCEEFF"/>
            </w:tcBorders>
          </w:tcPr>
          <w:p>
            <w:pPr>
              <w:spacing w:after="0"/>
              <w:rPr>
                <w:sz w:val="13"/>
                <w:szCs w:val="13"/>
                <w:color w:val="auto"/>
              </w:rPr>
            </w:pPr>
          </w:p>
        </w:tc>
        <w:tc>
          <w:tcPr>
            <w:tcW w:w="55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 interests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234</w:t>
            </w:r>
          </w:p>
        </w:tc>
        <w:tc>
          <w:tcPr>
            <w:tcW w:w="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0"/>
        </w:trPr>
        <w:tc>
          <w:tcPr>
            <w:tcW w:w="562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0"/>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12,236</w:t>
            </w:r>
          </w:p>
        </w:tc>
        <w:tc>
          <w:tcPr>
            <w:tcW w:w="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14,329</w:t>
            </w:r>
          </w:p>
        </w:tc>
        <w:tc>
          <w:tcPr>
            <w:tcW w:w="0" w:type="dxa"/>
            <w:vAlign w:val="bottom"/>
          </w:tcPr>
          <w:p>
            <w:pPr>
              <w:spacing w:after="0"/>
              <w:rPr>
                <w:sz w:val="1"/>
                <w:szCs w:val="1"/>
                <w:color w:val="auto"/>
              </w:rPr>
            </w:pPr>
          </w:p>
        </w:tc>
      </w:tr>
      <w:tr>
        <w:trPr>
          <w:trHeight w:val="138"/>
        </w:trPr>
        <w:tc>
          <w:tcPr>
            <w:tcW w:w="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556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Includes accruals.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0" w:type="dxa"/>
            <w:vAlign w:val="bottom"/>
          </w:tcPr>
          <w:p>
            <w:pPr>
              <w:spacing w:after="0"/>
              <w:rPr>
                <w:sz w:val="13"/>
                <w:szCs w:val="13"/>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benefit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 interests</w:t>
            </w:r>
          </w:p>
        </w:tc>
        <w:tc>
          <w:tcPr>
            <w:tcW w:w="1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80645</wp:posOffset>
            </wp:positionV>
            <wp:extent cx="13811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81125" cy="6985"/>
                    </a:xfrm>
                    <a:prstGeom prst="rect">
                      <a:avLst/>
                    </a:prstGeom>
                    <a:noFill/>
                  </pic:spPr>
                </pic:pic>
              </a:graphicData>
            </a:graphic>
          </wp:anchor>
        </w:drawing>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color w:val="auto"/>
        </w:rPr>
        <w:t>Note 14 —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income tax provision consisted of the following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Pr>
          <w:p>
            <w:pPr>
              <w:spacing w:after="0"/>
              <w:rPr>
                <w:sz w:val="13"/>
                <w:szCs w:val="13"/>
                <w:color w:val="auto"/>
              </w:rPr>
            </w:pPr>
          </w:p>
        </w:tc>
        <w:tc>
          <w:tcPr>
            <w:tcW w:w="11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6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w:t>
            </w:r>
          </w:p>
        </w:tc>
        <w:tc>
          <w:tcPr>
            <w:tcW w:w="1100" w:type="dxa"/>
            <w:vAlign w:val="bottom"/>
          </w:tcPr>
          <w:p>
            <w:pPr>
              <w:jc w:val="right"/>
              <w:ind w:right="9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 current</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w:t>
            </w:r>
          </w:p>
        </w:tc>
        <w:tc>
          <w:tcPr>
            <w:tcW w:w="1100" w:type="dxa"/>
            <w:vAlign w:val="bottom"/>
          </w:tcPr>
          <w:p>
            <w:pPr>
              <w:jc w:val="right"/>
              <w:ind w:right="9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 deferred</w:t>
            </w: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88"/>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11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As of December 31, 2024, the Company elected to prospectively adopt the guidance in ASU No. 2023-09, </w:t>
      </w:r>
      <w:r>
        <w:rPr>
          <w:rFonts w:ascii="Times New Roman" w:cs="Times New Roman" w:eastAsia="Times New Roman" w:hAnsi="Times New Roman"/>
          <w:sz w:val="14"/>
          <w:szCs w:val="14"/>
          <w:i w:val="1"/>
          <w:iCs w:val="1"/>
          <w:color w:val="auto"/>
        </w:rPr>
        <w:t>Income Taxes (Topic 740): Improvements to Income Taxes Disclosures</w:t>
      </w:r>
      <w:r>
        <w:rPr>
          <w:rFonts w:ascii="Times New Roman" w:cs="Times New Roman" w:eastAsia="Times New Roman" w:hAnsi="Times New Roman"/>
          <w:sz w:val="14"/>
          <w:szCs w:val="14"/>
          <w:color w:val="auto"/>
        </w:rPr>
        <w:t>, or ASU 2023-09. The following table is a reconciliation of the U.S. federal statutory rate of 21% to the Company’s effective rate in accordance with the guidance in ASU 2023-09:</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center"/>
              <w:ind w:left="13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center"/>
              <w:ind w:left="1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40" w:type="dxa"/>
            <w:vAlign w:val="bottom"/>
            <w:gridSpan w:val="3"/>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4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0" w:type="dxa"/>
            <w:vAlign w:val="bottom"/>
          </w:tcPr>
          <w:p>
            <w:pPr>
              <w:spacing w:after="0"/>
              <w:rPr>
                <w:sz w:val="1"/>
                <w:szCs w:val="1"/>
                <w:color w:val="auto"/>
              </w:rPr>
            </w:pPr>
          </w:p>
        </w:tc>
      </w:tr>
      <w:tr>
        <w:trPr>
          <w:trHeight w:val="170"/>
        </w:trPr>
        <w:tc>
          <w:tcPr>
            <w:tcW w:w="474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State taxes, net of federal benefit </w:t>
            </w:r>
            <w:r>
              <w:rPr>
                <w:rFonts w:ascii="Times New Roman" w:cs="Times New Roman" w:eastAsia="Times New Roman" w:hAnsi="Times New Roman"/>
                <w:sz w:val="16"/>
                <w:szCs w:val="16"/>
                <w:color w:val="auto"/>
                <w:vertAlign w:val="superscript"/>
              </w:rPr>
              <w:t>(a)</w:t>
            </w:r>
          </w:p>
        </w:tc>
        <w:tc>
          <w:tcPr>
            <w:tcW w:w="460" w:type="dxa"/>
            <w:vAlign w:val="bottom"/>
          </w:tcPr>
          <w:p>
            <w:pPr>
              <w:spacing w:after="0"/>
              <w:rPr>
                <w:sz w:val="14"/>
                <w:szCs w:val="14"/>
                <w:color w:val="auto"/>
              </w:rPr>
            </w:pPr>
          </w:p>
        </w:tc>
        <w:tc>
          <w:tcPr>
            <w:tcW w:w="11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credits</w:t>
            </w: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0" w:type="dxa"/>
            <w:vAlign w:val="bottom"/>
          </w:tcPr>
          <w:p>
            <w:pPr>
              <w:spacing w:after="0"/>
              <w:rPr>
                <w:sz w:val="1"/>
                <w:szCs w:val="1"/>
                <w:color w:val="auto"/>
              </w:rPr>
            </w:pPr>
          </w:p>
        </w:tc>
      </w:tr>
      <w:tr>
        <w:trPr>
          <w:trHeight w:val="168"/>
        </w:trPr>
        <w:tc>
          <w:tcPr>
            <w:tcW w:w="4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Nontaxable/nondeductible items:</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HLBV impact</w:t>
            </w: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68"/>
        </w:trPr>
        <w:tc>
          <w:tcPr>
            <w:tcW w:w="4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 credit sales, net</w:t>
            </w:r>
          </w:p>
        </w:tc>
        <w:tc>
          <w:tcPr>
            <w:tcW w:w="460" w:type="dxa"/>
            <w:vAlign w:val="bottom"/>
          </w:tcPr>
          <w:p>
            <w:pPr>
              <w:spacing w:after="0"/>
              <w:rPr>
                <w:sz w:val="14"/>
                <w:szCs w:val="14"/>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3"/>
          </w:tcPr>
          <w:p>
            <w:pPr>
              <w:jc w:val="right"/>
              <w:ind w:right="1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Employee share-based payments</w:t>
            </w:r>
          </w:p>
        </w:tc>
        <w:tc>
          <w:tcPr>
            <w:tcW w:w="46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68"/>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(90.9)%</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3881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4" w:lineRule="exact"/>
        <w:rPr>
          <w:sz w:val="20"/>
          <w:szCs w:val="20"/>
          <w:color w:val="auto"/>
        </w:rPr>
      </w:pPr>
    </w:p>
    <w:p>
      <w:pPr>
        <w:ind w:left="180" w:hanging="111"/>
        <w:spacing w:after="0"/>
        <w:tabs>
          <w:tab w:leader="none" w:pos="180" w:val="left"/>
        </w:tabs>
        <w:numPr>
          <w:ilvl w:val="0"/>
          <w:numId w:val="6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State taxes in California made up the majority of the tax effect in this category.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9" w:name="page130"/>
    <w:bookmarkEnd w:id="129"/>
    <w:p>
      <w:pPr>
        <w:ind w:left="320"/>
        <w:spacing w:after="0"/>
        <w:rPr>
          <w:sz w:val="20"/>
          <w:szCs w:val="20"/>
          <w:color w:val="auto"/>
        </w:rPr>
      </w:pPr>
      <w:r>
        <w:rPr>
          <w:rFonts w:ascii="Times New Roman" w:cs="Times New Roman" w:eastAsia="Times New Roman" w:hAnsi="Times New Roman"/>
          <w:sz w:val="14"/>
          <w:szCs w:val="14"/>
          <w:color w:val="auto"/>
        </w:rPr>
        <w:t>The following table is a reconciliation of the U.S. federal statutory rate of 21% to the Company’s effective rate in accordance with the guidance prior to the adoption of ASU 2023-09: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r>
      <w:tr>
        <w:trPr>
          <w:trHeight w:val="154"/>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r>
      <w:tr>
        <w:trPr>
          <w:trHeight w:val="17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4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r>
      <w:tr>
        <w:trPr>
          <w:trHeight w:val="67"/>
        </w:trPr>
        <w:tc>
          <w:tcPr>
            <w:tcW w:w="8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32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taxes, net of federal benefit</w:t>
            </w:r>
          </w:p>
        </w:tc>
        <w:tc>
          <w:tcPr>
            <w:tcW w:w="320" w:type="dxa"/>
            <w:vAlign w:val="bottom"/>
          </w:tcPr>
          <w:p>
            <w:pPr>
              <w:spacing w:after="0"/>
              <w:rPr>
                <w:sz w:val="14"/>
                <w:szCs w:val="14"/>
                <w:color w:val="auto"/>
              </w:rPr>
            </w:pPr>
          </w:p>
        </w:tc>
        <w:tc>
          <w:tcPr>
            <w:tcW w:w="24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Impact of non-taxable partnership earnings</w:t>
            </w:r>
          </w:p>
        </w:tc>
        <w:tc>
          <w:tcPr>
            <w:tcW w:w="32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320" w:type="dxa"/>
            <w:vAlign w:val="bottom"/>
          </w:tcPr>
          <w:p>
            <w:pPr>
              <w:spacing w:after="0"/>
              <w:rPr>
                <w:sz w:val="14"/>
                <w:szCs w:val="14"/>
                <w:color w:val="auto"/>
              </w:rPr>
            </w:pPr>
          </w:p>
        </w:tc>
        <w:tc>
          <w:tcPr>
            <w:tcW w:w="24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tax credits</w:t>
            </w:r>
          </w:p>
        </w:tc>
        <w:tc>
          <w:tcPr>
            <w:tcW w:w="32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r>
      <w:tr>
        <w:trPr>
          <w:trHeight w:val="170"/>
        </w:trPr>
        <w:tc>
          <w:tcPr>
            <w:tcW w:w="85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Production tax credits </w:t>
            </w:r>
            <w:r>
              <w:rPr>
                <w:rFonts w:ascii="Times New Roman" w:cs="Times New Roman" w:eastAsia="Times New Roman" w:hAnsi="Times New Roman"/>
                <w:sz w:val="16"/>
                <w:szCs w:val="16"/>
                <w:color w:val="auto"/>
                <w:vertAlign w:val="superscript"/>
              </w:rPr>
              <w:t>(a)</w:t>
            </w:r>
          </w:p>
        </w:tc>
        <w:tc>
          <w:tcPr>
            <w:tcW w:w="320" w:type="dxa"/>
            <w:vAlign w:val="bottom"/>
          </w:tcPr>
          <w:p>
            <w:pPr>
              <w:spacing w:after="0"/>
              <w:rPr>
                <w:sz w:val="14"/>
                <w:szCs w:val="14"/>
                <w:color w:val="auto"/>
              </w:rPr>
            </w:pPr>
          </w:p>
        </w:tc>
        <w:tc>
          <w:tcPr>
            <w:tcW w:w="24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Rate change</w:t>
            </w:r>
          </w:p>
        </w:tc>
        <w:tc>
          <w:tcPr>
            <w:tcW w:w="32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taxes assessed at subsidiaries</w:t>
            </w:r>
          </w:p>
        </w:tc>
        <w:tc>
          <w:tcPr>
            <w:tcW w:w="320" w:type="dxa"/>
            <w:vAlign w:val="bottom"/>
          </w:tcPr>
          <w:p>
            <w:pPr>
              <w:spacing w:after="0"/>
              <w:rPr>
                <w:sz w:val="14"/>
                <w:szCs w:val="14"/>
                <w:color w:val="auto"/>
              </w:rPr>
            </w:pPr>
          </w:p>
        </w:tc>
        <w:tc>
          <w:tcPr>
            <w:tcW w:w="24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r>
      <w:tr>
        <w:trPr>
          <w:trHeight w:val="17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auto"/>
            </w:tcBorders>
            <w:shd w:val="clear" w:color="auto" w:fill="CCEEFF"/>
          </w:tcPr>
          <w:p>
            <w:pPr>
              <w:spacing w:after="0"/>
              <w:rPr>
                <w:sz w:val="14"/>
                <w:szCs w:val="14"/>
                <w:color w:val="auto"/>
              </w:rPr>
            </w:pPr>
          </w:p>
        </w:tc>
        <w:tc>
          <w:tcPr>
            <w:tcW w:w="24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benefit</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4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52"/>
        </w:trPr>
        <w:tc>
          <w:tcPr>
            <w:tcW w:w="85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Effective income tax rate</w:t>
            </w:r>
          </w:p>
        </w:tc>
        <w:tc>
          <w:tcPr>
            <w:tcW w:w="320" w:type="dxa"/>
            <w:vAlign w:val="bottom"/>
            <w:shd w:val="clear" w:color="auto" w:fill="CCEEFF"/>
          </w:tcPr>
          <w:p>
            <w:pPr>
              <w:spacing w:after="0"/>
              <w:rPr>
                <w:sz w:val="13"/>
                <w:szCs w:val="13"/>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right="80" w:firstLine="9"/>
        <w:spacing w:after="0" w:line="300" w:lineRule="auto"/>
        <w:tabs>
          <w:tab w:leader="none" w:pos="170" w:val="left"/>
        </w:tabs>
        <w:numPr>
          <w:ilvl w:val="0"/>
          <w:numId w:val="6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On December 6, 2023, the Company executed an agreement with a third party to sell the PTCs generated by the Alta X and Alta XI wind facilities, which resulted in a $14 million income tax benefit (reduction to income tax expense) during the year ended December 31, 2023.</w:t>
      </w:r>
    </w:p>
    <w:p>
      <w:pPr>
        <w:spacing w:after="0" w:line="9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 partially offset by the impact of PTCs generated.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tax purposes, Clearway Energy LLC is treated as a partnership; therefore, the Company and CEG each record their respective share of taxable income or loss.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temporary differences, which gave rise to the Company’s deferred tax balances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r>
      <w:tr>
        <w:trPr>
          <w:trHeight w:val="154"/>
        </w:trPr>
        <w:tc>
          <w:tcPr>
            <w:tcW w:w="8140" w:type="dxa"/>
            <w:vAlign w:val="bottom"/>
          </w:tcPr>
          <w:p>
            <w:pPr>
              <w:spacing w:after="0"/>
              <w:rPr>
                <w:sz w:val="13"/>
                <w:szCs w:val="13"/>
                <w:color w:val="auto"/>
              </w:rPr>
            </w:pPr>
          </w:p>
        </w:tc>
        <w:tc>
          <w:tcPr>
            <w:tcW w:w="9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3"/>
                <w:szCs w:val="13"/>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8"/>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Investment in projects</w:t>
            </w:r>
          </w:p>
        </w:tc>
        <w:tc>
          <w:tcPr>
            <w:tcW w:w="98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liabilities</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5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disallowance carryforward - Investment in Projects</w:t>
            </w:r>
          </w:p>
        </w:tc>
        <w:tc>
          <w:tcPr>
            <w:tcW w:w="98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Production tax credits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tax credits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 tax credits subject to transferability</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Federal net operating loss carryforwards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8"/>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State net operating loss carryforwards</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assets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8"/>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assets, net of valuation allowance</w:t>
            </w: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63"/>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non-current tax asset (liability)</w:t>
            </w:r>
          </w:p>
        </w:tc>
        <w:tc>
          <w:tcPr>
            <w:tcW w:w="98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2025, the Company had a $5 million tax receivable.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Balances and Valuation Allowance</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Net deferred tax balances </w:t>
      </w:r>
      <w:r>
        <w:rPr>
          <w:rFonts w:ascii="Times New Roman" w:cs="Times New Roman" w:eastAsia="Times New Roman" w:hAnsi="Times New Roman"/>
          <w:sz w:val="14"/>
          <w:szCs w:val="14"/>
          <w:color w:val="auto"/>
        </w:rPr>
        <w:t>— As of December 31, 2025 and 2024, the Company recorded a net deferred tax asset of $127 million and a net deferred tax liability of $89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$4 million of existing state NOLs, based on forecasted future earnings and estimated taxable income, will expire unutilized, resulting in the recording of a valuation allowance.</w:t>
      </w:r>
    </w:p>
    <w:p>
      <w:pPr>
        <w:spacing w:after="0" w:line="9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NOL and Tax Credit carryforwards </w:t>
      </w:r>
      <w:r>
        <w:rPr>
          <w:rFonts w:ascii="Times New Roman" w:cs="Times New Roman" w:eastAsia="Times New Roman" w:hAnsi="Times New Roman"/>
          <w:sz w:val="14"/>
          <w:szCs w:val="14"/>
          <w:color w:val="auto"/>
        </w:rPr>
        <w:t>— As of December 31, 2025, the Company had tax-effected domestic NOL carryforwards for federal income tax purposes of $44 million. Additionally,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has a cumulative tax-effected state NOL carryforward of $7 million, which will expire between 2026 and 2042 if unutilized. In addition, the Company has PTC and ITC carryforward balances totaling $18 million, which will expire between 2036 and 2045 if unutilized.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Credits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December 31, 2025, the Company’s accumulated deferred ITCs are $289 million, including $283 million, which is net of a $21 million valuation allowance, subject to credit transferability and included in other non-current liabilities on the Company’s consolidated balance sheet. During the year ended December 31, 2025, the Company received $3 million from the transfer of PTCs and ITCs. In January 2026, the Company received $282 million in cash proceeds from the sale of ITCs earned by the Pine Forest facility to third parties pursuant to tax credit transfer agreements,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Payments, Net of Refunds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each of the years ended December 31, 2025 and 2024, the Company paid $1 million in federal income taxes. Additionally, the amount paid in state income taxes, net of refunds received, was immaterial for each of the years ended December 31, 2025 and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unrecognized tax benefits with an after-tax value of $19 million and zero as of December 31, 2025 and 2024, respectively. The increase is due to seeking state income tax refunds with respect to prior year tax returns. If recognized, the position would impact the effective tax rate. No material interest or penalties have been recorded as of December 31, 2025 and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Company’s unrecognized tax benefits activity:</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4"/>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8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 due to prior year positions</w:t>
            </w:r>
          </w:p>
        </w:tc>
        <w:tc>
          <w:tcPr>
            <w:tcW w:w="9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Related Party Transactions</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affiliates in the Company’s consolidated balance sheets. The disclosures below summarize the Company’s material related party transactions with CEG and its subsidiaries that are included in the Company’s operating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Master Development Services Agreement with Clearway Renew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December 22, 2025, the Company entered into a master development services agreement with Clearway Renew under which Clearway Renew will provide pre-construction development, construction management and asset management services in connection with future approved repowerings of the Company’s facilities. The Company did not incur any expenses under this agreement for the year ended December 31, 2025.</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i w:val="1"/>
          <w:iCs w:val="1"/>
          <w:color w:val="auto"/>
        </w:rPr>
        <w:t>Goat Mountain Development Services Agreement with Clearway Renew</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July 23, 2025, the Company entered into a development services agreement with Clearway Renew under which Clearway Renew will provide pre-construction development, construction management and asset management services in connection with the repowering of the Goat Mountain wind facility, which is located in Sterling City, Texas. Contingent upon achieving repowering commercial operations in 2027, the 306 MW facility will sell power to an investment-grade counterparty under a new 15-year PPA. In connection with the agreement, on December 12, 2025, the Company paid Clearway Renew $27 million, of which $25 million is related to the future delivery of equipment and is included in other non-current assets on the Company’s consolidated balance sheet, and $2 million is related to capital expenditures.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$82 million for each of the years ended December 31, 2025 and 2024, and $73 million for the year ended December 31, 2023, included in cost of operations in the consolidated statements of operations. There was a balance of $8 million and $12 million due to RENOM as of December 31, 2025 and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$26 million, $22 million and $20 million for the years ended December 31, 2025, 2024 and 2023, respectively, included in cost of operations in the consolidated statements of operations. There was a balance of $3 million due to CEG as of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along with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effective on January 1, 2025, accounting,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Effective January 1, 2025, the Company directly bears all labor costs for certain employees of CEG who perform work on behalf of the Company.</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incurred net expenses under the CEG Master Services Agreement of $24 million, $6 million and $5 million for the years ended December 31, 2025, 2024 and 2023, respectively, included in general and administrative in the consolidated statements of operations. There was a balance of zero and $5 million due to CEG as of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Contingencies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27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color w:val="auto"/>
        </w:rPr>
        <w:t>Note 17 —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Leases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evaluates each arrangement at inception to determine if it contains a lease. Substantially all of the Company’s leases are operating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Lessee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Lease expense was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4"/>
                <w:szCs w:val="14"/>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cost - Fixed</w:t>
            </w:r>
          </w:p>
        </w:tc>
        <w:tc>
          <w:tcPr>
            <w:tcW w:w="46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1514"/>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cost - Variable</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46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514"/>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Operating lease information was as follows: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4"/>
                <w:szCs w:val="14"/>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gridSpan w:val="2"/>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term and rate)</w:t>
            </w:r>
          </w:p>
        </w:tc>
        <w:tc>
          <w:tcPr>
            <w:tcW w:w="4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94"/>
        </w:trPr>
        <w:tc>
          <w:tcPr>
            <w:tcW w:w="522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4"/>
                <w:szCs w:val="14"/>
                <w:color w:val="auto"/>
              </w:rPr>
              <w:t xml:space="preserve">Right-of-use assets - operating leases, net </w:t>
            </w:r>
            <w:r>
              <w:rPr>
                <w:rFonts w:ascii="Times New Roman" w:cs="Times New Roman" w:eastAsia="Times New Roman" w:hAnsi="Times New Roman"/>
                <w:sz w:val="18"/>
                <w:szCs w:val="18"/>
                <w:color w:val="auto"/>
                <w:vertAlign w:val="superscript"/>
              </w:rPr>
              <w:t>(a)</w:t>
            </w:r>
          </w:p>
        </w:tc>
        <w:tc>
          <w:tcPr>
            <w:tcW w:w="4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714</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547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2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Short-term lease liability - operating leases </w:t>
            </w:r>
            <w:r>
              <w:rPr>
                <w:rFonts w:ascii="Times New Roman" w:cs="Times New Roman" w:eastAsia="Times New Roman" w:hAnsi="Times New Roman"/>
                <w:sz w:val="18"/>
                <w:szCs w:val="18"/>
                <w:color w:val="auto"/>
                <w:vertAlign w:val="superscript"/>
              </w:rPr>
              <w:t>(b)</w:t>
            </w:r>
          </w:p>
        </w:tc>
        <w:tc>
          <w:tcPr>
            <w:tcW w:w="4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Long-term lease liability - operating leases </w:t>
            </w:r>
            <w:r>
              <w:rPr>
                <w:rFonts w:ascii="Times New Roman" w:cs="Times New Roman" w:eastAsia="Times New Roman" w:hAnsi="Times New Roman"/>
                <w:sz w:val="18"/>
                <w:szCs w:val="18"/>
                <w:color w:val="auto"/>
                <w:vertAlign w:val="superscript"/>
              </w:rPr>
              <w:t>(a)</w:t>
            </w:r>
          </w:p>
        </w:tc>
        <w:tc>
          <w:tcPr>
            <w:tcW w:w="4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color w:val="auto"/>
              </w:rPr>
              <w:t>796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569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816</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579</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4"/>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6" w:lineRule="exact"/>
        <w:rPr>
          <w:sz w:val="20"/>
          <w:szCs w:val="20"/>
          <w:color w:val="auto"/>
        </w:rPr>
      </w:pPr>
    </w:p>
    <w:p>
      <w:pPr>
        <w:ind w:left="180" w:hanging="111"/>
        <w:spacing w:after="0"/>
        <w:tabs>
          <w:tab w:leader="none" w:pos="180" w:val="left"/>
        </w:tabs>
        <w:numPr>
          <w:ilvl w:val="0"/>
          <w:numId w:val="7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Increases in right-of-use assets and long-term lease liabilities are primarily due to third-party acquisitions, as further described in Note 3, </w:t>
      </w:r>
      <w:r>
        <w:rPr>
          <w:rFonts w:ascii="Times New Roman" w:cs="Times New Roman" w:eastAsia="Times New Roman" w:hAnsi="Times New Roman"/>
          <w:sz w:val="11"/>
          <w:szCs w:val="11"/>
          <w:i w:val="1"/>
          <w:iCs w:val="1"/>
          <w:color w:val="auto"/>
        </w:rPr>
        <w:t>Acquisitions and Dispositions</w:t>
      </w:r>
      <w:r>
        <w:rPr>
          <w:rFonts w:ascii="Times New Roman" w:cs="Times New Roman" w:eastAsia="Times New Roman" w:hAnsi="Times New Roman"/>
          <w:sz w:val="11"/>
          <w:szCs w:val="11"/>
          <w:color w:val="auto"/>
        </w:rPr>
        <w:t>.</w:t>
      </w:r>
    </w:p>
    <w:p>
      <w:pPr>
        <w:spacing w:after="0" w:line="34" w:lineRule="exact"/>
        <w:rPr>
          <w:rFonts w:ascii="Times New Roman" w:cs="Times New Roman" w:eastAsia="Times New Roman" w:hAnsi="Times New Roman"/>
          <w:sz w:val="15"/>
          <w:szCs w:val="15"/>
          <w:color w:val="auto"/>
          <w:vertAlign w:val="superscript"/>
        </w:rPr>
      </w:pPr>
    </w:p>
    <w:p>
      <w:pPr>
        <w:ind w:left="180" w:hanging="111"/>
        <w:spacing w:after="0"/>
        <w:tabs>
          <w:tab w:leader="none" w:pos="180" w:val="left"/>
        </w:tabs>
        <w:numPr>
          <w:ilvl w:val="0"/>
          <w:numId w:val="7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Short-term lease liability balances are included within the accrued expenses and other current liabilities line item of the consolidated balance sheets as of December 31, 2025 and 2024.</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33" w:name="page134"/>
    <w:bookmarkEnd w:id="133"/>
    <w:p>
      <w:pPr>
        <w:ind w:left="320"/>
        <w:spacing w:after="0"/>
        <w:rPr>
          <w:sz w:val="20"/>
          <w:szCs w:val="20"/>
          <w:color w:val="auto"/>
        </w:rPr>
      </w:pPr>
      <w:r>
        <w:rPr>
          <w:rFonts w:ascii="Times New Roman" w:cs="Times New Roman" w:eastAsia="Times New Roman" w:hAnsi="Times New Roman"/>
          <w:sz w:val="14"/>
          <w:szCs w:val="14"/>
          <w:color w:val="auto"/>
        </w:rPr>
        <w:t>Minimum future rental payments of operating lease liabilities as of December 31, 2025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9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9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2030</w:t>
            </w: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9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w:t>
            </w:r>
          </w:p>
        </w:tc>
      </w:tr>
      <w:tr>
        <w:trPr>
          <w:trHeight w:val="171"/>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180"/>
        </w:trPr>
        <w:tc>
          <w:tcPr>
            <w:tcW w:w="9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Less imputed interest</w:t>
            </w: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r>
      <w:tr>
        <w:trPr>
          <w:trHeight w:val="196"/>
        </w:trPr>
        <w:tc>
          <w:tcPr>
            <w:tcW w:w="9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lease liability - operating leases</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The Company is party to various land lease agreements with wholly-owned subsidiaries of CEG that are accounted for as operating leases. The following table summarizes the land lease agreements: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Right-of-use assets, net</w:t>
            </w:r>
          </w:p>
        </w:tc>
        <w:tc>
          <w:tcPr>
            <w:tcW w:w="2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 lease liabilities</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Lease expiration</w:t>
            </w:r>
          </w:p>
        </w:tc>
      </w:tr>
      <w:tr>
        <w:trPr>
          <w:trHeight w:val="16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640" w:type="dxa"/>
            <w:vAlign w:val="bottom"/>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Luna Valley</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23, 2058</w:t>
            </w:r>
          </w:p>
        </w:tc>
      </w:tr>
      <w:tr>
        <w:trPr>
          <w:trHeight w:val="18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3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180"/>
        </w:trPr>
        <w:tc>
          <w:tcPr>
            <w:tcW w:w="53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Rosamond South I</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30, 2058</w:t>
            </w:r>
          </w:p>
        </w:tc>
      </w:tr>
      <w:tr>
        <w:trPr>
          <w:trHeight w:val="212"/>
        </w:trPr>
        <w:tc>
          <w:tcPr>
            <w:tcW w:w="5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shd w:val="clear" w:color="auto" w:fill="CCEEFF"/>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3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180"/>
        </w:trPr>
        <w:tc>
          <w:tcPr>
            <w:tcW w:w="53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7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Company has the ability to extend each of these leases for two additional five-year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Lessor</w:t>
      </w:r>
    </w:p>
    <w:p>
      <w:pPr>
        <w:spacing w:after="0" w:line="1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Company’s revenue is obtained through PPAs or other contractual agreements that are accounted for as leases. These leases are comprised of both fixed payments and variable payments contingent upon volumes or performance metrics. Many of the leases have renewal options at the end of the lease term.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4" w:name="page135"/>
    <w:bookmarkEnd w:id="134"/>
    <w:p>
      <w:pPr>
        <w:ind w:left="320"/>
        <w:spacing w:after="0"/>
        <w:rPr>
          <w:sz w:val="20"/>
          <w:szCs w:val="20"/>
          <w:color w:val="auto"/>
        </w:rPr>
      </w:pPr>
      <w:r>
        <w:rPr>
          <w:rFonts w:ascii="Times New Roman" w:cs="Times New Roman" w:eastAsia="Times New Roman" w:hAnsi="Times New Roman"/>
          <w:sz w:val="14"/>
          <w:szCs w:val="14"/>
          <w:color w:val="auto"/>
        </w:rPr>
        <w:t>The following amounts of energy, capacity and other revenues are related to the Company’s 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3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Renewables &amp; Storage</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80" w:type="dxa"/>
            <w:vAlign w:val="bottom"/>
            <w:gridSpan w:val="2"/>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0" w:type="dxa"/>
            <w:vAlign w:val="bottom"/>
            <w:shd w:val="clear" w:color="auto" w:fill="CCEEFF"/>
          </w:tcPr>
          <w:p>
            <w:pPr>
              <w:spacing w:after="0"/>
              <w:rPr>
                <w:sz w:val="15"/>
                <w:szCs w:val="15"/>
                <w:color w:val="auto"/>
              </w:rPr>
            </w:pP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4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tcBorders>
              <w:bottom w:val="single" w:sz="8" w:color="auto"/>
            </w:tcBorders>
          </w:tcPr>
          <w:p>
            <w:pPr>
              <w:spacing w:after="0"/>
              <w:rPr>
                <w:sz w:val="15"/>
                <w:szCs w:val="15"/>
                <w:color w:val="auto"/>
              </w:rPr>
            </w:pPr>
          </w:p>
        </w:tc>
      </w:tr>
      <w:tr>
        <w:trPr>
          <w:trHeight w:val="196"/>
        </w:trPr>
        <w:tc>
          <w:tcPr>
            <w:tcW w:w="4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4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58"/>
        </w:trPr>
        <w:tc>
          <w:tcPr>
            <w:tcW w:w="4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Renewables &amp; Storage</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80" w:type="dxa"/>
            <w:vAlign w:val="bottom"/>
            <w:gridSpan w:val="2"/>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0" w:type="dxa"/>
            <w:vAlign w:val="bottom"/>
            <w:shd w:val="clear" w:color="auto" w:fill="CCEEFF"/>
          </w:tcPr>
          <w:p>
            <w:pPr>
              <w:spacing w:after="0"/>
              <w:rPr>
                <w:sz w:val="15"/>
                <w:szCs w:val="15"/>
                <w:color w:val="auto"/>
              </w:rPr>
            </w:pP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4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Borders>
              <w:bottom w:val="single" w:sz="8" w:color="auto"/>
            </w:tcBorders>
          </w:tcPr>
          <w:p>
            <w:pPr>
              <w:spacing w:after="0"/>
              <w:rPr>
                <w:sz w:val="15"/>
                <w:szCs w:val="15"/>
                <w:color w:val="auto"/>
              </w:rPr>
            </w:pPr>
          </w:p>
        </w:tc>
      </w:tr>
      <w:tr>
        <w:trPr>
          <w:trHeight w:val="196"/>
        </w:trPr>
        <w:tc>
          <w:tcPr>
            <w:tcW w:w="4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r>
      <w:tr>
        <w:trPr>
          <w:trHeight w:val="158"/>
        </w:trPr>
        <w:tc>
          <w:tcPr>
            <w:tcW w:w="460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38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880" w:type="dxa"/>
            <w:vAlign w:val="bottom"/>
            <w:tcBorders>
              <w:top w:val="single" w:sz="8" w:color="auto"/>
              <w:bottom w:val="single" w:sz="8" w:color="auto"/>
            </w:tcBorders>
          </w:tcPr>
          <w:p>
            <w:pPr>
              <w:jc w:val="center"/>
              <w:ind w:right="212"/>
              <w:spacing w:after="0"/>
              <w:rPr>
                <w:sz w:val="20"/>
                <w:szCs w:val="20"/>
                <w:color w:val="auto"/>
              </w:rPr>
            </w:pPr>
            <w:r>
              <w:rPr>
                <w:rFonts w:ascii="Times New Roman" w:cs="Times New Roman" w:eastAsia="Times New Roman" w:hAnsi="Times New Roman"/>
                <w:sz w:val="13"/>
                <w:szCs w:val="13"/>
                <w:b w:val="1"/>
                <w:bCs w:val="1"/>
                <w:color w:val="auto"/>
                <w:w w:val="98"/>
              </w:rPr>
              <w:t>Renewables &amp; Storage</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80" w:type="dxa"/>
            <w:vAlign w:val="bottom"/>
            <w:gridSpan w:val="2"/>
            <w:shd w:val="clear" w:color="auto" w:fill="CCEEFF"/>
          </w:tcPr>
          <w:p>
            <w:pPr>
              <w:jc w:val="right"/>
              <w:ind w:right="16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tcPr>
          <w:p>
            <w:pPr>
              <w:spacing w:after="0"/>
              <w:rPr>
                <w:sz w:val="15"/>
                <w:szCs w:val="15"/>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5"/>
                <w:szCs w:val="15"/>
                <w:color w:val="auto"/>
              </w:rPr>
            </w:pPr>
          </w:p>
        </w:tc>
      </w:tr>
      <w:tr>
        <w:trPr>
          <w:trHeight w:val="180"/>
        </w:trPr>
        <w:tc>
          <w:tcPr>
            <w:tcW w:w="4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(a)</w:t>
            </w:r>
          </w:p>
        </w:tc>
        <w:tc>
          <w:tcPr>
            <w:tcW w:w="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5"/>
                <w:szCs w:val="15"/>
                <w:color w:val="auto"/>
              </w:rPr>
            </w:pPr>
          </w:p>
        </w:tc>
      </w:tr>
      <w:tr>
        <w:trPr>
          <w:trHeight w:val="171"/>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80" w:type="dxa"/>
            <w:vAlign w:val="bottom"/>
            <w:tcBorders>
              <w:top w:val="single" w:sz="8" w:color="auto"/>
              <w:bottom w:val="single" w:sz="8" w:color="auto"/>
            </w:tcBorders>
            <w:gridSpan w:val="2"/>
          </w:tcPr>
          <w:p>
            <w:pPr>
              <w:jc w:val="right"/>
              <w:ind w:right="16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20" w:type="dxa"/>
            <w:vAlign w:val="bottom"/>
          </w:tcPr>
          <w:p>
            <w:pPr>
              <w:spacing w:after="0"/>
              <w:rPr>
                <w:sz w:val="14"/>
                <w:szCs w:val="14"/>
                <w:color w:val="auto"/>
              </w:rPr>
            </w:pPr>
          </w:p>
        </w:tc>
      </w:tr>
      <w:tr>
        <w:trPr>
          <w:trHeight w:val="20"/>
        </w:trPr>
        <w:tc>
          <w:tcPr>
            <w:tcW w:w="4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92" w:lineRule="exact"/>
        <w:rPr>
          <w:sz w:val="20"/>
          <w:szCs w:val="20"/>
          <w:color w:val="auto"/>
        </w:rPr>
      </w:pPr>
    </w:p>
    <w:p>
      <w:pPr>
        <w:jc w:val="both"/>
        <w:ind w:left="60" w:firstLine="9"/>
        <w:spacing w:after="0" w:line="235" w:lineRule="auto"/>
        <w:tabs>
          <w:tab w:leader="none" w:pos="195" w:val="left"/>
        </w:tabs>
        <w:numPr>
          <w:ilvl w:val="0"/>
          <w:numId w:val="7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May 31, 2023, the Marsh Landing Black Start addition reached commercial operations and the Company receives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future rent payments the Company expects to receive for the remaining periods related to various facility operating leases as of December 31, 2025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Property, plant and equipment, net related to the Company’s operating leases were as follows:</w:t>
            </w: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6,642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071"/>
              <w:spacing w:after="0"/>
              <w:rPr>
                <w:sz w:val="20"/>
                <w:szCs w:val="20"/>
                <w:color w:val="auto"/>
              </w:rPr>
            </w:pPr>
            <w:r>
              <w:rPr>
                <w:rFonts w:ascii="Times New Roman" w:cs="Times New Roman" w:eastAsia="Times New Roman" w:hAnsi="Times New Roman"/>
                <w:sz w:val="14"/>
                <w:szCs w:val="14"/>
                <w:color w:val="auto"/>
              </w:rPr>
              <w:t>(2,520)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4,122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Revision of Previously Issued Unaudited Financial Information (Unaudited)</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5" w:name="page136"/>
    <w:bookmarkEnd w:id="135"/>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corrections had no impact on the Company’s consolidated net income (loss) or its consolidated statements of cash flows contained in the Company’s previously issued Quarterly Reports on Form 10-Q for the quarters ended March 31, 2025, June 30, 2025 and September 30, 2025. The Company will revise prior period financial information, including the corresponding notes to the financial statements, related to the errors contained in its previously issued Quarterly Reports on Form 10-Q for the quarters ended March 31, 2025, June 30, 2025 and September 30, 2025, the next time the respective periods are presented.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summary of the corrections to the impacted financial statement line items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54"/>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50"/>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 (loss) attributable to Clearway Energy, Inc.</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Earnings (loss) per weighted average Class A and Class C common share - basic and diluted</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 of Comprehensive Income (Loss)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Comprehensive loss attributable to noncontrolling interests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Comprehensive income (loss) attributable to Clearway Energy, Inc.</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4"/>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Balance Sheet (As of March 31, 2025)</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Retained earnings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3,484</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w:t>
            </w:r>
          </w:p>
        </w:tc>
      </w:tr>
      <w:tr>
        <w:trPr>
          <w:trHeight w:val="154"/>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Statements of Stockholders’ Equity</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Retained Earnings at March 31, 2025</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r>
      <w:tr>
        <w:trPr>
          <w:trHeight w:val="154"/>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r>
      <w:tr>
        <w:trPr>
          <w:trHeight w:val="147"/>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Noncontrolling Interest at March 31, 2025</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left="55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3,484</w:t>
            </w:r>
          </w:p>
        </w:tc>
      </w:tr>
      <w:tr>
        <w:trPr>
          <w:trHeight w:val="353"/>
        </w:trPr>
        <w:tc>
          <w:tcPr>
            <w:tcW w:w="5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Three months ended June 30, 2025</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128"/>
              <w:spacing w:after="0"/>
              <w:rPr>
                <w:sz w:val="20"/>
                <w:szCs w:val="20"/>
                <w:color w:val="auto"/>
              </w:rPr>
            </w:pPr>
            <w:r>
              <w:rPr>
                <w:rFonts w:ascii="Times New Roman" w:cs="Times New Roman" w:eastAsia="Times New Roman" w:hAnsi="Times New Roman"/>
                <w:sz w:val="8"/>
                <w:szCs w:val="8"/>
                <w:b w:val="1"/>
                <w:bCs w:val="1"/>
                <w:color w:val="auto"/>
              </w:rPr>
              <w:t>Six months ended June 30, 2025</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 millions, except per share amount)</w:t>
            </w: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8"/>
                <w:szCs w:val="8"/>
                <w:b w:val="1"/>
                <w:bCs w:val="1"/>
                <w:color w:val="auto"/>
              </w:rPr>
              <w:t>As Revised</w:t>
            </w:r>
          </w:p>
        </w:tc>
        <w:tc>
          <w:tcPr>
            <w:tcW w:w="80" w:type="dxa"/>
            <w:vAlign w:val="bottom"/>
          </w:tcPr>
          <w:p>
            <w:pPr>
              <w:spacing w:after="0"/>
              <w:rPr>
                <w:sz w:val="10"/>
                <w:szCs w:val="1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8"/>
                <w:szCs w:val="8"/>
                <w:b w:val="1"/>
                <w:bCs w:val="1"/>
                <w:color w:val="auto"/>
              </w:rPr>
              <w:t>As Revised</w:t>
            </w:r>
          </w:p>
        </w:tc>
      </w:tr>
      <w:tr>
        <w:trPr>
          <w:trHeight w:val="118"/>
        </w:trPr>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Operations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loss attributable to noncontrolling interests and redeemable noncontrolling interests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center"/>
              <w:ind w:left="532"/>
              <w:spacing w:after="0"/>
              <w:rPr>
                <w:sz w:val="20"/>
                <w:szCs w:val="20"/>
                <w:color w:val="auto"/>
              </w:rPr>
            </w:pPr>
            <w:r>
              <w:rPr>
                <w:rFonts w:ascii="Times New Roman" w:cs="Times New Roman" w:eastAsia="Times New Roman" w:hAnsi="Times New Roman"/>
                <w:sz w:val="8"/>
                <w:szCs w:val="8"/>
                <w:color w:val="auto"/>
                <w:w w:val="98"/>
              </w:rPr>
              <w:t>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80" w:type="dxa"/>
            <w:vAlign w:val="bottom"/>
          </w:tcPr>
          <w:p>
            <w:pPr>
              <w:spacing w:after="0"/>
              <w:rPr>
                <w:sz w:val="10"/>
                <w:szCs w:val="10"/>
                <w:color w:val="auto"/>
              </w:rPr>
            </w:pP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8"/>
                <w:szCs w:val="8"/>
                <w:color w:val="auto"/>
                <w:w w:val="98"/>
              </w:rPr>
              <w:t>$</w:t>
            </w:r>
          </w:p>
        </w:tc>
        <w:tc>
          <w:tcPr>
            <w:tcW w:w="2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w:t>
            </w:r>
          </w:p>
        </w:tc>
        <w:tc>
          <w:tcPr>
            <w:tcW w:w="600" w:type="dxa"/>
            <w:vAlign w:val="bottom"/>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w:t>
            </w: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income attributable to Clearway Energy, Inc.</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w:t>
            </w: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w:t>
            </w: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Earnings per weighted average Class A and Class C common share - basic and diluted</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0.28</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(0.03)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0.25</w:t>
            </w:r>
          </w:p>
        </w:tc>
        <w:tc>
          <w:tcPr>
            <w:tcW w:w="80" w:type="dxa"/>
            <w:vAlign w:val="bottom"/>
          </w:tcPr>
          <w:p>
            <w:pPr>
              <w:spacing w:after="0"/>
              <w:rPr>
                <w:sz w:val="10"/>
                <w:szCs w:val="10"/>
                <w:color w:val="auto"/>
              </w:rPr>
            </w:pP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8"/>
                <w:szCs w:val="8"/>
                <w:color w:val="auto"/>
                <w:w w:val="98"/>
              </w:rPr>
              <w:t>$</w:t>
            </w:r>
          </w:p>
        </w:tc>
        <w:tc>
          <w:tcPr>
            <w:tcW w:w="2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0.31</w:t>
            </w:r>
          </w:p>
        </w:tc>
        <w:tc>
          <w:tcPr>
            <w:tcW w:w="600" w:type="dxa"/>
            <w:vAlign w:val="bottom"/>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(0.08)</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0.23</w:t>
            </w:r>
          </w:p>
        </w:tc>
      </w:tr>
      <w:tr>
        <w:trPr>
          <w:trHeight w:val="1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Comprehensive Income</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Comprehensive loss attributable to noncontrolling interests and redeemable noncontrolling interests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center"/>
              <w:ind w:left="532"/>
              <w:spacing w:after="0"/>
              <w:rPr>
                <w:sz w:val="20"/>
                <w:szCs w:val="20"/>
                <w:color w:val="auto"/>
              </w:rPr>
            </w:pPr>
            <w:r>
              <w:rPr>
                <w:rFonts w:ascii="Times New Roman" w:cs="Times New Roman" w:eastAsia="Times New Roman" w:hAnsi="Times New Roman"/>
                <w:sz w:val="8"/>
                <w:szCs w:val="8"/>
                <w:color w:val="auto"/>
                <w:w w:val="98"/>
              </w:rPr>
              <w:t>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w:t>
            </w:r>
          </w:p>
        </w:tc>
        <w:tc>
          <w:tcPr>
            <w:tcW w:w="80" w:type="dxa"/>
            <w:vAlign w:val="bottom"/>
          </w:tcPr>
          <w:p>
            <w:pPr>
              <w:spacing w:after="0"/>
              <w:rPr>
                <w:sz w:val="10"/>
                <w:szCs w:val="10"/>
                <w:color w:val="auto"/>
              </w:rPr>
            </w:pP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8"/>
                <w:szCs w:val="8"/>
                <w:color w:val="auto"/>
                <w:w w:val="98"/>
              </w:rPr>
              <w:t>$</w:t>
            </w:r>
          </w:p>
        </w:tc>
        <w:tc>
          <w:tcPr>
            <w:tcW w:w="2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w:t>
            </w:r>
          </w:p>
        </w:tc>
        <w:tc>
          <w:tcPr>
            <w:tcW w:w="600" w:type="dxa"/>
            <w:vAlign w:val="bottom"/>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(131)</w:t>
            </w: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Comprehensive income attributable to Clearway Energy, Inc.</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27"/>
              <w:spacing w:after="0"/>
              <w:rPr>
                <w:sz w:val="20"/>
                <w:szCs w:val="20"/>
                <w:color w:val="auto"/>
              </w:rPr>
            </w:pPr>
            <w:r>
              <w:rPr>
                <w:rFonts w:ascii="Times New Roman" w:cs="Times New Roman" w:eastAsia="Times New Roman" w:hAnsi="Times New Roman"/>
                <w:sz w:val="8"/>
                <w:szCs w:val="8"/>
                <w:color w:val="auto"/>
                <w:w w:val="98"/>
              </w:rPr>
              <w:t>$</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w:t>
            </w:r>
          </w:p>
        </w:tc>
        <w:tc>
          <w:tcPr>
            <w:tcW w:w="6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w:t>
            </w: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Balance Sheet (As of June 30, 2025)</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Redeemable noncontrolling interest in subsidiaries</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8"/>
                <w:szCs w:val="8"/>
                <w:color w:val="auto"/>
                <w:w w:val="98"/>
              </w:rPr>
              <w:t>7</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Retained earnings</w:t>
            </w:r>
          </w:p>
        </w:tc>
        <w:tc>
          <w:tcPr>
            <w:tcW w:w="1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188</w:t>
            </w:r>
          </w:p>
        </w:tc>
        <w:tc>
          <w:tcPr>
            <w:tcW w:w="140" w:type="dxa"/>
            <w:vAlign w:val="bottom"/>
          </w:tcPr>
          <w:p>
            <w:pPr>
              <w:spacing w:after="0"/>
              <w:rPr>
                <w:sz w:val="10"/>
                <w:szCs w:val="1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(10)</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178</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Noncontrolling interest</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3,693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8"/>
                <w:szCs w:val="8"/>
                <w:color w:val="auto"/>
                <w:w w:val="98"/>
              </w:rPr>
              <w:t>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3,696</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Total Stockholders’ Equity</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5,542</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5,535</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Statements of Stockholders’ Equity</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Retained Earnings at June 30, 2025</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188</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(10)</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178</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rPr>
              <w:t>Noncontrolling Interest:</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loss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Noncontrolling Interest at June 30, 2025</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3,693</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8"/>
                <w:szCs w:val="8"/>
                <w:color w:val="auto"/>
                <w:w w:val="98"/>
              </w:rPr>
              <w:t>3</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3,696</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19"/>
        </w:trPr>
        <w:tc>
          <w:tcPr>
            <w:tcW w:w="5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September 30, 2025</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Nine months ended September 30, 2025</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 millions, except per share amount)</w:t>
            </w: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As Revised</w:t>
            </w: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As Revised</w:t>
            </w:r>
          </w:p>
        </w:tc>
      </w:tr>
      <w:tr>
        <w:trPr>
          <w:trHeight w:val="118"/>
        </w:trPr>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00" w:type="dxa"/>
            <w:vAlign w:val="bottom"/>
            <w:gridSpan w:val="3"/>
          </w:tcPr>
          <w:p>
            <w:pPr>
              <w:jc w:val="right"/>
              <w:ind w:right="498"/>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Operations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loss attributable to noncontrolling interests and redeemable noncontrolling interests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(176)</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8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(291)</w:t>
            </w: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income attributable to Clearway Energy, Inc.</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273</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259</w:t>
            </w: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Earnings per weighted average Class A and Class C common share - basic and diluted</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1.97</w:t>
            </w:r>
          </w:p>
        </w:tc>
        <w:tc>
          <w:tcPr>
            <w:tcW w:w="8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2.32</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(0.12)</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2.20</w:t>
            </w:r>
          </w:p>
        </w:tc>
      </w:tr>
      <w:tr>
        <w:trPr>
          <w:trHeight w:val="1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Comprehensive Income</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Comprehensive loss attributable to noncontrolling interests and redeemable noncontrolling interests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(178)</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(174)</w:t>
            </w:r>
          </w:p>
        </w:tc>
        <w:tc>
          <w:tcPr>
            <w:tcW w:w="8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(319)</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(305)</w:t>
            </w: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Comprehensive income attributable to Clearway Energy, Inc.</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233</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264</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250</w:t>
            </w: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Balance Sheet (As of September 30, 2025)</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Redeemable noncontrolling interest in subsidiaries</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74</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Retained earnings</w:t>
            </w:r>
          </w:p>
        </w:tc>
        <w:tc>
          <w:tcPr>
            <w:tcW w:w="1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372</w:t>
            </w:r>
          </w:p>
        </w:tc>
        <w:tc>
          <w:tcPr>
            <w:tcW w:w="1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Noncontrolling interest</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3,666</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Total Stockholders’ Equity</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5,715</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5,685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Statements of Stockholders’ Equity</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Retained Earnings at September 30, 2025</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372</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rPr>
              <w:t>Noncontrolling Interest:</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income (loss)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Noncontrolling Interest at September 30, 2025</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3,666</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Schedule I</w:t>
            </w:r>
          </w:p>
        </w:tc>
      </w:tr>
      <w:tr>
        <w:trPr>
          <w:trHeight w:val="297"/>
        </w:trPr>
        <w:tc>
          <w:tcPr>
            <w:tcW w:w="7140" w:type="dxa"/>
            <w:vAlign w:val="bottom"/>
          </w:tcPr>
          <w:p>
            <w:pPr>
              <w:jc w:val="center"/>
              <w:ind w:left="4070"/>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4"/>
        </w:trPr>
        <w:tc>
          <w:tcPr>
            <w:tcW w:w="7140" w:type="dxa"/>
            <w:vAlign w:val="bottom"/>
          </w:tcPr>
          <w:p>
            <w:pPr>
              <w:jc w:val="center"/>
              <w:ind w:left="4090"/>
              <w:spacing w:after="0"/>
              <w:rPr>
                <w:sz w:val="20"/>
                <w:szCs w:val="20"/>
                <w:color w:val="auto"/>
              </w:rPr>
            </w:pPr>
            <w:r>
              <w:rPr>
                <w:rFonts w:ascii="Times New Roman" w:cs="Times New Roman" w:eastAsia="Times New Roman" w:hAnsi="Times New Roman"/>
                <w:sz w:val="14"/>
                <w:szCs w:val="14"/>
                <w:b w:val="1"/>
                <w:bCs w:val="1"/>
                <w:color w:val="auto"/>
              </w:rPr>
              <w:t>Condensed Financial Statements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3"/>
        </w:trPr>
        <w:tc>
          <w:tcPr>
            <w:tcW w:w="7140" w:type="dxa"/>
            <w:vAlign w:val="bottom"/>
          </w:tcPr>
          <w:p>
            <w:pPr>
              <w:jc w:val="center"/>
              <w:ind w:left="4070"/>
              <w:spacing w:after="0"/>
              <w:rPr>
                <w:sz w:val="20"/>
                <w:szCs w:val="20"/>
                <w:color w:val="auto"/>
              </w:rPr>
            </w:pPr>
            <w:r>
              <w:rPr>
                <w:rFonts w:ascii="Times New Roman" w:cs="Times New Roman" w:eastAsia="Times New Roman" w:hAnsi="Times New Roman"/>
                <w:sz w:val="14"/>
                <w:szCs w:val="14"/>
                <w:b w:val="1"/>
                <w:bCs w:val="1"/>
                <w:color w:val="auto"/>
              </w:rPr>
              <w:t>Condensed Statements of Operations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6"/>
        </w:trPr>
        <w:tc>
          <w:tcPr>
            <w:tcW w:w="7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54"/>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Equity in losses of consolidated subsidiaries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c>
          <w:tcPr>
            <w:tcW w:w="0" w:type="dxa"/>
            <w:vAlign w:val="bottom"/>
          </w:tcPr>
          <w:p>
            <w:pPr>
              <w:spacing w:after="0"/>
              <w:rPr>
                <w:sz w:val="1"/>
                <w:szCs w:val="1"/>
                <w:color w:val="auto"/>
              </w:rPr>
            </w:pPr>
          </w:p>
        </w:tc>
      </w:tr>
      <w:tr>
        <w:trPr>
          <w:trHeight w:val="297"/>
        </w:trPr>
        <w:tc>
          <w:tcPr>
            <w:tcW w:w="840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tcPr>
          <w:p>
            <w:pPr>
              <w:spacing w:after="0"/>
              <w:rPr>
                <w:sz w:val="19"/>
                <w:szCs w:val="19"/>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9"/>
        </w:trPr>
        <w:tc>
          <w:tcPr>
            <w:tcW w:w="840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 affiliates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receivable — Clearway Energy Operating LLC</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in consolidated subsidiaries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$0.01 par value; 10,000,000 shares authorized; none issued</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84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Class A, Class B, Class C and Class D common stock, $0.01 par value; 3,000,000,000 shares authorized (Class A 500,000,000, Class B</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500,000,000, Class C 1,000,000,000, Class D 1,000,000,000); 203,773,674 shares issued and outstanding (Class A 34,613,853, Class B</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42,738,750, Class C 84,844,929, Class D 41,576,142) at December 31, 2025 and 202,147,579 shares issued and outstanding (Class A 34,613,853,</w:t>
            </w:r>
          </w:p>
        </w:tc>
        <w:tc>
          <w:tcPr>
            <w:tcW w:w="2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B 42,738,750, Class C 82,833,226, Class D 41,961,750) at December 31, 2024</w:t>
            </w: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Schedule I</w:t>
            </w:r>
          </w:p>
        </w:tc>
      </w:tr>
      <w:tr>
        <w:trPr>
          <w:trHeight w:val="297"/>
        </w:trPr>
        <w:tc>
          <w:tcPr>
            <w:tcW w:w="4380" w:type="dxa"/>
            <w:vAlign w:val="bottom"/>
          </w:tcPr>
          <w:p>
            <w:pPr>
              <w:spacing w:after="0"/>
              <w:rPr>
                <w:sz w:val="24"/>
                <w:szCs w:val="24"/>
                <w:color w:val="auto"/>
              </w:rPr>
            </w:pPr>
          </w:p>
        </w:tc>
        <w:tc>
          <w:tcPr>
            <w:tcW w:w="3620" w:type="dxa"/>
            <w:vAlign w:val="bottom"/>
            <w:gridSpan w:val="2"/>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380" w:type="dxa"/>
            <w:vAlign w:val="bottom"/>
          </w:tcPr>
          <w:p>
            <w:pPr>
              <w:spacing w:after="0"/>
              <w:rPr>
                <w:sz w:val="21"/>
                <w:szCs w:val="21"/>
                <w:color w:val="auto"/>
              </w:rPr>
            </w:pPr>
          </w:p>
        </w:tc>
        <w:tc>
          <w:tcPr>
            <w:tcW w:w="3620" w:type="dxa"/>
            <w:vAlign w:val="bottom"/>
            <w:gridSpan w:val="2"/>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54"/>
        </w:trPr>
        <w:tc>
          <w:tcPr>
            <w:tcW w:w="4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6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consolidated affiliates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advances for notes receivable — affiliate</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received from notes receivable — affiliate</w:t>
            </w:r>
          </w:p>
        </w:tc>
        <w:tc>
          <w:tcPr>
            <w:tcW w:w="27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r>
      <w:tr>
        <w:trPr>
          <w:trHeight w:val="17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received from Clearway Energy LLC for tax-related distributions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received from Clearway Energy LLC for the payment of dividends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dividends</w:t>
            </w:r>
          </w:p>
        </w:tc>
        <w:tc>
          <w:tcPr>
            <w:tcW w:w="27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5"/>
                <w:szCs w:val="15"/>
                <w:color w:val="auto"/>
              </w:rPr>
            </w:pPr>
          </w:p>
        </w:tc>
      </w:tr>
      <w:tr>
        <w:trPr>
          <w:trHeight w:val="17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at Beginning of Period</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at End of Period</w:t>
            </w:r>
          </w:p>
        </w:tc>
        <w:tc>
          <w:tcPr>
            <w:tcW w:w="27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Background and Basis of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3" w:lineRule="exact"/>
        <w:rPr>
          <w:sz w:val="20"/>
          <w:szCs w:val="20"/>
          <w:color w:val="auto"/>
        </w:rPr>
      </w:pPr>
    </w:p>
    <w:p>
      <w:pPr>
        <w:ind w:right="320" w:firstLine="318"/>
        <w:spacing w:after="0" w:line="442" w:lineRule="auto"/>
        <w:rPr>
          <w:sz w:val="20"/>
          <w:szCs w:val="20"/>
          <w:color w:val="auto"/>
        </w:rPr>
      </w:pPr>
      <w:r>
        <w:rPr>
          <w:rFonts w:ascii="Times New Roman" w:cs="Times New Roman" w:eastAsia="Times New Roman" w:hAnsi="Times New Roman"/>
          <w:sz w:val="14"/>
          <w:szCs w:val="14"/>
          <w:color w:val="auto"/>
        </w:rPr>
        <w:t xml:space="preserve">As of December 31, 2025, the Company owned 58.62% of the economic interests of Clearway Energy LLC, with CEG owning 41.38% of the economic interests of Clearway Energy LLC. </w:t>
      </w:r>
      <w:r>
        <w:rPr>
          <w:rFonts w:ascii="Times New Roman" w:cs="Times New Roman" w:eastAsia="Times New Roman" w:hAnsi="Times New Roman"/>
          <w:sz w:val="14"/>
          <w:szCs w:val="14"/>
          <w:b w:val="1"/>
          <w:bCs w:val="1"/>
          <w:i w:val="1"/>
          <w:iCs w:val="1"/>
          <w:color w:val="auto"/>
        </w:rPr>
        <w:t>Basis of Presentation</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 discussion of Clearway Energy, Inc.’s financing arrangements,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Contingencies and Guarantees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and Note 16,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xml:space="preserve"> to the Company’s consolidated financial statements for a detailed discussion of Clearway Energy, Inc.’s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Dividends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distributions paid to Clearway Energy, Inc. by its subsidiary, Clearway Energy LLC, were $209 million, $194 million and $180 million for the years ended December 31, 2025, 2024, and 2023,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 2025,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1"/>
                <w:szCs w:val="11"/>
                <w:color w:val="auto"/>
              </w:rPr>
            </w:pP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180" w:type="dxa"/>
            <w:vAlign w:val="bottom"/>
          </w:tcPr>
          <w:p>
            <w:pPr>
              <w:spacing w:after="0"/>
              <w:rPr>
                <w:sz w:val="11"/>
                <w:szCs w:val="11"/>
                <w:color w:val="auto"/>
              </w:rPr>
            </w:pPr>
          </w:p>
        </w:tc>
        <w:tc>
          <w:tcPr>
            <w:tcW w:w="1060" w:type="dxa"/>
            <w:vAlign w:val="bottom"/>
            <w:vMerge w:val="restart"/>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15"/>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40" w:type="dxa"/>
            <w:vAlign w:val="bottom"/>
          </w:tcPr>
          <w:p>
            <w:pPr>
              <w:jc w:val="center"/>
              <w:ind w:left="122"/>
              <w:spacing w:after="0" w:line="115" w:lineRule="exact"/>
              <w:rPr>
                <w:sz w:val="20"/>
                <w:szCs w:val="20"/>
                <w:color w:val="auto"/>
              </w:rPr>
            </w:pPr>
            <w:r>
              <w:rPr>
                <w:rFonts w:ascii="Times New Roman" w:cs="Times New Roman" w:eastAsia="Times New Roman" w:hAnsi="Times New Roman"/>
                <w:sz w:val="11"/>
                <w:szCs w:val="11"/>
                <w:b w:val="1"/>
                <w:bCs w:val="1"/>
                <w:color w:val="auto"/>
              </w:rPr>
              <w:t>Beginning of</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3"/>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100" w:type="dxa"/>
            <w:vAlign w:val="bottom"/>
            <w:vMerge w:val="continue"/>
          </w:tcPr>
          <w:p>
            <w:pPr>
              <w:spacing w:after="0"/>
              <w:rPr>
                <w:sz w:val="13"/>
                <w:szCs w:val="13"/>
                <w:color w:val="auto"/>
              </w:rPr>
            </w:pP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Other Accounts</w:t>
            </w:r>
          </w:p>
        </w:tc>
        <w:tc>
          <w:tcPr>
            <w:tcW w:w="180" w:type="dxa"/>
            <w:vAlign w:val="bottom"/>
          </w:tcPr>
          <w:p>
            <w:pPr>
              <w:spacing w:after="0"/>
              <w:rPr>
                <w:sz w:val="13"/>
                <w:szCs w:val="13"/>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End of Period</w:t>
            </w:r>
          </w:p>
        </w:tc>
        <w:tc>
          <w:tcPr>
            <w:tcW w:w="0" w:type="dxa"/>
            <w:vAlign w:val="bottom"/>
          </w:tcPr>
          <w:p>
            <w:pPr>
              <w:spacing w:after="0"/>
              <w:rPr>
                <w:sz w:val="1"/>
                <w:szCs w:val="1"/>
                <w:color w:val="auto"/>
              </w:rPr>
            </w:pPr>
          </w:p>
        </w:tc>
      </w:tr>
      <w:tr>
        <w:trPr>
          <w:trHeight w:val="165"/>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valuation allowance, deducted from deferred tax assets</w:t>
            </w: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December 31, 2025</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Year Ended December 31, 2024</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5"/>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December 31, 2023</w:t>
            </w: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8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0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3.1</w:t>
            </w:r>
          </w:p>
        </w:tc>
        <w:tc>
          <w:tcPr>
            <w:tcW w:w="6000" w:type="dxa"/>
            <w:vAlign w:val="bottom"/>
            <w:gridSpan w:val="21"/>
          </w:tcPr>
          <w:p>
            <w:pPr>
              <w:spacing w:after="0" w:line="143" w:lineRule="exact"/>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Amended and Restated Certificate of Incorporation of Clearway Energy, Inc.</w:t>
              </w:r>
            </w:hyperlink>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Fourth Amended and Restated Bylaws of Clearway Energy, Inc., dated August 31, 2018.</w:t>
              </w:r>
            </w:hyperlink>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Fourth Amended and Restated Limited Liability Company Agreement of NRG Yield LLC, dated as of August</w:t>
              </w:r>
            </w:hyperlink>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31, 2018, by and between NRG Yield, Inc. and Zephyr Renewables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23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7"/>
              </w:rPr>
            </w:pPr>
            <w:hyperlink r:id="rId230">
              <w:r>
                <w:rPr>
                  <w:rFonts w:ascii="Times New Roman" w:cs="Times New Roman" w:eastAsia="Times New Roman" w:hAnsi="Times New Roman"/>
                  <w:sz w:val="13"/>
                  <w:szCs w:val="13"/>
                  <w:color w:val="0000FF"/>
                  <w:w w:val="97"/>
                </w:rPr>
                <w:t>Specimen Class A Common Stock Certificate.</w:t>
              </w:r>
            </w:hyperlink>
          </w:p>
        </w:tc>
        <w:tc>
          <w:tcPr>
            <w:tcW w:w="1360" w:type="dxa"/>
            <w:vAlign w:val="bottom"/>
            <w:tcBorders>
              <w:top w:val="single" w:sz="8" w:color="0000FF"/>
            </w:tcBorders>
            <w:gridSpan w:val="3"/>
          </w:tcPr>
          <w:p>
            <w:pPr>
              <w:spacing w:after="0"/>
              <w:rPr>
                <w:sz w:val="24"/>
                <w:szCs w:val="24"/>
                <w:color w:val="auto"/>
              </w:rPr>
            </w:pPr>
          </w:p>
        </w:tc>
        <w:tc>
          <w:tcPr>
            <w:tcW w:w="2260" w:type="dxa"/>
            <w:vAlign w:val="bottom"/>
            <w:gridSpan w:val="14"/>
          </w:tcPr>
          <w:p>
            <w:pPr>
              <w:spacing w:after="0"/>
              <w:rPr>
                <w:sz w:val="24"/>
                <w:szCs w:val="24"/>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Specimen Class C Common Stock Certificate.</w:t>
              </w:r>
            </w:hyperlink>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2">
              <w:r>
                <w:rPr>
                  <w:rFonts w:ascii="Times New Roman" w:cs="Times New Roman" w:eastAsia="Times New Roman" w:hAnsi="Times New Roman"/>
                  <w:sz w:val="13"/>
                  <w:szCs w:val="13"/>
                  <w:color w:val="0000FF"/>
                </w:rPr>
                <w:t>Indenture, dated December 11, 2019,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32">
              <w:r>
                <w:rPr>
                  <w:rFonts w:ascii="Times New Roman" w:cs="Times New Roman" w:eastAsia="Times New Roman" w:hAnsi="Times New Roman"/>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20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232">
              <w:r>
                <w:rPr>
                  <w:rFonts w:ascii="Times New Roman" w:cs="Times New Roman" w:eastAsia="Times New Roman" w:hAnsi="Times New Roman"/>
                  <w:sz w:val="13"/>
                  <w:szCs w:val="13"/>
                  <w:color w:val="0000FF"/>
                  <w:w w:val="97"/>
                </w:rPr>
                <w:t>Form of 4.750% Senior Notes due 2028.</w:t>
              </w:r>
            </w:hyperlink>
          </w:p>
        </w:tc>
        <w:tc>
          <w:tcPr>
            <w:tcW w:w="3920" w:type="dxa"/>
            <w:vAlign w:val="bottom"/>
            <w:gridSpan w:val="19"/>
          </w:tcPr>
          <w:p>
            <w:pPr>
              <w:spacing w:after="0"/>
              <w:rPr>
                <w:sz w:val="24"/>
                <w:szCs w:val="24"/>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3">
              <w:r>
                <w:rPr>
                  <w:rFonts w:ascii="Times New Roman" w:cs="Times New Roman" w:eastAsia="Times New Roman" w:hAnsi="Times New Roman"/>
                  <w:sz w:val="13"/>
                  <w:szCs w:val="13"/>
                  <w:color w:val="0000FF"/>
                </w:rPr>
                <w:t>First Supplemental Indenture, dated as of January 6,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33">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4">
              <w:r>
                <w:rPr>
                  <w:rFonts w:ascii="Times New Roman" w:cs="Times New Roman" w:eastAsia="Times New Roman" w:hAnsi="Times New Roman"/>
                  <w:sz w:val="13"/>
                  <w:szCs w:val="13"/>
                  <w:color w:val="0000FF"/>
                </w:rPr>
                <w:t>Second Supplemental Indenture, dated as of February 26, 2020, among Clearway Energy Operating LLC, the</w:t>
              </w:r>
            </w:hyperlink>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34">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5">
              <w:r>
                <w:rPr>
                  <w:rFonts w:ascii="Times New Roman" w:cs="Times New Roman" w:eastAsia="Times New Roman" w:hAnsi="Times New Roman"/>
                  <w:sz w:val="13"/>
                  <w:szCs w:val="13"/>
                  <w:color w:val="0000FF"/>
                </w:rPr>
                <w:t>Third Supplemental Indenture, dated as of July 17,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35">
              <w:r>
                <w:rPr>
                  <w:rFonts w:ascii="Times New Roman" w:cs="Times New Roman" w:eastAsia="Times New Roman" w:hAnsi="Times New Roman"/>
                  <w:sz w:val="12"/>
                  <w:szCs w:val="12"/>
                  <w:color w:val="0000FF"/>
                </w:rPr>
                <w:t>guarantors named therein and Delaware Trust Company.</w:t>
              </w:r>
            </w:hyperlink>
          </w:p>
        </w:tc>
        <w:tc>
          <w:tcPr>
            <w:tcW w:w="29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Fourth Supplemental Indenture, dated as of August 17,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36">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7">
              <w:r>
                <w:rPr>
                  <w:rFonts w:ascii="Times New Roman" w:cs="Times New Roman" w:eastAsia="Times New Roman" w:hAnsi="Times New Roman"/>
                  <w:sz w:val="13"/>
                  <w:szCs w:val="13"/>
                  <w:color w:val="0000FF"/>
                </w:rPr>
                <w:t>Fifth Supplemental Indenture, dated as of November 18, 2020, among Clearway Energy Operating LLC, the</w:t>
              </w:r>
            </w:hyperlink>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8">
              <w:r>
                <w:rPr>
                  <w:rFonts w:ascii="Times New Roman" w:cs="Times New Roman" w:eastAsia="Times New Roman" w:hAnsi="Times New Roman"/>
                  <w:sz w:val="13"/>
                  <w:szCs w:val="13"/>
                  <w:color w:val="0000FF"/>
                </w:rPr>
                <w:t>Sixth Supplemental Indenture, dated as of December 1,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38">
              <w:r>
                <w:rPr>
                  <w:rFonts w:ascii="Times New Roman" w:cs="Times New Roman" w:eastAsia="Times New Roman" w:hAnsi="Times New Roman"/>
                  <w:sz w:val="12"/>
                  <w:szCs w:val="12"/>
                  <w:color w:val="0000FF"/>
                </w:rPr>
                <w:t>guarantors named therein and Delaware Trust Company.</w:t>
              </w:r>
            </w:hyperlink>
          </w:p>
        </w:tc>
        <w:tc>
          <w:tcPr>
            <w:tcW w:w="2960" w:type="dxa"/>
            <w:vAlign w:val="bottom"/>
            <w:tcBorders>
              <w:top w:val="single" w:sz="8" w:color="0000FF"/>
            </w:tcBorders>
            <w:gridSpan w:val="8"/>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39">
              <w:r>
                <w:rPr>
                  <w:rFonts w:ascii="Times New Roman" w:cs="Times New Roman" w:eastAsia="Times New Roman" w:hAnsi="Times New Roman"/>
                  <w:sz w:val="13"/>
                  <w:szCs w:val="13"/>
                  <w:color w:val="0000FF"/>
                </w:rPr>
                <w:t>Seventh Supplemental Indenture, dated as of December 23, 2020, among Clearway Energy Operating LLC, the</w:t>
              </w:r>
            </w:hyperlink>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guarantors named therein and Delaware Trust Company.</w:t>
              </w:r>
            </w:hyperlink>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40">
              <w:r>
                <w:rPr>
                  <w:rFonts w:ascii="Times New Roman" w:cs="Times New Roman" w:eastAsia="Times New Roman" w:hAnsi="Times New Roman"/>
                  <w:sz w:val="13"/>
                  <w:szCs w:val="13"/>
                  <w:color w:val="0000FF"/>
                </w:rPr>
                <w:t>Eighth Supplemental Indenture, dated as of February 3,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40">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41">
              <w:r>
                <w:rPr>
                  <w:rFonts w:ascii="Times New Roman" w:cs="Times New Roman" w:eastAsia="Times New Roman" w:hAnsi="Times New Roman"/>
                  <w:sz w:val="13"/>
                  <w:szCs w:val="13"/>
                  <w:color w:val="0000FF"/>
                </w:rPr>
                <w:t>Indenture, dated March 9, 2021,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Delaware Trust Company, as trustee.</w:t>
              </w:r>
            </w:hyperlink>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20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242">
              <w:r>
                <w:rPr>
                  <w:rFonts w:ascii="Times New Roman" w:cs="Times New Roman" w:eastAsia="Times New Roman" w:hAnsi="Times New Roman"/>
                  <w:sz w:val="13"/>
                  <w:szCs w:val="13"/>
                  <w:color w:val="0000FF"/>
                  <w:w w:val="97"/>
                </w:rPr>
                <w:t>Form of 3.750% Senior Notes due 2031.</w:t>
              </w:r>
            </w:hyperlink>
          </w:p>
        </w:tc>
        <w:tc>
          <w:tcPr>
            <w:tcW w:w="3920" w:type="dxa"/>
            <w:vAlign w:val="bottom"/>
            <w:gridSpan w:val="19"/>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4.16</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43">
              <w:r>
                <w:rPr>
                  <w:rFonts w:ascii="Times New Roman" w:cs="Times New Roman" w:eastAsia="Times New Roman" w:hAnsi="Times New Roman"/>
                  <w:sz w:val="13"/>
                  <w:szCs w:val="13"/>
                  <w:color w:val="0000FF"/>
                </w:rPr>
                <w:t>Ninth Supplemental Indenture, dated as of May 14, 2021, among Clearway Energy Operating LLC, the</w:t>
              </w:r>
            </w:hyperlink>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guarantors named therein and Delaware Trust Company.</w:t>
              </w:r>
            </w:hyperlink>
          </w:p>
        </w:tc>
        <w:tc>
          <w:tcPr>
            <w:tcW w:w="1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4.17</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44">
              <w:r>
                <w:rPr>
                  <w:rFonts w:ascii="Times New Roman" w:cs="Times New Roman" w:eastAsia="Times New Roman" w:hAnsi="Times New Roman"/>
                  <w:sz w:val="13"/>
                  <w:szCs w:val="13"/>
                  <w:color w:val="0000FF"/>
                </w:rPr>
                <w:t>First Supplemental Indenture, dated as of May 14, 2021, among Clearway Energy Operating LLC, the guarantors</w:t>
              </w:r>
            </w:hyperlink>
          </w:p>
        </w:tc>
      </w:tr>
      <w:tr>
        <w:trPr>
          <w:trHeight w:val="107"/>
        </w:trPr>
        <w:tc>
          <w:tcPr>
            <w:tcW w:w="1000" w:type="dxa"/>
            <w:vAlign w:val="bottom"/>
          </w:tcPr>
          <w:p>
            <w:pPr>
              <w:spacing w:after="0"/>
              <w:rPr>
                <w:sz w:val="9"/>
                <w:szCs w:val="9"/>
                <w:color w:val="auto"/>
              </w:rPr>
            </w:pPr>
          </w:p>
        </w:tc>
        <w:tc>
          <w:tcPr>
            <w:tcW w:w="23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named therein and Delaware Trust Company.</w:t>
              </w:r>
            </w:hyperlink>
          </w:p>
        </w:tc>
        <w:tc>
          <w:tcPr>
            <w:tcW w:w="3500" w:type="dxa"/>
            <w:vAlign w:val="bottom"/>
            <w:tcBorders>
              <w:top w:val="single" w:sz="8" w:color="0000FF"/>
            </w:tcBorders>
            <w:gridSpan w:val="11"/>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6000" w:type="dxa"/>
            <w:vAlign w:val="bottom"/>
            <w:gridSpan w:val="21"/>
          </w:tcPr>
          <w:p>
            <w:pPr>
              <w:spacing w:after="0"/>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Indenture, dated October 1, 2021,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Delaware Trust Company, as trustee.</w:t>
              </w:r>
            </w:hyperlink>
          </w:p>
        </w:tc>
        <w:tc>
          <w:tcPr>
            <w:tcW w:w="60" w:type="dxa"/>
            <w:vAlign w:val="bottom"/>
            <w:gridSpan w:val="3"/>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120" w:type="dxa"/>
            <w:vAlign w:val="bottom"/>
            <w:gridSpan w:val="20"/>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4.19</w:t>
            </w:r>
          </w:p>
        </w:tc>
        <w:tc>
          <w:tcPr>
            <w:tcW w:w="20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245">
              <w:r>
                <w:rPr>
                  <w:rFonts w:ascii="Times New Roman" w:cs="Times New Roman" w:eastAsia="Times New Roman" w:hAnsi="Times New Roman"/>
                  <w:sz w:val="13"/>
                  <w:szCs w:val="13"/>
                  <w:color w:val="0000FF"/>
                  <w:w w:val="97"/>
                </w:rPr>
                <w:t>Form of 3.750% Senior Notes due 2032.</w:t>
              </w:r>
            </w:hyperlink>
          </w:p>
        </w:tc>
        <w:tc>
          <w:tcPr>
            <w:tcW w:w="3920" w:type="dxa"/>
            <w:vAlign w:val="bottom"/>
            <w:gridSpan w:val="19"/>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3.1 to the Company’s Current Report on Form 10-Q filed on May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3.2 to the Company’s Current Report on Form 8-K filed on September 5, 2018.</w:t>
      </w:r>
    </w:p>
    <w:p>
      <w:pPr>
        <w:spacing w:after="0" w:line="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Current Report on Form 8-K filed on September 5, 2018.</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4.13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4.14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December 12,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December 12, 2019.</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January 8,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March 3,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July 21,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August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November 19,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29,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5,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October 1,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1, 2021.</w:t>
      </w:r>
    </w:p>
    <w:p>
      <w:pPr>
        <w:spacing w:after="0" w:line="200" w:lineRule="exact"/>
        <w:rPr>
          <w:sz w:val="20"/>
          <w:szCs w:val="20"/>
          <w:color w:val="auto"/>
        </w:rPr>
      </w:pPr>
    </w:p>
    <w:p>
      <w:pPr>
        <w:sectPr>
          <w:pgSz w:w="11900" w:h="16838" w:orient="portrait"/>
          <w:cols w:equalWidth="0" w:num="2">
            <w:col w:w="6780" w:space="120"/>
            <w:col w:w="4300"/>
          </w:cols>
          <w:pgMar w:left="340" w:top="727"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27" w:right="35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4.20</w:t>
            </w:r>
          </w:p>
        </w:tc>
        <w:tc>
          <w:tcPr>
            <w:tcW w:w="5980" w:type="dxa"/>
            <w:vAlign w:val="bottom"/>
            <w:gridSpan w:val="14"/>
          </w:tcPr>
          <w:p>
            <w:pPr>
              <w:spacing w:after="0" w:line="143" w:lineRule="exact"/>
              <w:rPr>
                <w:rFonts w:ascii="Times New Roman" w:cs="Times New Roman" w:eastAsia="Times New Roman" w:hAnsi="Times New Roman"/>
                <w:sz w:val="13"/>
                <w:szCs w:val="13"/>
                <w:color w:val="0000FF"/>
              </w:rPr>
            </w:pPr>
            <w:hyperlink r:id="rId247">
              <w:r>
                <w:rPr>
                  <w:rFonts w:ascii="Times New Roman" w:cs="Times New Roman" w:eastAsia="Times New Roman" w:hAnsi="Times New Roman"/>
                  <w:sz w:val="13"/>
                  <w:szCs w:val="13"/>
                  <w:color w:val="0000FF"/>
                </w:rPr>
                <w:t>Tenth Supplemental Indenture, dated as of October 7,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47">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4.21</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Second Supplemental Indenture, dated as of October 7,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48">
              <w:r>
                <w:rPr>
                  <w:rFonts w:ascii="Times New Roman" w:cs="Times New Roman" w:eastAsia="Times New Roman" w:hAnsi="Times New Roman"/>
                  <w:sz w:val="12"/>
                  <w:szCs w:val="12"/>
                  <w:color w:val="0000FF"/>
                </w:rPr>
                <w:t>guarantors named therein and Delaware Trust Company.</w:t>
              </w:r>
            </w:hyperlink>
          </w:p>
        </w:tc>
        <w:tc>
          <w:tcPr>
            <w:tcW w:w="302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4.22</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First Supplemental Indenture, dated as of October 7,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4.23</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Eleventh Supplemental Indenture, dated as of May 25, 2022, among Clearway Energy Operating LLC, the</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4.24</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Third Supplemental Indenture, dated as of May 25, 2022,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4.25</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Second Supplemental Indenture, dated as of May 25, 2022,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guarantors named therein and Delaware Trust Company.</w:t>
              </w:r>
            </w:hyperlink>
          </w:p>
        </w:tc>
        <w:tc>
          <w:tcPr>
            <w:tcW w:w="288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4.26</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Twelfth Supplemental Indenture, dated as of February 14, 2023,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guarantors named therein and Delaware Trust Company.</w:t>
              </w:r>
            </w:hyperlink>
          </w:p>
        </w:tc>
        <w:tc>
          <w:tcPr>
            <w:tcW w:w="2920" w:type="dxa"/>
            <w:vAlign w:val="bottom"/>
            <w:tcBorders>
              <w:top w:val="single" w:sz="8" w:color="0000FF"/>
            </w:tcBorders>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4.27</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Fourth Supplemental Indenture, dated as of February 14, 2023,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guarantors named therein and Delaware Trust Company.</w:t>
              </w:r>
            </w:hyperlink>
          </w:p>
        </w:tc>
        <w:tc>
          <w:tcPr>
            <w:tcW w:w="288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4.28</w:t>
            </w:r>
          </w:p>
        </w:tc>
        <w:tc>
          <w:tcPr>
            <w:tcW w:w="5980" w:type="dxa"/>
            <w:vAlign w:val="bottom"/>
            <w:gridSpan w:val="14"/>
          </w:tcPr>
          <w:p>
            <w:pPr>
              <w:spacing w:after="0"/>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Third Supplemental Indenture, dated as of February 14, 2023,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guarantors named therein and Delaware Trust Company.</w:t>
              </w:r>
            </w:hyperlink>
          </w:p>
        </w:tc>
        <w:tc>
          <w:tcPr>
            <w:tcW w:w="302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4.29</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Thirteenth Supplemental Indenture, dated as of August 4,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4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4.30</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Fifth Supplemental Indenture, dated as of August 4,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6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4.31</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Fourth Supplemental Indenture, dated as of August 4,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80" w:type="dxa"/>
            <w:vAlign w:val="bottom"/>
            <w:tcBorders>
              <w:top w:val="single" w:sz="8" w:color="0000FF"/>
            </w:tcBorders>
            <w:gridSpan w:val="7"/>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4.32</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Fourteenth Supplemental Indenture, dated as of November 13, 2023, among Clearway Energy Operating LLC,</w:t>
            </w:r>
          </w:p>
        </w:tc>
      </w:tr>
      <w:tr>
        <w:trPr>
          <w:trHeight w:val="107"/>
        </w:trPr>
        <w:tc>
          <w:tcPr>
            <w:tcW w:w="1000" w:type="dxa"/>
            <w:vAlign w:val="bottom"/>
          </w:tcPr>
          <w:p>
            <w:pPr>
              <w:spacing w:after="0"/>
              <w:rPr>
                <w:sz w:val="9"/>
                <w:szCs w:val="9"/>
                <w:color w:val="auto"/>
              </w:rPr>
            </w:pPr>
          </w:p>
        </w:tc>
        <w:tc>
          <w:tcPr>
            <w:tcW w:w="308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the guarantors named therein and Delaware Trust Company.</w:t>
            </w:r>
          </w:p>
        </w:tc>
        <w:tc>
          <w:tcPr>
            <w:tcW w:w="284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4.33</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Sixth Supplemental Indenture, dated as of November 13,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4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4.34</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Fifth Supplemental Indenture, dated as of November 13,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4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4.35</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Fifteenth Supplemental Indenture, dated as of May 30,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88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20" w:type="dxa"/>
            <w:vAlign w:val="bottom"/>
            <w:gridSpan w:val="6"/>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4.36</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Seventh Supplemental Indenture, dated as of May 30, 2024, among Clearway Energy Operating LLC, the</w:t>
            </w: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7"/>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4.37</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Sixth Supplemental Indenture, dated as of May 30,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00" w:type="dxa"/>
            <w:vAlign w:val="bottom"/>
            <w:tcBorders>
              <w:top w:val="single" w:sz="8" w:color="0000FF"/>
            </w:tcBorders>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120" w:type="dxa"/>
            <w:vAlign w:val="bottom"/>
            <w:gridSpan w:val="6"/>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4.38</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Sixteenth Supplemental Indenture, dated as of July 17,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00" w:type="dxa"/>
            <w:vAlign w:val="bottom"/>
            <w:tcBorders>
              <w:top w:val="single" w:sz="8" w:color="0000FF"/>
            </w:tcBorders>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120" w:type="dxa"/>
            <w:vAlign w:val="bottom"/>
            <w:gridSpan w:val="6"/>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4.39</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Eighth Supplemental Indenture, dated as of July 17,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6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4.40</w:t>
            </w:r>
          </w:p>
        </w:tc>
        <w:tc>
          <w:tcPr>
            <w:tcW w:w="59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Seventh Supplemental Indenture, dated as of July 17,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60" w:type="dxa"/>
            <w:vAlign w:val="bottom"/>
            <w:tcBorders>
              <w:top w:val="single" w:sz="8" w:color="0000FF"/>
            </w:tcBorders>
            <w:gridSpan w:val="6"/>
          </w:tcPr>
          <w:p>
            <w:pPr>
              <w:spacing w:after="0"/>
              <w:rPr>
                <w:sz w:val="9"/>
                <w:szCs w:val="9"/>
                <w:color w:val="auto"/>
              </w:rPr>
            </w:pPr>
          </w:p>
        </w:tc>
        <w:tc>
          <w:tcPr>
            <w:tcW w:w="120" w:type="dxa"/>
            <w:vAlign w:val="bottom"/>
            <w:gridSpan w:val="6"/>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4.4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21,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326"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Method of Filing</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4.41</w:t>
            </w:r>
          </w:p>
        </w:tc>
        <w:tc>
          <w:tcPr>
            <w:tcW w:w="5940" w:type="dxa"/>
            <w:vAlign w:val="bottom"/>
            <w:gridSpan w:val="12"/>
          </w:tcPr>
          <w:p>
            <w:pPr>
              <w:spacing w:after="0" w:line="143" w:lineRule="exact"/>
              <w:rPr>
                <w:sz w:val="20"/>
                <w:szCs w:val="20"/>
                <w:color w:val="auto"/>
              </w:rPr>
            </w:pPr>
            <w:r>
              <w:rPr>
                <w:rFonts w:ascii="Times New Roman" w:cs="Times New Roman" w:eastAsia="Times New Roman" w:hAnsi="Times New Roman"/>
                <w:sz w:val="13"/>
                <w:szCs w:val="13"/>
                <w:color w:val="0000FF"/>
              </w:rPr>
              <w:t>Seventeenth Supplemental Indenture, dated as of October 30, 2024, among Clearway Energy Operating LLC, the</w:t>
            </w:r>
          </w:p>
        </w:tc>
        <w:tc>
          <w:tcPr>
            <w:tcW w:w="4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4.42</w:t>
            </w:r>
          </w:p>
        </w:tc>
        <w:tc>
          <w:tcPr>
            <w:tcW w:w="5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Ninth Supplemental Indenture, dated as of October 30, 2024,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40" w:type="dxa"/>
            <w:vAlign w:val="bottom"/>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4.43</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Eighth Supplemental Indenture, dated as of October 30, 2024,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0"/>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4.44</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Eighteenth Supplemental Indenture, dated as of January 13,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4.45</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Tenth Supplemental Indenture, dated as of January 13,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4.46</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Ninth Supplemental Indenture, dated as of January 13,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0"/>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4.47</w:t>
            </w:r>
          </w:p>
        </w:tc>
        <w:tc>
          <w:tcPr>
            <w:tcW w:w="5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Nineteenth Supplemental Indenture, dated as of April 30,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40" w:type="dxa"/>
            <w:vAlign w:val="bottom"/>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4.48</w:t>
            </w:r>
          </w:p>
        </w:tc>
        <w:tc>
          <w:tcPr>
            <w:tcW w:w="5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Eleventh Supplemental Indenture, dated as of April 30,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40" w:type="dxa"/>
            <w:vAlign w:val="bottom"/>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4.49</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Tenth Supplemental Indenture, dated as of April 30,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4.50</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Twentieth Supplemental Indenture, dated as of October 17,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7"/>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4.51</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Twelfth Supplemental Indenture, dated as of October 17,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1"/>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4.52</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Eleventh Supplemental Indenture, dated as of October 17,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4.53</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Twenty-First Supplemental Indenture, dated as of December 22, 2025, among Clearway Energy Operating LLC,</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the guarantors named therein and CSC Delaware Trust Company (formerly known as Delaware Trust Company).</w:t>
            </w:r>
          </w:p>
        </w:tc>
        <w:tc>
          <w:tcPr>
            <w:tcW w:w="60" w:type="dxa"/>
            <w:vAlign w:val="bottom"/>
            <w:tcBorders>
              <w:top w:val="single" w:sz="8" w:color="0000FF"/>
            </w:tcBorders>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26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4.54</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Thirteenth Supplemental Indenture, dated as of December 22, 2025, among Clearway Energy Operating LLC,</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the guarantors named therein and CSC Delaware Trust Company (formerly known as Delaware Trust Company).</w:t>
            </w:r>
          </w:p>
        </w:tc>
        <w:tc>
          <w:tcPr>
            <w:tcW w:w="100" w:type="dxa"/>
            <w:vAlign w:val="bottom"/>
            <w:tcBorders>
              <w:top w:val="single" w:sz="8" w:color="0000FF"/>
            </w:tcBorders>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26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4.55</w:t>
            </w:r>
          </w:p>
        </w:tc>
        <w:tc>
          <w:tcPr>
            <w:tcW w:w="59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Twelfth Supplemental Indenture, dated as of December 22, 2025, among Clearway Energy Operating LLC, the</w:t>
            </w: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120" w:type="dxa"/>
            <w:vAlign w:val="bottom"/>
            <w:gridSpan w:val="6"/>
          </w:tcPr>
          <w:p>
            <w:pPr>
              <w:spacing w:after="0"/>
              <w:rPr>
                <w:sz w:val="9"/>
                <w:szCs w:val="9"/>
                <w:color w:val="auto"/>
              </w:rPr>
            </w:pPr>
          </w:p>
        </w:tc>
        <w:tc>
          <w:tcPr>
            <w:tcW w:w="426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4.56</w:t>
            </w:r>
          </w:p>
        </w:tc>
        <w:tc>
          <w:tcPr>
            <w:tcW w:w="5940" w:type="dxa"/>
            <w:vAlign w:val="bottom"/>
            <w:gridSpan w:val="12"/>
          </w:tcPr>
          <w:p>
            <w:pPr>
              <w:spacing w:after="0"/>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Indenture, dated January 13, 2026, among Clearway Energy Operating LLC, the guarantors named therein and</w:t>
              </w:r>
            </w:hyperlink>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w w:val="96"/>
              </w:rPr>
              <w:t>Incorporated herein by reference to Exhibit 4.1 to the Company’s Current Report on</w:t>
            </w:r>
          </w:p>
        </w:tc>
      </w:tr>
      <w:tr>
        <w:trPr>
          <w:trHeight w:val="107"/>
        </w:trPr>
        <w:tc>
          <w:tcPr>
            <w:tcW w:w="1000" w:type="dxa"/>
            <w:vAlign w:val="bottom"/>
          </w:tcPr>
          <w:p>
            <w:pPr>
              <w:spacing w:after="0"/>
              <w:rPr>
                <w:sz w:val="9"/>
                <w:szCs w:val="9"/>
                <w:color w:val="auto"/>
              </w:rPr>
            </w:pPr>
          </w:p>
        </w:tc>
        <w:tc>
          <w:tcPr>
            <w:tcW w:w="216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CSC Delaware Trust Company, as trustee.</w:t>
              </w:r>
            </w:hyperlink>
          </w:p>
        </w:tc>
        <w:tc>
          <w:tcPr>
            <w:tcW w:w="3720" w:type="dxa"/>
            <w:vAlign w:val="bottom"/>
            <w:tcBorders>
              <w:top w:val="single" w:sz="8" w:color="0000FF"/>
            </w:tcBorders>
            <w:gridSpan w:val="7"/>
          </w:tcPr>
          <w:p>
            <w:pPr>
              <w:spacing w:after="0"/>
              <w:rPr>
                <w:sz w:val="9"/>
                <w:szCs w:val="9"/>
                <w:color w:val="auto"/>
              </w:rPr>
            </w:pPr>
          </w:p>
        </w:tc>
        <w:tc>
          <w:tcPr>
            <w:tcW w:w="60" w:type="dxa"/>
            <w:vAlign w:val="bottom"/>
            <w:gridSpan w:val="3"/>
          </w:tcPr>
          <w:p>
            <w:pPr>
              <w:spacing w:after="0"/>
              <w:rPr>
                <w:sz w:val="9"/>
                <w:szCs w:val="9"/>
                <w:color w:val="auto"/>
              </w:rPr>
            </w:pPr>
          </w:p>
        </w:tc>
        <w:tc>
          <w:tcPr>
            <w:tcW w:w="42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Form 8-K filed on January 13, 2026.</w:t>
            </w: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4.57</w:t>
            </w:r>
          </w:p>
        </w:tc>
        <w:tc>
          <w:tcPr>
            <w:tcW w:w="5940" w:type="dxa"/>
            <w:vAlign w:val="bottom"/>
            <w:gridSpan w:val="12"/>
          </w:tcPr>
          <w:p>
            <w:pPr>
              <w:spacing w:after="0"/>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Form of 5.750% Senior Notes due 2034.</w:t>
              </w:r>
            </w:hyperlink>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w w:val="96"/>
              </w:rPr>
              <w:t>Incorporated herein by reference to Exhibit 4.2 to the Company’s Current Report on</w:t>
            </w:r>
          </w:p>
        </w:tc>
      </w:tr>
      <w:tr>
        <w:trPr>
          <w:trHeight w:val="145"/>
        </w:trPr>
        <w:tc>
          <w:tcPr>
            <w:tcW w:w="1000" w:type="dxa"/>
            <w:vAlign w:val="bottom"/>
          </w:tcPr>
          <w:p>
            <w:pPr>
              <w:spacing w:after="0"/>
              <w:rPr>
                <w:sz w:val="12"/>
                <w:szCs w:val="12"/>
                <w:color w:val="auto"/>
              </w:rPr>
            </w:pPr>
          </w:p>
        </w:tc>
        <w:tc>
          <w:tcPr>
            <w:tcW w:w="20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Form 8-K filed on January 13, 2026.</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80" w:type="dxa"/>
            <w:vAlign w:val="bottom"/>
            <w:gridSpan w:val="1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Method of Filing</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4.58</w:t>
            </w:r>
          </w:p>
        </w:tc>
        <w:tc>
          <w:tcPr>
            <w:tcW w:w="5880" w:type="dxa"/>
            <w:vAlign w:val="bottom"/>
            <w:gridSpan w:val="13"/>
          </w:tcPr>
          <w:p>
            <w:pPr>
              <w:spacing w:after="0" w:line="143" w:lineRule="exact"/>
              <w:rPr>
                <w:sz w:val="20"/>
                <w:szCs w:val="20"/>
                <w:color w:val="auto"/>
              </w:rPr>
            </w:pPr>
            <w:r>
              <w:rPr>
                <w:rFonts w:ascii="Times New Roman" w:cs="Times New Roman" w:eastAsia="Times New Roman" w:hAnsi="Times New Roman"/>
                <w:sz w:val="13"/>
                <w:szCs w:val="13"/>
                <w:color w:val="0000FF"/>
              </w:rPr>
              <w:t>Twenty-Second Supplemental Indenture, dated as of February 11, 2026, among Clearway Energy Operating</w:t>
            </w:r>
          </w:p>
        </w:tc>
        <w:tc>
          <w:tcPr>
            <w:tcW w:w="43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0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LLC, the guarantors named therein and CSC Delaware Trust Company (formerly known as Delaware Trust</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Company).</w:t>
            </w:r>
          </w:p>
        </w:tc>
        <w:tc>
          <w:tcPr>
            <w:tcW w:w="4900" w:type="dxa"/>
            <w:vAlign w:val="bottom"/>
            <w:tcBorders>
              <w:top w:val="single" w:sz="8" w:color="0000FF"/>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4.59</w:t>
            </w:r>
          </w:p>
        </w:tc>
        <w:tc>
          <w:tcPr>
            <w:tcW w:w="5880" w:type="dxa"/>
            <w:vAlign w:val="bottom"/>
            <w:gridSpan w:val="13"/>
          </w:tcPr>
          <w:p>
            <w:pPr>
              <w:spacing w:after="0"/>
              <w:rPr>
                <w:sz w:val="20"/>
                <w:szCs w:val="20"/>
                <w:color w:val="auto"/>
              </w:rPr>
            </w:pPr>
            <w:r>
              <w:rPr>
                <w:rFonts w:ascii="Times New Roman" w:cs="Times New Roman" w:eastAsia="Times New Roman" w:hAnsi="Times New Roman"/>
                <w:sz w:val="13"/>
                <w:szCs w:val="13"/>
                <w:color w:val="0000FF"/>
                <w:w w:val="99"/>
              </w:rPr>
              <w:t>Fourteenth Supplemental Indenture, dated as of February 11, 2026, among Clearway Energy Operating LLC, the</w:t>
            </w: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4.60</w:t>
            </w:r>
          </w:p>
        </w:tc>
        <w:tc>
          <w:tcPr>
            <w:tcW w:w="5880" w:type="dxa"/>
            <w:vAlign w:val="bottom"/>
            <w:gridSpan w:val="13"/>
          </w:tcPr>
          <w:p>
            <w:pPr>
              <w:spacing w:after="0"/>
              <w:rPr>
                <w:sz w:val="20"/>
                <w:szCs w:val="20"/>
                <w:color w:val="auto"/>
              </w:rPr>
            </w:pPr>
            <w:r>
              <w:rPr>
                <w:rFonts w:ascii="Times New Roman" w:cs="Times New Roman" w:eastAsia="Times New Roman" w:hAnsi="Times New Roman"/>
                <w:sz w:val="13"/>
                <w:szCs w:val="13"/>
                <w:color w:val="0000FF"/>
              </w:rPr>
              <w:t>Thirteenth Supplemental Indenture, dated as of February 11, 2026, among Clearway Energy Operating LLC, the</w:t>
            </w: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1"/>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0" w:type="dxa"/>
            <w:vAlign w:val="bottom"/>
            <w:gridSpan w:val="2"/>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4.61</w:t>
            </w:r>
          </w:p>
        </w:tc>
        <w:tc>
          <w:tcPr>
            <w:tcW w:w="5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rPr>
              <w:t>First Supplemental Indenture, dated as of February 11, 2026, among Clearway Energy Operating LLC, the</w:t>
            </w: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gridSpan w:val="1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4.62</w:t>
            </w:r>
          </w:p>
        </w:tc>
        <w:tc>
          <w:tcPr>
            <w:tcW w:w="55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Description of Securities.</w:t>
            </w:r>
          </w:p>
        </w:tc>
        <w:tc>
          <w:tcPr>
            <w:tcW w:w="300" w:type="dxa"/>
            <w:vAlign w:val="bottom"/>
            <w:gridSpan w:val="6"/>
          </w:tcPr>
          <w:p>
            <w:pPr>
              <w:spacing w:after="0"/>
              <w:rPr>
                <w:sz w:val="13"/>
                <w:szCs w:val="13"/>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w:t>
            </w: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5880" w:type="dxa"/>
            <w:vAlign w:val="bottom"/>
            <w:gridSpan w:val="13"/>
            <w:vMerge w:val="restart"/>
          </w:tcPr>
          <w:p>
            <w:pPr>
              <w:spacing w:after="0"/>
              <w:rPr>
                <w:rFonts w:ascii="Times New Roman" w:cs="Times New Roman" w:eastAsia="Times New Roman" w:hAnsi="Times New Roman"/>
                <w:sz w:val="13"/>
                <w:szCs w:val="13"/>
                <w:color w:val="0000FF"/>
              </w:rPr>
            </w:pPr>
            <w:hyperlink r:id="rId259">
              <w:r>
                <w:rPr>
                  <w:rFonts w:ascii="Times New Roman" w:cs="Times New Roman" w:eastAsia="Times New Roman" w:hAnsi="Times New Roman"/>
                  <w:sz w:val="13"/>
                  <w:szCs w:val="13"/>
                  <w:color w:val="0000FF"/>
                </w:rPr>
                <w:t>Zephyr Voting and Governance Agreement, dated as of August 31, 2018, by and between NRG Yield, Inc. and</w:t>
              </w:r>
            </w:hyperlink>
          </w:p>
        </w:tc>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9"/>
              </w:rPr>
              <w:t>Incorporated herein by reference to Exhibit 10.4 to the Company’s Current Report</w:t>
            </w:r>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80" w:type="dxa"/>
            <w:vAlign w:val="bottom"/>
            <w:gridSpan w:val="13"/>
            <w:vMerge w:val="continue"/>
          </w:tcPr>
          <w:p>
            <w:pPr>
              <w:spacing w:after="0"/>
              <w:rPr>
                <w:sz w:val="4"/>
                <w:szCs w:val="4"/>
                <w:color w:val="auto"/>
              </w:rPr>
            </w:pPr>
          </w:p>
        </w:tc>
        <w:tc>
          <w:tcPr>
            <w:tcW w:w="4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Zephyr Renewables LLC.</w:t>
              </w:r>
            </w:hyperlink>
          </w:p>
        </w:tc>
        <w:tc>
          <w:tcPr>
            <w:tcW w:w="60" w:type="dxa"/>
            <w:vAlign w:val="bottom"/>
            <w:gridSpan w:val="3"/>
          </w:tcPr>
          <w:p>
            <w:pPr>
              <w:spacing w:after="0"/>
              <w:rPr>
                <w:sz w:val="9"/>
                <w:szCs w:val="9"/>
                <w:color w:val="auto"/>
              </w:rPr>
            </w:pPr>
          </w:p>
        </w:tc>
        <w:tc>
          <w:tcPr>
            <w:tcW w:w="432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on Form 8-K filed on September 5, 2018.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5880" w:type="dxa"/>
            <w:vAlign w:val="bottom"/>
            <w:gridSpan w:val="13"/>
          </w:tcPr>
          <w:p>
            <w:pPr>
              <w:spacing w:after="0"/>
              <w:rPr>
                <w:rFonts w:ascii="Times New Roman" w:cs="Times New Roman" w:eastAsia="Times New Roman" w:hAnsi="Times New Roman"/>
                <w:sz w:val="13"/>
                <w:szCs w:val="13"/>
                <w:color w:val="0000FF"/>
              </w:rPr>
            </w:pPr>
            <w:hyperlink r:id="rId260">
              <w:r>
                <w:rPr>
                  <w:rFonts w:ascii="Times New Roman" w:cs="Times New Roman" w:eastAsia="Times New Roman" w:hAnsi="Times New Roman"/>
                  <w:sz w:val="13"/>
                  <w:szCs w:val="13"/>
                  <w:color w:val="0000FF"/>
                </w:rPr>
                <w:t>Form of Indemnification Agreement.</w:t>
              </w:r>
            </w:hyperlink>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Incorporated herein by reference to Exhibit 10.10 to the Company’s Annual Report</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on Form 10-K filed on February 28, 2019.</w:t>
            </w:r>
          </w:p>
        </w:tc>
        <w:tc>
          <w:tcPr>
            <w:tcW w:w="0" w:type="dxa"/>
            <w:vAlign w:val="bottom"/>
          </w:tcPr>
          <w:p>
            <w:pPr>
              <w:spacing w:after="0"/>
              <w:rPr>
                <w:sz w:val="1"/>
                <w:szCs w:val="1"/>
                <w:color w:val="auto"/>
              </w:rPr>
            </w:pPr>
          </w:p>
        </w:tc>
      </w:tr>
      <w:tr>
        <w:trPr>
          <w:trHeight w:val="138"/>
        </w:trPr>
        <w:tc>
          <w:tcPr>
            <w:tcW w:w="10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10.3.1</w:t>
            </w:r>
          </w:p>
        </w:tc>
        <w:tc>
          <w:tcPr>
            <w:tcW w:w="5880" w:type="dxa"/>
            <w:vAlign w:val="bottom"/>
            <w:gridSpan w:val="13"/>
          </w:tcPr>
          <w:p>
            <w:pPr>
              <w:spacing w:after="0" w:line="138" w:lineRule="exact"/>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Amended and Restated Credit Agreement, dated April 25, 2014, by and among NRG Yield Operating LLC,</w:t>
              </w:r>
            </w:hyperlink>
          </w:p>
        </w:tc>
        <w:tc>
          <w:tcPr>
            <w:tcW w:w="43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w w:val="99"/>
              </w:rPr>
              <w:t>Incorporated herein by reference to Exhibit 10.1 to the Company’s Current Report</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261">
              <w:r>
                <w:rPr>
                  <w:rFonts w:ascii="Times New Roman" w:cs="Times New Roman" w:eastAsia="Times New Roman" w:hAnsi="Times New Roman"/>
                  <w:sz w:val="11"/>
                  <w:szCs w:val="11"/>
                  <w:color w:val="0000FF"/>
                </w:rPr>
                <w:t>NRG Yield LLC, Royal Bank of Canada, as Administrative Agent, the lenders party thereto, Royal Bank of</w:t>
              </w:r>
            </w:hyperlink>
          </w:p>
        </w:tc>
        <w:tc>
          <w:tcPr>
            <w:tcW w:w="80" w:type="dxa"/>
            <w:vAlign w:val="bottom"/>
            <w:gridSpan w:val="4"/>
          </w:tcPr>
          <w:p>
            <w:pPr>
              <w:spacing w:after="0"/>
              <w:rPr>
                <w:sz w:val="9"/>
                <w:szCs w:val="9"/>
                <w:color w:val="auto"/>
              </w:rPr>
            </w:pPr>
          </w:p>
        </w:tc>
        <w:tc>
          <w:tcPr>
            <w:tcW w:w="432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on Form 8-K filed on April 28, 2014.</w:t>
            </w:r>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5780" w:type="dxa"/>
            <w:vAlign w:val="bottom"/>
            <w:tcBorders>
              <w:top w:val="single" w:sz="8" w:color="0000FF"/>
            </w:tcBorders>
            <w:gridSpan w:val="8"/>
          </w:tcPr>
          <w:p>
            <w:pPr>
              <w:spacing w:after="0" w:line="111" w:lineRule="exact"/>
              <w:rPr>
                <w:rFonts w:ascii="Times New Roman" w:cs="Times New Roman" w:eastAsia="Times New Roman" w:hAnsi="Times New Roman"/>
                <w:sz w:val="12"/>
                <w:szCs w:val="12"/>
                <w:u w:val="single" w:color="auto"/>
                <w:color w:val="0000FF"/>
              </w:rPr>
            </w:pPr>
            <w:hyperlink r:id="rId261">
              <w:r>
                <w:rPr>
                  <w:rFonts w:ascii="Times New Roman" w:cs="Times New Roman" w:eastAsia="Times New Roman" w:hAnsi="Times New Roman"/>
                  <w:sz w:val="12"/>
                  <w:szCs w:val="12"/>
                  <w:u w:val="single" w:color="auto"/>
                  <w:color w:val="0000FF"/>
                </w:rPr>
                <w:t>Canada, Goldman Sachs Bank USA and Bank of America, N.A., as L/C Issuers and RBC Capital Markets as</w:t>
              </w:r>
            </w:hyperlink>
          </w:p>
        </w:tc>
        <w:tc>
          <w:tcPr>
            <w:tcW w:w="100" w:type="dxa"/>
            <w:vAlign w:val="bottom"/>
            <w:gridSpan w:val="5"/>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spacing w:after="0"/>
        <w:rPr>
          <w:rFonts w:ascii="Times New Roman" w:cs="Times New Roman" w:eastAsia="Times New Roman" w:hAnsi="Times New Roman"/>
          <w:sz w:val="13"/>
          <w:szCs w:val="13"/>
          <w:u w:val="single" w:color="auto"/>
          <w:color w:val="0000FF"/>
        </w:rPr>
      </w:pPr>
      <w:hyperlink r:id="rId261">
        <w:r>
          <w:rPr>
            <w:rFonts w:ascii="Times New Roman" w:cs="Times New Roman" w:eastAsia="Times New Roman" w:hAnsi="Times New Roman"/>
            <w:sz w:val="13"/>
            <w:szCs w:val="13"/>
            <w:u w:val="single" w:color="auto"/>
            <w:color w:val="0000FF"/>
          </w:rPr>
          <w:t>Sole Left Lead Arranger and Sole Left Lead Book Runner.</w:t>
        </w:r>
      </w:hyperlink>
    </w:p>
    <w:p>
      <w:pPr>
        <w:sectPr>
          <w:pgSz w:w="11900" w:h="16838" w:orient="portrait"/>
          <w:cols w:equalWidth="0" w:num="1">
            <w:col w:w="11200"/>
          </w:cols>
          <w:pgMar w:left="340" w:top="763" w:right="359" w:bottom="1440" w:gutter="0" w:footer="0" w:header="0"/>
        </w:sectPr>
      </w:pPr>
    </w:p>
    <w:tbl>
      <w:tblPr>
        <w:tblLayout w:type="fixed"/>
        <w:tblInd w:w="0" w:type="dxa"/>
        <w:tblCellMar>
          <w:top w:w="0" w:type="dxa"/>
          <w:left w:w="0" w:type="dxa"/>
          <w:bottom w:w="0" w:type="dxa"/>
          <w:right w:w="0" w:type="dxa"/>
        </w:tblCellMar>
      </w:tblPr>
      <w:tr>
        <w:trPr>
          <w:trHeight w:val="144"/>
        </w:trPr>
        <w:tc>
          <w:tcPr>
            <w:tcW w:w="1000" w:type="dxa"/>
            <w:vAlign w:val="bottom"/>
          </w:tcPr>
          <w:p>
            <w:pPr>
              <w:jc w:val="right"/>
              <w:ind w:right="616"/>
              <w:spacing w:after="0" w:line="144" w:lineRule="exact"/>
              <w:rPr>
                <w:sz w:val="20"/>
                <w:szCs w:val="20"/>
                <w:color w:val="auto"/>
              </w:rPr>
            </w:pPr>
            <w:r>
              <w:rPr>
                <w:rFonts w:ascii="Times New Roman" w:cs="Times New Roman" w:eastAsia="Times New Roman" w:hAnsi="Times New Roman"/>
                <w:sz w:val="13"/>
                <w:szCs w:val="13"/>
                <w:color w:val="auto"/>
                <w:w w:val="92"/>
              </w:rPr>
              <w:t>10.3.2</w:t>
            </w:r>
          </w:p>
        </w:tc>
        <w:tc>
          <w:tcPr>
            <w:tcW w:w="5840" w:type="dxa"/>
            <w:vAlign w:val="bottom"/>
            <w:gridSpan w:val="6"/>
          </w:tcPr>
          <w:p>
            <w:pPr>
              <w:spacing w:after="0" w:line="144" w:lineRule="exact"/>
              <w:rPr>
                <w:rFonts w:ascii="Times New Roman" w:cs="Times New Roman" w:eastAsia="Times New Roman" w:hAnsi="Times New Roman"/>
                <w:sz w:val="13"/>
                <w:szCs w:val="13"/>
                <w:color w:val="0000FF"/>
              </w:rPr>
            </w:pPr>
            <w:hyperlink r:id="rId262">
              <w:r>
                <w:rPr>
                  <w:rFonts w:ascii="Times New Roman" w:cs="Times New Roman" w:eastAsia="Times New Roman" w:hAnsi="Times New Roman"/>
                  <w:sz w:val="13"/>
                  <w:szCs w:val="13"/>
                  <w:color w:val="0000FF"/>
                </w:rPr>
                <w:t>First Amendment to Amended &amp; Restated Credit Agreement, dated June 26, 2015, by and among NRG Yield</w:t>
              </w:r>
            </w:hyperlink>
          </w:p>
        </w:tc>
      </w:tr>
      <w:tr>
        <w:trPr>
          <w:trHeight w:val="107"/>
        </w:trPr>
        <w:tc>
          <w:tcPr>
            <w:tcW w:w="1000" w:type="dxa"/>
            <w:vAlign w:val="bottom"/>
          </w:tcPr>
          <w:p>
            <w:pPr>
              <w:spacing w:after="0"/>
              <w:rPr>
                <w:sz w:val="9"/>
                <w:szCs w:val="9"/>
                <w:color w:val="auto"/>
              </w:rPr>
            </w:pPr>
          </w:p>
        </w:tc>
        <w:tc>
          <w:tcPr>
            <w:tcW w:w="44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2">
              <w:r>
                <w:rPr>
                  <w:rFonts w:ascii="Times New Roman" w:cs="Times New Roman" w:eastAsia="Times New Roman" w:hAnsi="Times New Roman"/>
                  <w:sz w:val="12"/>
                  <w:szCs w:val="12"/>
                  <w:color w:val="0000FF"/>
                </w:rPr>
                <w:t>Operating LLC, NRG Yield LLC, Royal Bank of Canada and the Lenders party thereto.</w:t>
              </w:r>
            </w:hyperlink>
          </w:p>
        </w:tc>
        <w:tc>
          <w:tcPr>
            <w:tcW w:w="13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10.3.3</w:t>
            </w:r>
          </w:p>
        </w:tc>
        <w:tc>
          <w:tcPr>
            <w:tcW w:w="5840" w:type="dxa"/>
            <w:vAlign w:val="bottom"/>
            <w:gridSpan w:val="6"/>
          </w:tcPr>
          <w:p>
            <w:pPr>
              <w:spacing w:after="0"/>
              <w:rPr>
                <w:rFonts w:ascii="Times New Roman" w:cs="Times New Roman" w:eastAsia="Times New Roman" w:hAnsi="Times New Roman"/>
                <w:sz w:val="13"/>
                <w:szCs w:val="13"/>
                <w:color w:val="0000FF"/>
              </w:rPr>
            </w:pPr>
            <w:hyperlink r:id="rId263">
              <w:r>
                <w:rPr>
                  <w:rFonts w:ascii="Times New Roman" w:cs="Times New Roman" w:eastAsia="Times New Roman" w:hAnsi="Times New Roman"/>
                  <w:sz w:val="13"/>
                  <w:szCs w:val="13"/>
                  <w:color w:val="0000FF"/>
                </w:rPr>
                <w:t>Second Amendment to Amended &amp; Restated Credit Agreement, dated February 6, 2018, by and among NRG</w:t>
              </w:r>
            </w:hyperlink>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Yield Operating LLC, NRG Yield LLC, the guarantors party thereto, Royal Bank of Canada, as Administrative</w:t>
              </w:r>
            </w:hyperlink>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Agent, and the lenders party thereto.</w:t>
              </w:r>
            </w:hyperlink>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the Company’s Quarterly Report on Form 10-Q filed on August 4, 2015.</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February 12, 2018.</w:t>
      </w:r>
    </w:p>
    <w:p>
      <w:pPr>
        <w:spacing w:after="0" w:line="120" w:lineRule="exact"/>
        <w:rPr>
          <w:sz w:val="20"/>
          <w:szCs w:val="20"/>
          <w:color w:val="auto"/>
        </w:rPr>
      </w:pPr>
    </w:p>
    <w:p>
      <w:pPr>
        <w:sectPr>
          <w:pgSz w:w="11900" w:h="16838" w:orient="portrait"/>
          <w:cols w:equalWidth="0" w:num="2">
            <w:col w:w="6780" w:space="120"/>
            <w:col w:w="4300"/>
          </w:cols>
          <w:pgMar w:left="340" w:top="763"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10.3.4</w:t>
            </w:r>
          </w:p>
        </w:tc>
        <w:tc>
          <w:tcPr>
            <w:tcW w:w="5960" w:type="dxa"/>
            <w:vAlign w:val="bottom"/>
            <w:gridSpan w:val="13"/>
          </w:tcPr>
          <w:p>
            <w:pPr>
              <w:spacing w:after="0"/>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Third Amendment to Amended and Restated Credit Agreement and Administrative Agent Resignation and</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6"/>
              </w:rPr>
              <w:t>Incorporated herein by reference to Exhibit 10.1 to the Company’s Quarterly Report</w:t>
            </w: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Appointment Agreement, dated as of April 30, 2018, by and among NRG Yield Operating LLC, NRG Yield</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on Form 10-Q filed on May 3, 2018.</w:t>
            </w:r>
          </w:p>
        </w:tc>
      </w:tr>
      <w:tr>
        <w:trPr>
          <w:trHeight w:val="107"/>
        </w:trPr>
        <w:tc>
          <w:tcPr>
            <w:tcW w:w="1000" w:type="dxa"/>
            <w:vAlign w:val="bottom"/>
          </w:tcPr>
          <w:p>
            <w:pPr>
              <w:spacing w:after="0"/>
              <w:rPr>
                <w:sz w:val="9"/>
                <w:szCs w:val="9"/>
                <w:color w:val="auto"/>
              </w:rPr>
            </w:pPr>
          </w:p>
        </w:tc>
        <w:tc>
          <w:tcPr>
            <w:tcW w:w="5920" w:type="dxa"/>
            <w:vAlign w:val="bottom"/>
            <w:tcBorders>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LLC, the guarantors party thereto, Royal Bank of Canada, as Resigning Administrative Agent, JPMorgan Chase</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24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960" w:type="dxa"/>
            <w:vAlign w:val="bottom"/>
            <w:gridSpan w:val="13"/>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Bank, N.A., as Successor Administrative Agent, and the lenders party thereto.</w:t>
              </w:r>
            </w:hyperlink>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10.3.5</w:t>
            </w:r>
          </w:p>
        </w:tc>
        <w:tc>
          <w:tcPr>
            <w:tcW w:w="5960" w:type="dxa"/>
            <w:vAlign w:val="bottom"/>
            <w:gridSpan w:val="13"/>
          </w:tcPr>
          <w:p>
            <w:pPr>
              <w:spacing w:after="0"/>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Fourth Amendment to Amended and Restated Credit Agreement, dated as of November 30, 2018, by and among</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8"/>
              </w:rPr>
              <w:t>Incorporated herein by reference to Exhibit 10.1 to the Company’s Current Report</w:t>
            </w: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on Form 8-K filed on December 6, 2018.</w:t>
            </w:r>
          </w:p>
        </w:tc>
      </w:tr>
      <w:tr>
        <w:trPr>
          <w:trHeight w:val="107"/>
        </w:trPr>
        <w:tc>
          <w:tcPr>
            <w:tcW w:w="1000" w:type="dxa"/>
            <w:vAlign w:val="bottom"/>
          </w:tcPr>
          <w:p>
            <w:pPr>
              <w:spacing w:after="0"/>
              <w:rPr>
                <w:sz w:val="9"/>
                <w:szCs w:val="9"/>
                <w:color w:val="auto"/>
              </w:rPr>
            </w:pPr>
          </w:p>
        </w:tc>
        <w:tc>
          <w:tcPr>
            <w:tcW w:w="304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N.A., as administrative agent, and the lenders party thereto.</w:t>
              </w:r>
            </w:hyperlink>
          </w:p>
        </w:tc>
        <w:tc>
          <w:tcPr>
            <w:tcW w:w="2840" w:type="dxa"/>
            <w:vAlign w:val="bottom"/>
            <w:gridSpan w:val="8"/>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150"/>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10.3.6</w:t>
            </w:r>
          </w:p>
        </w:tc>
        <w:tc>
          <w:tcPr>
            <w:tcW w:w="5960" w:type="dxa"/>
            <w:vAlign w:val="bottom"/>
            <w:gridSpan w:val="13"/>
          </w:tcPr>
          <w:p>
            <w:pPr>
              <w:spacing w:after="0"/>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Fifth Amendment to Amended and Restated Credit Agreement, dated as of December 20, 2019, by and among</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8"/>
              </w:rPr>
              <w:t>Incorporated herein by reference to Exhibit 10.1 to the Company’s Current Report</w:t>
            </w: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on Form 8-K filed on December 23, 2019.</w:t>
            </w:r>
          </w:p>
        </w:tc>
      </w:tr>
      <w:tr>
        <w:trPr>
          <w:trHeight w:val="107"/>
        </w:trPr>
        <w:tc>
          <w:tcPr>
            <w:tcW w:w="1000" w:type="dxa"/>
            <w:vAlign w:val="bottom"/>
          </w:tcPr>
          <w:p>
            <w:pPr>
              <w:spacing w:after="0"/>
              <w:rPr>
                <w:sz w:val="9"/>
                <w:szCs w:val="9"/>
                <w:color w:val="auto"/>
              </w:rPr>
            </w:pPr>
          </w:p>
        </w:tc>
        <w:tc>
          <w:tcPr>
            <w:tcW w:w="30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N.A., as administrative agent, and the lenders party thereto.</w:t>
              </w:r>
            </w:hyperlink>
          </w:p>
        </w:tc>
        <w:tc>
          <w:tcPr>
            <w:tcW w:w="2840" w:type="dxa"/>
            <w:vAlign w:val="bottom"/>
            <w:tcBorders>
              <w:top w:val="single" w:sz="8" w:color="0000FF"/>
            </w:tcBorders>
            <w:gridSpan w:val="8"/>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150"/>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10.3.7</w:t>
            </w:r>
          </w:p>
        </w:tc>
        <w:tc>
          <w:tcPr>
            <w:tcW w:w="5960" w:type="dxa"/>
            <w:vAlign w:val="bottom"/>
            <w:gridSpan w:val="13"/>
          </w:tcPr>
          <w:p>
            <w:pPr>
              <w:spacing w:after="0"/>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Sixth Amendment to Amended and Restated Credit Agreement, effective as of November 30, 2021, by and</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8"/>
              </w:rPr>
              <w:t>Incorporated herein by reference to Exhibit 10.1 to the Company’s Current Report</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267">
              <w:r>
                <w:rPr>
                  <w:rFonts w:ascii="Times New Roman" w:cs="Times New Roman" w:eastAsia="Times New Roman" w:hAnsi="Times New Roman"/>
                  <w:sz w:val="11"/>
                  <w:szCs w:val="11"/>
                  <w:color w:val="0000FF"/>
                </w:rPr>
                <w:t>among Clearway Energy Operating LLC, Clearway Energy LLC, the guarantors party thereto, JPMorgan Chase</w:t>
              </w:r>
            </w:hyperlink>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gridSpan w:val="2"/>
          </w:tcPr>
          <w:p>
            <w:pPr>
              <w:spacing w:after="0"/>
              <w:rPr>
                <w:sz w:val="9"/>
                <w:szCs w:val="9"/>
                <w:color w:val="auto"/>
              </w:rPr>
            </w:pPr>
          </w:p>
        </w:tc>
        <w:tc>
          <w:tcPr>
            <w:tcW w:w="1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on Form 8-K filed on December 1, 2021.</w:t>
            </w:r>
          </w:p>
        </w:tc>
      </w:tr>
      <w:tr>
        <w:trPr>
          <w:trHeight w:val="107"/>
        </w:trPr>
        <w:tc>
          <w:tcPr>
            <w:tcW w:w="1000" w:type="dxa"/>
            <w:vAlign w:val="bottom"/>
          </w:tcPr>
          <w:p>
            <w:pPr>
              <w:spacing w:after="0"/>
              <w:rPr>
                <w:sz w:val="9"/>
                <w:szCs w:val="9"/>
                <w:color w:val="auto"/>
              </w:rPr>
            </w:pPr>
          </w:p>
        </w:tc>
        <w:tc>
          <w:tcPr>
            <w:tcW w:w="338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4240" w:type="dxa"/>
            <w:vAlign w:val="bottom"/>
          </w:tcPr>
          <w:p>
            <w:pPr>
              <w:spacing w:after="0"/>
              <w:rPr>
                <w:sz w:val="9"/>
                <w:szCs w:val="9"/>
                <w:color w:val="auto"/>
              </w:rPr>
            </w:pPr>
          </w:p>
        </w:tc>
      </w:tr>
      <w:tr>
        <w:trPr>
          <w:trHeight w:val="150"/>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10.3.8</w:t>
            </w:r>
          </w:p>
        </w:tc>
        <w:tc>
          <w:tcPr>
            <w:tcW w:w="5960" w:type="dxa"/>
            <w:vAlign w:val="bottom"/>
            <w:gridSpan w:val="13"/>
          </w:tcPr>
          <w:p>
            <w:pPr>
              <w:spacing w:after="0"/>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Seventh Amendment to Amended and Restated Credit Agreement, entered into as of August 15, 2022, by and</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8"/>
              </w:rPr>
              <w:t>Incorporated herein by reference to Exhibit 10.1 to the Company’s Current Report</w:t>
            </w: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268">
              <w:r>
                <w:rPr>
                  <w:rFonts w:ascii="Times New Roman" w:cs="Times New Roman" w:eastAsia="Times New Roman" w:hAnsi="Times New Roman"/>
                  <w:sz w:val="11"/>
                  <w:szCs w:val="11"/>
                  <w:color w:val="0000FF"/>
                </w:rPr>
                <w:t>among Clearway Energy Operating LLC, Clearway Energy LLC, the guarantors party thereto, JPMorgan Chase</w:t>
              </w:r>
            </w:hyperlink>
          </w:p>
        </w:tc>
        <w:tc>
          <w:tcPr>
            <w:tcW w:w="120" w:type="dxa"/>
            <w:vAlign w:val="bottom"/>
            <w:gridSpan w:val="6"/>
          </w:tcPr>
          <w:p>
            <w:pPr>
              <w:spacing w:after="0"/>
              <w:rPr>
                <w:sz w:val="9"/>
                <w:szCs w:val="9"/>
                <w:color w:val="auto"/>
              </w:rPr>
            </w:pPr>
          </w:p>
        </w:tc>
        <w:tc>
          <w:tcPr>
            <w:tcW w:w="42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on Form 8-K filed on August 19, 2022.</w:t>
            </w: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8">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8"/>
          </w:tcPr>
          <w:p>
            <w:pPr>
              <w:spacing w:after="0"/>
              <w:rPr>
                <w:sz w:val="9"/>
                <w:szCs w:val="9"/>
                <w:color w:val="auto"/>
              </w:rPr>
            </w:pPr>
          </w:p>
        </w:tc>
        <w:tc>
          <w:tcPr>
            <w:tcW w:w="4240" w:type="dxa"/>
            <w:vAlign w:val="bottom"/>
          </w:tcPr>
          <w:p>
            <w:pPr>
              <w:spacing w:after="0"/>
              <w:rPr>
                <w:sz w:val="9"/>
                <w:szCs w:val="9"/>
                <w:color w:val="auto"/>
              </w:rPr>
            </w:pPr>
          </w:p>
        </w:tc>
      </w:tr>
      <w:tr>
        <w:trPr>
          <w:trHeight w:val="150"/>
        </w:trPr>
        <w:tc>
          <w:tcPr>
            <w:tcW w:w="100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2"/>
              </w:rPr>
              <w:t>10.3.9</w:t>
            </w:r>
          </w:p>
        </w:tc>
        <w:tc>
          <w:tcPr>
            <w:tcW w:w="5960" w:type="dxa"/>
            <w:vAlign w:val="bottom"/>
            <w:gridSpan w:val="13"/>
          </w:tcPr>
          <w:p>
            <w:pPr>
              <w:spacing w:after="0"/>
              <w:rPr>
                <w:rFonts w:ascii="Times New Roman" w:cs="Times New Roman" w:eastAsia="Times New Roman" w:hAnsi="Times New Roman"/>
                <w:sz w:val="13"/>
                <w:szCs w:val="13"/>
                <w:color w:val="0000FF"/>
              </w:rPr>
            </w:pPr>
            <w:hyperlink r:id="rId269">
              <w:r>
                <w:rPr>
                  <w:rFonts w:ascii="Times New Roman" w:cs="Times New Roman" w:eastAsia="Times New Roman" w:hAnsi="Times New Roman"/>
                  <w:sz w:val="13"/>
                  <w:szCs w:val="13"/>
                  <w:color w:val="0000FF"/>
                </w:rPr>
                <w:t>Eighth Amendment to Amended and Restated Credit Agreement, entered into as of March 15, 2023, by and</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8"/>
              </w:rPr>
              <w:t>Incorporated herein by reference to Exhibit 10.1 to the Company’s Current Report</w:t>
            </w: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160" w:type="dxa"/>
            <w:vAlign w:val="bottom"/>
            <w:gridSpan w:val="8"/>
          </w:tcPr>
          <w:p>
            <w:pPr>
              <w:spacing w:after="0"/>
              <w:rPr>
                <w:sz w:val="9"/>
                <w:szCs w:val="9"/>
                <w:color w:val="auto"/>
              </w:rPr>
            </w:pPr>
          </w:p>
        </w:tc>
        <w:tc>
          <w:tcPr>
            <w:tcW w:w="4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on Form 8-K filed on March 20, 2023.</w:t>
            </w: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4240" w:type="dxa"/>
            <w:vAlign w:val="bottom"/>
          </w:tcPr>
          <w:p>
            <w:pPr>
              <w:spacing w:after="0"/>
              <w:rPr>
                <w:sz w:val="9"/>
                <w:szCs w:val="9"/>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20" w:type="dxa"/>
            <w:vAlign w:val="bottom"/>
            <w:gridSpan w:val="3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400" w:type="dxa"/>
            <w:vAlign w:val="bottom"/>
            <w:gridSpan w:val="18"/>
            <w:vMerge w:val="restart"/>
          </w:tcPr>
          <w:p>
            <w:pPr>
              <w:spacing w:after="0"/>
              <w:rPr>
                <w:rFonts w:ascii="Times New Roman" w:cs="Times New Roman" w:eastAsia="Times New Roman" w:hAnsi="Times New Roman"/>
                <w:sz w:val="13"/>
                <w:szCs w:val="13"/>
                <w:color w:val="0000FF"/>
                <w:w w:val="97"/>
              </w:rPr>
            </w:pPr>
            <w:hyperlink r:id="rId271">
              <w:r>
                <w:rPr>
                  <w:rFonts w:ascii="Times New Roman" w:cs="Times New Roman" w:eastAsia="Times New Roman" w:hAnsi="Times New Roman"/>
                  <w:sz w:val="13"/>
                  <w:szCs w:val="13"/>
                  <w:color w:val="0000FF"/>
                  <w:w w:val="97"/>
                </w:rPr>
                <w:t>Form of Clearway Energy, Inc. 2013 Equity Incentive Plan Restricted Stock Unit Agreement for Officers.</w:t>
              </w:r>
            </w:hyperlink>
          </w:p>
        </w:tc>
        <w:tc>
          <w:tcPr>
            <w:tcW w:w="620" w:type="dxa"/>
            <w:vAlign w:val="bottom"/>
            <w:gridSpan w:val="1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400" w:type="dxa"/>
            <w:vAlign w:val="bottom"/>
            <w:tcBorders>
              <w:bottom w:val="single" w:sz="8" w:color="0000FF"/>
            </w:tcBorders>
            <w:gridSpan w:val="18"/>
            <w:vMerge w:val="continue"/>
          </w:tcPr>
          <w:p>
            <w:pPr>
              <w:spacing w:after="0"/>
              <w:rPr>
                <w:sz w:val="4"/>
                <w:szCs w:val="4"/>
                <w:color w:val="auto"/>
              </w:rPr>
            </w:pPr>
          </w:p>
        </w:tc>
        <w:tc>
          <w:tcPr>
            <w:tcW w:w="62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6020" w:type="dxa"/>
            <w:vAlign w:val="bottom"/>
            <w:gridSpan w:val="32"/>
            <w:vMerge w:val="restart"/>
          </w:tcPr>
          <w:p>
            <w:pPr>
              <w:spacing w:after="0"/>
              <w:rPr>
                <w:rFonts w:ascii="Times New Roman" w:cs="Times New Roman" w:eastAsia="Times New Roman" w:hAnsi="Times New Roman"/>
                <w:sz w:val="13"/>
                <w:szCs w:val="13"/>
                <w:color w:val="0000FF"/>
              </w:rPr>
            </w:pPr>
            <w:hyperlink r:id="rId272">
              <w:r>
                <w:rPr>
                  <w:rFonts w:ascii="Times New Roman" w:cs="Times New Roman" w:eastAsia="Times New Roman" w:hAnsi="Times New Roman"/>
                  <w:sz w:val="13"/>
                  <w:szCs w:val="13"/>
                  <w:color w:val="0000FF"/>
                </w:rPr>
                <w:t>Form of Clearway Energy, Inc. 2013 Equity Incentive Plan Restricted Stock Unit Agreement for Non-officers.</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5360" w:type="dxa"/>
            <w:vAlign w:val="bottom"/>
            <w:tcBorders>
              <w:top w:val="single" w:sz="8" w:color="0000FF"/>
            </w:tcBorders>
            <w:gridSpan w:val="17"/>
            <w:vMerge w:val="restart"/>
          </w:tcPr>
          <w:p>
            <w:pPr>
              <w:spacing w:after="0"/>
              <w:rPr>
                <w:rFonts w:ascii="Times New Roman" w:cs="Times New Roman" w:eastAsia="Times New Roman" w:hAnsi="Times New Roman"/>
                <w:sz w:val="13"/>
                <w:szCs w:val="13"/>
                <w:color w:val="0000FF"/>
                <w:w w:val="97"/>
              </w:rPr>
            </w:pPr>
            <w:hyperlink r:id="rId273">
              <w:r>
                <w:rPr>
                  <w:rFonts w:ascii="Times New Roman" w:cs="Times New Roman" w:eastAsia="Times New Roman" w:hAnsi="Times New Roman"/>
                  <w:sz w:val="13"/>
                  <w:szCs w:val="13"/>
                  <w:color w:val="0000FF"/>
                  <w:w w:val="97"/>
                </w:rPr>
                <w:t>Form of Clearway Energy, Inc. 2013 Equity Incentive Plan Relative Performance Stock Unit Agreement.</w:t>
              </w:r>
            </w:hyperlink>
          </w:p>
        </w:tc>
        <w:tc>
          <w:tcPr>
            <w:tcW w:w="260" w:type="dxa"/>
            <w:vAlign w:val="bottom"/>
            <w:tcBorders>
              <w:top w:val="single" w:sz="8" w:color="0000FF"/>
            </w:tcBorders>
            <w:gridSpan w:val="2"/>
            <w:vMerge w:val="restart"/>
          </w:tcPr>
          <w:p>
            <w:pPr>
              <w:spacing w:after="0"/>
              <w:rPr>
                <w:sz w:val="20"/>
                <w:szCs w:val="20"/>
                <w:color w:val="auto"/>
              </w:rPr>
            </w:pPr>
          </w:p>
        </w:tc>
        <w:tc>
          <w:tcPr>
            <w:tcW w:w="400" w:type="dxa"/>
            <w:vAlign w:val="bottom"/>
            <w:gridSpan w:val="1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360" w:type="dxa"/>
            <w:vAlign w:val="bottom"/>
            <w:tcBorders>
              <w:bottom w:val="single" w:sz="8" w:color="0000FF"/>
            </w:tcBorders>
            <w:gridSpan w:val="17"/>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40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6020" w:type="dxa"/>
            <w:vAlign w:val="bottom"/>
            <w:gridSpan w:val="32"/>
            <w:vMerge w:val="restart"/>
          </w:tcPr>
          <w:p>
            <w:pPr>
              <w:spacing w:after="0"/>
              <w:rPr>
                <w:rFonts w:ascii="Times New Roman" w:cs="Times New Roman" w:eastAsia="Times New Roman" w:hAnsi="Times New Roman"/>
                <w:sz w:val="13"/>
                <w:szCs w:val="13"/>
                <w:color w:val="0000FF"/>
              </w:rPr>
            </w:pPr>
            <w:hyperlink r:id="rId274">
              <w:r>
                <w:rPr>
                  <w:rFonts w:ascii="Times New Roman" w:cs="Times New Roman" w:eastAsia="Times New Roman" w:hAnsi="Times New Roman"/>
                  <w:sz w:val="13"/>
                  <w:szCs w:val="13"/>
                  <w:color w:val="0000FF"/>
                </w:rPr>
                <w:t>Consent and Indemnity Agreement, dated as of February 6, 2018, by and among NRG Energy, Inc.,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00" w:type="dxa"/>
            <w:vAlign w:val="bottom"/>
            <w:tcBorders>
              <w:top w:val="single" w:sz="8" w:color="0000FF"/>
            </w:tcBorders>
            <w:gridSpan w:val="31"/>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Repowering Holdings LLC, NRG Yield, Inc., and GIP III Zephyr Acquisition Partners, L.P., and NRG Yield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Operating LLC (solely with respect to Sections E.5, E.6 and G.12).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75">
              <w:r>
                <w:rPr>
                  <w:rFonts w:ascii="Times New Roman" w:cs="Times New Roman" w:eastAsia="Times New Roman" w:hAnsi="Times New Roman"/>
                  <w:sz w:val="13"/>
                  <w:szCs w:val="13"/>
                  <w:color w:val="0000FF"/>
                </w:rPr>
                <w:t>Amended and Restated Registration Rights Agreement, dated as of May 14, 2015, by and between NRG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Inc. and NRG Yield, Inc. and, pursuant to a joinder thereto, dated as of August 31, 2018, Zephyr Renewables</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gridSpan w:val="30"/>
          </w:tcPr>
          <w:p>
            <w:pPr>
              <w:spacing w:after="0" w:line="107"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76">
              <w:r>
                <w:rPr>
                  <w:rFonts w:ascii="Times New Roman" w:cs="Times New Roman" w:eastAsia="Times New Roman" w:hAnsi="Times New Roman"/>
                  <w:sz w:val="13"/>
                  <w:szCs w:val="13"/>
                  <w:color w:val="0000FF"/>
                </w:rPr>
                <w:t>Purchase and Sale Agreement, dated as of August 20, 2021, by and between Dominion Solar Projects III,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7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and Utah Solar Holdings II LLC.</w:t>
              </w:r>
            </w:hyperlink>
          </w:p>
        </w:tc>
        <w:tc>
          <w:tcPr>
            <w:tcW w:w="410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77">
              <w:r>
                <w:rPr>
                  <w:rFonts w:ascii="Times New Roman" w:cs="Times New Roman" w:eastAsia="Times New Roman" w:hAnsi="Times New Roman"/>
                  <w:sz w:val="13"/>
                  <w:szCs w:val="13"/>
                  <w:color w:val="0000FF"/>
                </w:rPr>
                <w:t>Membership Interest Purchase Agreement, dated as of October 22, 2021,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26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Operating LLC and KKR Thor Bidco, LLC.</w:t>
              </w:r>
            </w:hyperlink>
          </w:p>
        </w:tc>
        <w:tc>
          <w:tcPr>
            <w:tcW w:w="356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78">
              <w:r>
                <w:rPr>
                  <w:rFonts w:ascii="Times New Roman" w:cs="Times New Roman" w:eastAsia="Times New Roman" w:hAnsi="Times New Roman"/>
                  <w:sz w:val="13"/>
                  <w:szCs w:val="13"/>
                  <w:color w:val="0000FF"/>
                </w:rPr>
                <w:t>Senior Secured Bridge Credit Agreement, dated as of November 30, 2021, by and among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Operating LLC, Clearway Energy LLC, the guarantors party thereto, Bank of America, N.A.,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79">
              <w:r>
                <w:rPr>
                  <w:rFonts w:ascii="Times New Roman" w:cs="Times New Roman" w:eastAsia="Times New Roman" w:hAnsi="Times New Roman"/>
                  <w:sz w:val="13"/>
                  <w:szCs w:val="13"/>
                  <w:color w:val="0000FF"/>
                </w:rPr>
                <w:t>First Amendment to Membership Interest Purchase Agreement, dated as of December 17, 2021,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Lighthouse Renewable Class A LLC, Clearway Renew LLC and Clearway Energy Operating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0">
              <w:r>
                <w:rPr>
                  <w:rFonts w:ascii="Times New Roman" w:cs="Times New Roman" w:eastAsia="Times New Roman" w:hAnsi="Times New Roman"/>
                  <w:sz w:val="13"/>
                  <w:szCs w:val="13"/>
                  <w:color w:val="0000FF"/>
                </w:rPr>
                <w:t>First Amendment to Membership Interest Purchase Agreement, dated as of December 29, 2021,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Lighthouse Renewable Class A LLC and Clearway Renew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424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w w:val="97"/>
              </w:rPr>
            </w:pPr>
            <w:hyperlink r:id="rId281">
              <w:r>
                <w:rPr>
                  <w:rFonts w:ascii="Times New Roman" w:cs="Times New Roman" w:eastAsia="Times New Roman" w:hAnsi="Times New Roman"/>
                  <w:sz w:val="13"/>
                  <w:szCs w:val="13"/>
                  <w:color w:val="0000FF"/>
                  <w:w w:val="97"/>
                </w:rPr>
                <w:t>Clearway Energy, Inc. Involuntary Severance Plan, effective as of January 1, 2022.</w:t>
              </w:r>
            </w:hyperlink>
          </w:p>
        </w:tc>
        <w:tc>
          <w:tcPr>
            <w:tcW w:w="17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6020" w:type="dxa"/>
            <w:vAlign w:val="bottom"/>
            <w:tcBorders>
              <w:bottom w:val="single" w:sz="8" w:color="0000FF"/>
            </w:tcBorders>
            <w:gridSpan w:val="32"/>
          </w:tcPr>
          <w:p>
            <w:pPr>
              <w:spacing w:after="0"/>
              <w:rPr>
                <w:rFonts w:ascii="Times New Roman" w:cs="Times New Roman" w:eastAsia="Times New Roman" w:hAnsi="Times New Roman"/>
                <w:sz w:val="13"/>
                <w:szCs w:val="13"/>
                <w:color w:val="0000FF"/>
              </w:rPr>
            </w:pPr>
            <w:hyperlink r:id="rId282">
              <w:r>
                <w:rPr>
                  <w:rFonts w:ascii="Times New Roman" w:cs="Times New Roman" w:eastAsia="Times New Roman" w:hAnsi="Times New Roman"/>
                  <w:sz w:val="13"/>
                  <w:szCs w:val="13"/>
                  <w:color w:val="0000FF"/>
                </w:rPr>
                <w:t>Clearway Energy, Inc. Key Management Change-in-Control and General Severance Plan, effective as of January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20" w:type="dxa"/>
            <w:vAlign w:val="bottom"/>
            <w:tcBorders>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82">
              <w:r>
                <w:rPr>
                  <w:rFonts w:ascii="Times New Roman" w:cs="Times New Roman" w:eastAsia="Times New Roman" w:hAnsi="Times New Roman"/>
                  <w:sz w:val="12"/>
                  <w:szCs w:val="12"/>
                  <w:color w:val="0000FF"/>
                </w:rPr>
                <w:t>1, 2022.</w:t>
              </w:r>
            </w:hyperlink>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3">
              <w:r>
                <w:rPr>
                  <w:rFonts w:ascii="Times New Roman" w:cs="Times New Roman" w:eastAsia="Times New Roman" w:hAnsi="Times New Roman"/>
                  <w:sz w:val="13"/>
                  <w:szCs w:val="13"/>
                  <w:color w:val="0000FF"/>
                </w:rPr>
                <w:t>Clearway Energy, Inc. Executive Change-in-Control and General Severance Plan, effective as of January 1,</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83">
              <w:r>
                <w:rPr>
                  <w:rFonts w:ascii="Times New Roman" w:cs="Times New Roman" w:eastAsia="Times New Roman" w:hAnsi="Times New Roman"/>
                  <w:sz w:val="12"/>
                  <w:szCs w:val="12"/>
                  <w:color w:val="0000FF"/>
                </w:rPr>
                <w:t>2022.</w:t>
              </w:r>
            </w:hyperlink>
          </w:p>
        </w:tc>
        <w:tc>
          <w:tcPr>
            <w:tcW w:w="12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7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4">
              <w:r>
                <w:rPr>
                  <w:rFonts w:ascii="Times New Roman" w:cs="Times New Roman" w:eastAsia="Times New Roman" w:hAnsi="Times New Roman"/>
                  <w:sz w:val="13"/>
                  <w:szCs w:val="13"/>
                  <w:color w:val="0000FF"/>
                </w:rPr>
                <w:t>Membership Interest Purchase Agreement, dated as of December 23, 2022, by and between VP-Arica CE Seller</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06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84">
              <w:r>
                <w:rPr>
                  <w:rFonts w:ascii="Times New Roman" w:cs="Times New Roman" w:eastAsia="Times New Roman" w:hAnsi="Times New Roman"/>
                  <w:sz w:val="12"/>
                  <w:szCs w:val="12"/>
                  <w:color w:val="0000FF"/>
                </w:rPr>
                <w:t>LLC and VP-Arica Parent Holdco LLC.</w:t>
              </w:r>
            </w:hyperlink>
          </w:p>
        </w:tc>
        <w:tc>
          <w:tcPr>
            <w:tcW w:w="3880" w:type="dxa"/>
            <w:vAlign w:val="bottom"/>
            <w:tcBorders>
              <w:top w:val="single" w:sz="8" w:color="0000FF"/>
            </w:tcBorders>
            <w:gridSpan w:val="19"/>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5">
              <w:r>
                <w:rPr>
                  <w:rFonts w:ascii="Times New Roman" w:cs="Times New Roman" w:eastAsia="Times New Roman" w:hAnsi="Times New Roman"/>
                  <w:sz w:val="13"/>
                  <w:szCs w:val="13"/>
                  <w:color w:val="0000FF"/>
                </w:rPr>
                <w:t>Membership Interest Purchase Agreement, dated as of May 19, 2023, by and between Renew Development</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60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85">
              <w:r>
                <w:rPr>
                  <w:rFonts w:ascii="Times New Roman" w:cs="Times New Roman" w:eastAsia="Times New Roman" w:hAnsi="Times New Roman"/>
                  <w:sz w:val="12"/>
                  <w:szCs w:val="12"/>
                  <w:color w:val="0000FF"/>
                </w:rPr>
                <w:t>HoldCo LLC and Cedar Creek Wind Holdco LLC.</w:t>
              </w:r>
            </w:hyperlink>
          </w:p>
        </w:tc>
        <w:tc>
          <w:tcPr>
            <w:tcW w:w="3180" w:type="dxa"/>
            <w:vAlign w:val="bottom"/>
            <w:tcBorders>
              <w:top w:val="single" w:sz="8" w:color="0000FF"/>
            </w:tcBorders>
            <w:gridSpan w:val="9"/>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6">
              <w:r>
                <w:rPr>
                  <w:rFonts w:ascii="Times New Roman" w:cs="Times New Roman" w:eastAsia="Times New Roman" w:hAnsi="Times New Roman"/>
                  <w:sz w:val="13"/>
                  <w:szCs w:val="13"/>
                  <w:color w:val="0000FF"/>
                </w:rPr>
                <w:t>Clearway Energy, Inc. Amended and Restated 2013 Equity Incentive Plan, as amended and restated effective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86">
              <w:r>
                <w:rPr>
                  <w:rFonts w:ascii="Times New Roman" w:cs="Times New Roman" w:eastAsia="Times New Roman" w:hAnsi="Times New Roman"/>
                  <w:sz w:val="12"/>
                  <w:szCs w:val="12"/>
                  <w:color w:val="0000FF"/>
                </w:rPr>
                <w:t>January 1, 2024.</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10.20†</w:t>
            </w: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6020" w:type="dxa"/>
            <w:vAlign w:val="bottom"/>
            <w:gridSpan w:val="32"/>
            <w:vMerge w:val="restart"/>
          </w:tcPr>
          <w:p>
            <w:pPr>
              <w:spacing w:after="0"/>
              <w:rPr>
                <w:rFonts w:ascii="Times New Roman" w:cs="Times New Roman" w:eastAsia="Times New Roman" w:hAnsi="Times New Roman"/>
                <w:sz w:val="13"/>
                <w:szCs w:val="13"/>
                <w:color w:val="0000FF"/>
              </w:rPr>
            </w:pPr>
            <w:hyperlink r:id="rId287">
              <w:r>
                <w:rPr>
                  <w:rFonts w:ascii="Times New Roman" w:cs="Times New Roman" w:eastAsia="Times New Roman" w:hAnsi="Times New Roman"/>
                  <w:sz w:val="13"/>
                  <w:szCs w:val="13"/>
                  <w:color w:val="0000FF"/>
                </w:rPr>
                <w:t>Clearway Energy, Inc. Annual Incentive Plan, as amended and restated effective January 1, 2024.</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60" w:type="dxa"/>
            <w:vAlign w:val="bottom"/>
            <w:gridSpan w:val="9"/>
            <w:shd w:val="clear" w:color="auto" w:fill="0000FF"/>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8">
              <w:r>
                <w:rPr>
                  <w:rFonts w:ascii="Times New Roman" w:cs="Times New Roman" w:eastAsia="Times New Roman" w:hAnsi="Times New Roman"/>
                  <w:sz w:val="13"/>
                  <w:szCs w:val="13"/>
                  <w:color w:val="0000FF"/>
                </w:rPr>
                <w:t>Separation Agreement and General Release, dated as of April 30, 2024, by and between Clearway Energy,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1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88">
              <w:r>
                <w:rPr>
                  <w:rFonts w:ascii="Times New Roman" w:cs="Times New Roman" w:eastAsia="Times New Roman" w:hAnsi="Times New Roman"/>
                  <w:sz w:val="12"/>
                  <w:szCs w:val="12"/>
                  <w:color w:val="0000FF"/>
                </w:rPr>
                <w:t>and Christopher Sotos.</w:t>
              </w:r>
            </w:hyperlink>
          </w:p>
        </w:tc>
        <w:tc>
          <w:tcPr>
            <w:tcW w:w="4680" w:type="dxa"/>
            <w:vAlign w:val="bottom"/>
            <w:tcBorders>
              <w:top w:val="single" w:sz="8" w:color="0000FF"/>
            </w:tcBorders>
            <w:gridSpan w:val="19"/>
          </w:tcPr>
          <w:p>
            <w:pPr>
              <w:spacing w:after="0"/>
              <w:rPr>
                <w:sz w:val="9"/>
                <w:szCs w:val="9"/>
                <w:color w:val="auto"/>
              </w:rPr>
            </w:pPr>
          </w:p>
        </w:tc>
        <w:tc>
          <w:tcPr>
            <w:tcW w:w="16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6020" w:type="dxa"/>
            <w:vAlign w:val="bottom"/>
            <w:gridSpan w:val="32"/>
          </w:tcPr>
          <w:p>
            <w:pPr>
              <w:spacing w:after="0"/>
              <w:rPr>
                <w:rFonts w:ascii="Times New Roman" w:cs="Times New Roman" w:eastAsia="Times New Roman" w:hAnsi="Times New Roman"/>
                <w:sz w:val="13"/>
                <w:szCs w:val="13"/>
                <w:color w:val="0000FF"/>
              </w:rPr>
            </w:pPr>
            <w:hyperlink r:id="rId289">
              <w:r>
                <w:rPr>
                  <w:rFonts w:ascii="Times New Roman" w:cs="Times New Roman" w:eastAsia="Times New Roman" w:hAnsi="Times New Roman"/>
                  <w:sz w:val="13"/>
                  <w:szCs w:val="13"/>
                  <w:color w:val="0000FF"/>
                </w:rPr>
                <w:t>Amended and Restated Employment Agreement, dated as of April 30, 2024,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Group LLC, Clearway Energy, Inc., GIP III Zephyr Management Partners, L.P., GIP III Zephyr Midco Holdings,</w:t>
              </w:r>
            </w:hyperlink>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3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L.P. and Craig Cornelius.</w:t>
              </w:r>
            </w:hyperlink>
          </w:p>
        </w:tc>
        <w:tc>
          <w:tcPr>
            <w:tcW w:w="4680" w:type="dxa"/>
            <w:vAlign w:val="bottom"/>
            <w:tcBorders>
              <w:top w:val="single" w:sz="8" w:color="0000FF"/>
            </w:tcBorders>
            <w:gridSpan w:val="2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10.22 to the Company’s Annual Report on Form 10-K filed on February 28, 2019.</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10.23 to the Company’s Annual Report on Form 10-K filed on February 28, 2019.</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10.24 to the Company’s Annual Report on Form 10-K filed on February 28, 2019.</w:t>
      </w:r>
    </w:p>
    <w:p>
      <w:pPr>
        <w:spacing w:after="0" w:line="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10.34 to the Company’s Annual Report on Form 10-K, filed on March 1, 2018.</w:t>
      </w:r>
    </w:p>
    <w:p>
      <w:pPr>
        <w:spacing w:after="0" w:line="19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May 15, 2015.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August 23,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October 26,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December 1, 2021.</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10.5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29,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May 24,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10.33 to the Company’s Annual Report on Form 10-K filed on February 22,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10.34 to the Company’s Annual Report on Form 10-K filed on February 22, 2024.</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30, 2024.</w:t>
      </w:r>
    </w:p>
    <w:p>
      <w:pPr>
        <w:spacing w:after="0" w:line="31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10.23</w:t>
            </w:r>
          </w:p>
        </w:tc>
        <w:tc>
          <w:tcPr>
            <w:tcW w:w="5820" w:type="dxa"/>
            <w:vAlign w:val="bottom"/>
            <w:gridSpan w:val="5"/>
          </w:tcPr>
          <w:p>
            <w:pPr>
              <w:spacing w:after="0" w:line="143" w:lineRule="exact"/>
              <w:rPr>
                <w:rFonts w:ascii="Times New Roman" w:cs="Times New Roman" w:eastAsia="Times New Roman" w:hAnsi="Times New Roman"/>
                <w:sz w:val="13"/>
                <w:szCs w:val="13"/>
                <w:color w:val="0000FF"/>
                <w:w w:val="99"/>
              </w:rPr>
            </w:pPr>
            <w:hyperlink r:id="rId291">
              <w:r>
                <w:rPr>
                  <w:rFonts w:ascii="Times New Roman" w:cs="Times New Roman" w:eastAsia="Times New Roman" w:hAnsi="Times New Roman"/>
                  <w:sz w:val="13"/>
                  <w:szCs w:val="13"/>
                  <w:color w:val="0000FF"/>
                  <w:w w:val="99"/>
                </w:rPr>
                <w:t>Third Amended and Restated Master Services Agreement and Payroll Sharing Agreement, dated as of February</w:t>
              </w:r>
            </w:hyperlink>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13, 2025, by and among Clearway Energy, Inc., Clearway Energy Finance Inc., Clearway Energy LLC,</w:t>
              </w:r>
            </w:hyperlink>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Clearway Energy Operating LLC and Clearway Energy Group LLC.</w:t>
              </w:r>
            </w:hyperlink>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5820" w:type="dxa"/>
            <w:vAlign w:val="bottom"/>
            <w:gridSpan w:val="5"/>
          </w:tcPr>
          <w:p>
            <w:pPr>
              <w:spacing w:after="0"/>
              <w:rPr>
                <w:rFonts w:ascii="Times New Roman" w:cs="Times New Roman" w:eastAsia="Times New Roman" w:hAnsi="Times New Roman"/>
                <w:sz w:val="13"/>
                <w:szCs w:val="13"/>
                <w:color w:val="0000FF"/>
                <w:w w:val="98"/>
              </w:rPr>
            </w:pPr>
            <w:hyperlink r:id="rId292">
              <w:r>
                <w:rPr>
                  <w:rFonts w:ascii="Times New Roman" w:cs="Times New Roman" w:eastAsia="Times New Roman" w:hAnsi="Times New Roman"/>
                  <w:sz w:val="13"/>
                  <w:szCs w:val="13"/>
                  <w:color w:val="0000FF"/>
                  <w:w w:val="98"/>
                </w:rPr>
                <w:t>Consulting Agreement, dated as of June 20, 2024, by and between Clearway Energy, Inc. and Christopher Sotos.</w:t>
              </w:r>
            </w:hyperlink>
          </w:p>
        </w:tc>
      </w:tr>
      <w:tr>
        <w:trPr>
          <w:trHeight w:val="20"/>
        </w:trPr>
        <w:tc>
          <w:tcPr>
            <w:tcW w:w="100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10.32 to the Company’s Annual Report on Form 10-K filed on February 25, 2025.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June 25, 2024.</w:t>
      </w:r>
    </w:p>
    <w:p>
      <w:pPr>
        <w:spacing w:after="0" w:line="1"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10.25*^</w:t>
            </w:r>
          </w:p>
        </w:tc>
        <w:tc>
          <w:tcPr>
            <w:tcW w:w="5940" w:type="dxa"/>
            <w:vAlign w:val="bottom"/>
            <w:gridSpan w:val="15"/>
          </w:tcPr>
          <w:p>
            <w:pPr>
              <w:spacing w:after="0" w:line="143" w:lineRule="exact"/>
              <w:rPr>
                <w:rFonts w:ascii="Times New Roman" w:cs="Times New Roman" w:eastAsia="Times New Roman" w:hAnsi="Times New Roman"/>
                <w:sz w:val="13"/>
                <w:szCs w:val="13"/>
                <w:color w:val="0000FF"/>
              </w:rPr>
            </w:pPr>
            <w:hyperlink r:id="rId293">
              <w:r>
                <w:rPr>
                  <w:rFonts w:ascii="Times New Roman" w:cs="Times New Roman" w:eastAsia="Times New Roman" w:hAnsi="Times New Roman"/>
                  <w:sz w:val="13"/>
                  <w:szCs w:val="13"/>
                  <w:color w:val="0000FF"/>
                </w:rPr>
                <w:t>Membership Interest Purchase Agreement, dated as of June 27, 2024, by and between D1-LV CE Seller LLC and</w:t>
              </w:r>
            </w:hyperlink>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LV-Daggett Parent Holdco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5940" w:type="dxa"/>
            <w:vAlign w:val="bottom"/>
            <w:gridSpan w:val="15"/>
          </w:tcPr>
          <w:p>
            <w:pPr>
              <w:spacing w:after="0"/>
              <w:rPr>
                <w:rFonts w:ascii="Times New Roman" w:cs="Times New Roman" w:eastAsia="Times New Roman" w:hAnsi="Times New Roman"/>
                <w:sz w:val="13"/>
                <w:szCs w:val="13"/>
                <w:color w:val="0000FF"/>
              </w:rPr>
            </w:pPr>
            <w:hyperlink r:id="rId294">
              <w:r>
                <w:rPr>
                  <w:rFonts w:ascii="Times New Roman" w:cs="Times New Roman" w:eastAsia="Times New Roman" w:hAnsi="Times New Roman"/>
                  <w:sz w:val="13"/>
                  <w:szCs w:val="13"/>
                  <w:color w:val="0000FF"/>
                </w:rPr>
                <w:t>Second Amended and Restated Exchange Agreement, dated as of October 28, 2024, by and among Clearway</w:t>
              </w:r>
            </w:hyperlink>
          </w:p>
        </w:tc>
      </w:tr>
      <w:tr>
        <w:trPr>
          <w:trHeight w:val="107"/>
        </w:trPr>
        <w:tc>
          <w:tcPr>
            <w:tcW w:w="1000" w:type="dxa"/>
            <w:vAlign w:val="bottom"/>
          </w:tcPr>
          <w:p>
            <w:pPr>
              <w:spacing w:after="0"/>
              <w:rPr>
                <w:sz w:val="9"/>
                <w:szCs w:val="9"/>
                <w:color w:val="auto"/>
              </w:rPr>
            </w:pPr>
          </w:p>
        </w:tc>
        <w:tc>
          <w:tcPr>
            <w:tcW w:w="36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Energy, Inc., Clearway Energy LLC and Clearway Energy Group LLC.</w:t>
              </w:r>
            </w:hyperlink>
          </w:p>
        </w:tc>
        <w:tc>
          <w:tcPr>
            <w:tcW w:w="216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5940" w:type="dxa"/>
            <w:vAlign w:val="bottom"/>
            <w:gridSpan w:val="15"/>
          </w:tcPr>
          <w:p>
            <w:pPr>
              <w:spacing w:after="0"/>
              <w:rPr>
                <w:rFonts w:ascii="Times New Roman" w:cs="Times New Roman" w:eastAsia="Times New Roman" w:hAnsi="Times New Roman"/>
                <w:sz w:val="13"/>
                <w:szCs w:val="13"/>
                <w:color w:val="0000FF"/>
              </w:rPr>
            </w:pPr>
            <w:hyperlink r:id="rId295">
              <w:r>
                <w:rPr>
                  <w:rFonts w:ascii="Times New Roman" w:cs="Times New Roman" w:eastAsia="Times New Roman" w:hAnsi="Times New Roman"/>
                  <w:sz w:val="13"/>
                  <w:szCs w:val="13"/>
                  <w:color w:val="0000FF"/>
                </w:rPr>
                <w:t>Equity Distribution Agreement, dated as of August 6, 2025, by and among Clearway Energy, Inc., Clearway</w:t>
              </w:r>
            </w:hyperlink>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Energy LLC, Morgan Stanley &amp; Co. LLC, BofA Securities, Inc., Citigroup Global Markets Inc., J.P. Morgan</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2520" w:type="dxa"/>
            <w:vAlign w:val="bottom"/>
            <w:tcBorders>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Securities LLC and Wells Fargo Securities, LLC.</w:t>
              </w:r>
            </w:hyperlink>
          </w:p>
        </w:tc>
        <w:tc>
          <w:tcPr>
            <w:tcW w:w="3400" w:type="dxa"/>
            <w:vAlign w:val="bottom"/>
            <w:gridSpan w:val="11"/>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5940" w:type="dxa"/>
            <w:vAlign w:val="bottom"/>
            <w:gridSpan w:val="15"/>
          </w:tcPr>
          <w:p>
            <w:pPr>
              <w:spacing w:after="0"/>
              <w:rPr>
                <w:rFonts w:ascii="Times New Roman" w:cs="Times New Roman" w:eastAsia="Times New Roman" w:hAnsi="Times New Roman"/>
                <w:sz w:val="13"/>
                <w:szCs w:val="13"/>
                <w:color w:val="0000FF"/>
              </w:rPr>
            </w:pPr>
            <w:hyperlink r:id="rId296">
              <w:r>
                <w:rPr>
                  <w:rFonts w:ascii="Times New Roman" w:cs="Times New Roman" w:eastAsia="Times New Roman" w:hAnsi="Times New Roman"/>
                  <w:sz w:val="13"/>
                  <w:szCs w:val="13"/>
                  <w:color w:val="0000FF"/>
                </w:rPr>
                <w:t>Purchase and Sale Agreement, dated as of October 3, 2025, by and among Cardinal Purchaser LLC, Deriva</w:t>
              </w:r>
            </w:hyperlink>
          </w:p>
        </w:tc>
      </w:tr>
      <w:tr>
        <w:trPr>
          <w:trHeight w:val="107"/>
        </w:trPr>
        <w:tc>
          <w:tcPr>
            <w:tcW w:w="1000" w:type="dxa"/>
            <w:vAlign w:val="bottom"/>
          </w:tcPr>
          <w:p>
            <w:pPr>
              <w:spacing w:after="0"/>
              <w:rPr>
                <w:sz w:val="9"/>
                <w:szCs w:val="9"/>
                <w:color w:val="auto"/>
              </w:rPr>
            </w:pPr>
          </w:p>
        </w:tc>
        <w:tc>
          <w:tcPr>
            <w:tcW w:w="334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96">
              <w:r>
                <w:rPr>
                  <w:rFonts w:ascii="Times New Roman" w:cs="Times New Roman" w:eastAsia="Times New Roman" w:hAnsi="Times New Roman"/>
                  <w:sz w:val="12"/>
                  <w:szCs w:val="12"/>
                  <w:color w:val="0000FF"/>
                </w:rPr>
                <w:t>Energy, LLC, Symphony Breeze, LLC and Symphony Sun, LLC.</w:t>
              </w:r>
            </w:hyperlink>
          </w:p>
        </w:tc>
        <w:tc>
          <w:tcPr>
            <w:tcW w:w="254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10.29*^</w:t>
            </w:r>
          </w:p>
        </w:tc>
        <w:tc>
          <w:tcPr>
            <w:tcW w:w="5940" w:type="dxa"/>
            <w:vAlign w:val="bottom"/>
            <w:gridSpan w:val="15"/>
          </w:tcPr>
          <w:p>
            <w:pPr>
              <w:spacing w:after="0"/>
              <w:rPr>
                <w:rFonts w:ascii="Times New Roman" w:cs="Times New Roman" w:eastAsia="Times New Roman" w:hAnsi="Times New Roman"/>
                <w:sz w:val="13"/>
                <w:szCs w:val="13"/>
                <w:color w:val="0000FF"/>
              </w:rPr>
            </w:pPr>
            <w:hyperlink r:id="rId297">
              <w:r>
                <w:rPr>
                  <w:rFonts w:ascii="Times New Roman" w:cs="Times New Roman" w:eastAsia="Times New Roman" w:hAnsi="Times New Roman"/>
                  <w:sz w:val="13"/>
                  <w:szCs w:val="13"/>
                  <w:color w:val="0000FF"/>
                </w:rPr>
                <w:t>Purchase and Sale Agreement, dated as of October 3, 2025, by and among Cardinal JV Purchaser LLC, Fengate</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Cardinal Blocker LLC, Fengate Yield (VCOC) UBTI Blocker LLC, Deriva Energy, LLC, Symphony Breeze,</w:t>
              </w:r>
            </w:hyperlink>
          </w:p>
        </w:tc>
        <w:tc>
          <w:tcPr>
            <w:tcW w:w="60" w:type="dxa"/>
            <w:vAlign w:val="bottom"/>
            <w:tcBorders>
              <w:bottom w:val="single" w:sz="8" w:color="0000FF"/>
            </w:tcBorders>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166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LLC and Symphony Sun, LLC.</w:t>
              </w:r>
            </w:hyperlink>
          </w:p>
        </w:tc>
        <w:tc>
          <w:tcPr>
            <w:tcW w:w="4240" w:type="dxa"/>
            <w:vAlign w:val="bottom"/>
            <w:gridSpan w:val="12"/>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10.30*^</w:t>
            </w:r>
          </w:p>
        </w:tc>
        <w:tc>
          <w:tcPr>
            <w:tcW w:w="5940" w:type="dxa"/>
            <w:vAlign w:val="bottom"/>
            <w:gridSpan w:val="15"/>
          </w:tcPr>
          <w:p>
            <w:pPr>
              <w:spacing w:after="0"/>
              <w:rPr>
                <w:rFonts w:ascii="Times New Roman" w:cs="Times New Roman" w:eastAsia="Times New Roman" w:hAnsi="Times New Roman"/>
                <w:sz w:val="13"/>
                <w:szCs w:val="13"/>
                <w:color w:val="0000FF"/>
              </w:rPr>
            </w:pPr>
            <w:hyperlink r:id="rId298">
              <w:r>
                <w:rPr>
                  <w:rFonts w:ascii="Times New Roman" w:cs="Times New Roman" w:eastAsia="Times New Roman" w:hAnsi="Times New Roman"/>
                  <w:sz w:val="13"/>
                  <w:szCs w:val="13"/>
                  <w:color w:val="0000FF"/>
                </w:rPr>
                <w:t>Membership Interest Purchase Agreement, dated as of November 24, 2025, by and between RS2-Spindle CE</w:t>
              </w:r>
            </w:hyperlink>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Seller LLC and RS2-Spindle Purchaser LLC.</w:t>
              </w:r>
            </w:hyperlink>
          </w:p>
        </w:tc>
        <w:tc>
          <w:tcPr>
            <w:tcW w:w="3500" w:type="dxa"/>
            <w:vAlign w:val="bottom"/>
            <w:tcBorders>
              <w:top w:val="single" w:sz="8" w:color="0000FF"/>
            </w:tcBorders>
            <w:gridSpan w:val="7"/>
          </w:tcPr>
          <w:p>
            <w:pPr>
              <w:spacing w:after="0"/>
              <w:rPr>
                <w:sz w:val="9"/>
                <w:szCs w:val="9"/>
                <w:color w:val="auto"/>
              </w:rPr>
            </w:pPr>
          </w:p>
        </w:tc>
        <w:tc>
          <w:tcPr>
            <w:tcW w:w="120" w:type="dxa"/>
            <w:vAlign w:val="bottom"/>
            <w:gridSpan w:val="6"/>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16.1</w:t>
            </w:r>
          </w:p>
        </w:tc>
        <w:tc>
          <w:tcPr>
            <w:tcW w:w="5940" w:type="dxa"/>
            <w:vAlign w:val="bottom"/>
            <w:gridSpan w:val="15"/>
          </w:tcPr>
          <w:p>
            <w:pPr>
              <w:spacing w:after="0"/>
              <w:rPr>
                <w:rFonts w:ascii="Times New Roman" w:cs="Times New Roman" w:eastAsia="Times New Roman" w:hAnsi="Times New Roman"/>
                <w:sz w:val="13"/>
                <w:szCs w:val="13"/>
                <w:color w:val="0000FF"/>
              </w:rPr>
            </w:pPr>
            <w:hyperlink r:id="rId299">
              <w:r>
                <w:rPr>
                  <w:rFonts w:ascii="Times New Roman" w:cs="Times New Roman" w:eastAsia="Times New Roman" w:hAnsi="Times New Roman"/>
                  <w:sz w:val="13"/>
                  <w:szCs w:val="13"/>
                  <w:color w:val="0000FF"/>
                </w:rPr>
                <w:t>Letter from Ernst &amp; Young LLP, dated May 10, 2024.</w:t>
              </w:r>
            </w:hyperlink>
          </w:p>
        </w:tc>
      </w:tr>
      <w:tr>
        <w:trPr>
          <w:trHeight w:val="20"/>
        </w:trPr>
        <w:tc>
          <w:tcPr>
            <w:tcW w:w="100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July 3,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Quarterly Report on Form 10-Q filed on October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1.1 to the Company’s Current Report on Form 8-K filed on August 6, 2025.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October 6, 2025.</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October 6, 2025.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 2025.</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16.1 to the Company’s Current Report on Form 8-K filed on May 10, 2024.</w:t>
      </w:r>
    </w:p>
    <w:p>
      <w:pPr>
        <w:spacing w:after="0" w:line="1" w:lineRule="exact"/>
        <w:rPr>
          <w:sz w:val="20"/>
          <w:szCs w:val="20"/>
          <w:color w:val="auto"/>
        </w:rPr>
      </w:pPr>
    </w:p>
    <w:p>
      <w:pPr>
        <w:sectPr>
          <w:pgSz w:w="11900" w:h="16838" w:orient="portrait"/>
          <w:cols w:equalWidth="0" w:num="2">
            <w:col w:w="6780" w:space="120"/>
            <w:col w:w="4300"/>
          </w:cols>
          <w:pgMar w:left="340" w:top="763"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10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19.1</w:t>
            </w:r>
          </w:p>
        </w:tc>
        <w:tc>
          <w:tcPr>
            <w:tcW w:w="4840" w:type="dxa"/>
            <w:vAlign w:val="bottom"/>
            <w:gridSpan w:val="10"/>
          </w:tcPr>
          <w:p>
            <w:pPr>
              <w:spacing w:after="0" w:line="143" w:lineRule="exact"/>
              <w:rPr>
                <w:rFonts w:ascii="Times New Roman" w:cs="Times New Roman" w:eastAsia="Times New Roman" w:hAnsi="Times New Roman"/>
                <w:sz w:val="13"/>
                <w:szCs w:val="13"/>
                <w:color w:val="0000FF"/>
              </w:rPr>
            </w:pPr>
            <w:hyperlink r:id="rId300">
              <w:r>
                <w:rPr>
                  <w:rFonts w:ascii="Times New Roman" w:cs="Times New Roman" w:eastAsia="Times New Roman" w:hAnsi="Times New Roman"/>
                  <w:sz w:val="13"/>
                  <w:szCs w:val="13"/>
                  <w:color w:val="0000FF"/>
                </w:rPr>
                <w:t>Clearway Energy, Inc. Securities Trading and Nondisclosure Policy.</w:t>
              </w:r>
            </w:hyperlink>
          </w:p>
        </w:tc>
        <w:tc>
          <w:tcPr>
            <w:tcW w:w="5360" w:type="dxa"/>
            <w:vAlign w:val="bottom"/>
          </w:tcPr>
          <w:p>
            <w:pPr>
              <w:ind w:left="1060"/>
              <w:spacing w:after="0" w:line="143" w:lineRule="exact"/>
              <w:rPr>
                <w:sz w:val="20"/>
                <w:szCs w:val="20"/>
                <w:color w:val="auto"/>
              </w:rPr>
            </w:pPr>
            <w:r>
              <w:rPr>
                <w:rFonts w:ascii="Times New Roman" w:cs="Times New Roman" w:eastAsia="Times New Roman" w:hAnsi="Times New Roman"/>
                <w:sz w:val="13"/>
                <w:szCs w:val="13"/>
                <w:color w:val="auto"/>
              </w:rPr>
              <w:t>Incorporated herein by reference to Exhibit 19.1 to the Company’s Annual Report</w:t>
            </w:r>
          </w:p>
        </w:tc>
      </w:tr>
      <w:tr>
        <w:trPr>
          <w:trHeight w:val="139"/>
        </w:trPr>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360" w:type="dxa"/>
            <w:vAlign w:val="bottom"/>
          </w:tcPr>
          <w:p>
            <w:pPr>
              <w:ind w:left="1060"/>
              <w:spacing w:after="0" w:line="139" w:lineRule="exact"/>
              <w:rPr>
                <w:sz w:val="20"/>
                <w:szCs w:val="20"/>
                <w:color w:val="auto"/>
              </w:rPr>
            </w:pPr>
            <w:r>
              <w:rPr>
                <w:rFonts w:ascii="Times New Roman" w:cs="Times New Roman" w:eastAsia="Times New Roman" w:hAnsi="Times New Roman"/>
                <w:sz w:val="13"/>
                <w:szCs w:val="13"/>
                <w:color w:val="auto"/>
              </w:rPr>
              <w:t>on Form 10-K filed on February 25, 2025.</w:t>
            </w:r>
          </w:p>
        </w:tc>
      </w:tr>
      <w:tr>
        <w:trPr>
          <w:trHeight w:val="138"/>
        </w:trPr>
        <w:tc>
          <w:tcPr>
            <w:tcW w:w="10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21.1</w:t>
            </w:r>
          </w:p>
        </w:tc>
        <w:tc>
          <w:tcPr>
            <w:tcW w:w="1940" w:type="dxa"/>
            <w:vAlign w:val="bottom"/>
            <w:tcBorders>
              <w:bottom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3"/>
                <w:szCs w:val="13"/>
                <w:color w:val="0000FF"/>
                <w:w w:val="97"/>
              </w:rPr>
              <w:t>Subsidiaries of Clearway Energy, Inc.</w:t>
            </w:r>
          </w:p>
        </w:tc>
        <w:tc>
          <w:tcPr>
            <w:tcW w:w="2900" w:type="dxa"/>
            <w:vAlign w:val="bottom"/>
            <w:gridSpan w:val="6"/>
          </w:tcPr>
          <w:p>
            <w:pPr>
              <w:spacing w:after="0"/>
              <w:rPr>
                <w:sz w:val="12"/>
                <w:szCs w:val="12"/>
                <w:color w:val="auto"/>
              </w:rPr>
            </w:pPr>
          </w:p>
        </w:tc>
        <w:tc>
          <w:tcPr>
            <w:tcW w:w="5360" w:type="dxa"/>
            <w:vAlign w:val="bottom"/>
          </w:tcPr>
          <w:p>
            <w:pPr>
              <w:ind w:left="1060"/>
              <w:spacing w:after="0" w:line="138" w:lineRule="exact"/>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23.1</w:t>
            </w:r>
          </w:p>
        </w:tc>
        <w:tc>
          <w:tcPr>
            <w:tcW w:w="2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6"/>
              </w:rPr>
              <w:t>Consent of PricewaterhouseCoopers LLP.</w:t>
            </w:r>
          </w:p>
        </w:tc>
        <w:tc>
          <w:tcPr>
            <w:tcW w:w="2700" w:type="dxa"/>
            <w:vAlign w:val="bottom"/>
            <w:gridSpan w:val="5"/>
          </w:tcPr>
          <w:p>
            <w:pPr>
              <w:spacing w:after="0"/>
              <w:rPr>
                <w:sz w:val="13"/>
                <w:szCs w:val="13"/>
                <w:color w:val="auto"/>
              </w:rPr>
            </w:pP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23.2</w:t>
            </w:r>
          </w:p>
        </w:tc>
        <w:tc>
          <w:tcPr>
            <w:tcW w:w="1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w w:val="95"/>
              </w:rPr>
              <w:t>Consent of Ernst &amp; Young LLP.</w:t>
            </w:r>
          </w:p>
        </w:tc>
        <w:tc>
          <w:tcPr>
            <w:tcW w:w="3200" w:type="dxa"/>
            <w:vAlign w:val="bottom"/>
            <w:gridSpan w:val="7"/>
          </w:tcPr>
          <w:p>
            <w:pPr>
              <w:spacing w:after="0"/>
              <w:rPr>
                <w:sz w:val="13"/>
                <w:szCs w:val="13"/>
                <w:color w:val="auto"/>
              </w:rPr>
            </w:pP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24.1</w:t>
            </w:r>
          </w:p>
        </w:tc>
        <w:tc>
          <w:tcPr>
            <w:tcW w:w="9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7"/>
              </w:rPr>
              <w:t>Power of Attorney</w:t>
            </w:r>
          </w:p>
        </w:tc>
        <w:tc>
          <w:tcPr>
            <w:tcW w:w="3880" w:type="dxa"/>
            <w:vAlign w:val="bottom"/>
            <w:gridSpan w:val="9"/>
          </w:tcPr>
          <w:p>
            <w:pPr>
              <w:spacing w:after="0"/>
              <w:rPr>
                <w:sz w:val="13"/>
                <w:szCs w:val="13"/>
                <w:color w:val="auto"/>
              </w:rPr>
            </w:pP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Included on the signature page of this Annual Report on Form 10-K.</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31.1</w:t>
            </w:r>
          </w:p>
        </w:tc>
        <w:tc>
          <w:tcPr>
            <w:tcW w:w="2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Craig Cornelius.</w:t>
            </w:r>
          </w:p>
        </w:tc>
        <w:tc>
          <w:tcPr>
            <w:tcW w:w="1860" w:type="dxa"/>
            <w:vAlign w:val="bottom"/>
            <w:gridSpan w:val="4"/>
          </w:tcPr>
          <w:p>
            <w:pPr>
              <w:spacing w:after="0"/>
              <w:rPr>
                <w:sz w:val="13"/>
                <w:szCs w:val="13"/>
                <w:color w:val="auto"/>
              </w:rPr>
            </w:pP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31.2</w:t>
            </w:r>
          </w:p>
        </w:tc>
        <w:tc>
          <w:tcPr>
            <w:tcW w:w="3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1780" w:type="dxa"/>
            <w:vAlign w:val="bottom"/>
            <w:gridSpan w:val="3"/>
          </w:tcPr>
          <w:p>
            <w:pPr>
              <w:spacing w:after="0"/>
              <w:rPr>
                <w:sz w:val="13"/>
                <w:szCs w:val="13"/>
                <w:color w:val="auto"/>
              </w:rPr>
            </w:pP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800" w:type="dxa"/>
            <w:vAlign w:val="bottom"/>
          </w:tcPr>
          <w:p>
            <w:pPr>
              <w:spacing w:after="0"/>
              <w:rPr>
                <w:sz w:val="13"/>
                <w:szCs w:val="13"/>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Furnished herewith.</w:t>
            </w: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5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97</w:t>
            </w:r>
          </w:p>
        </w:tc>
        <w:tc>
          <w:tcPr>
            <w:tcW w:w="800" w:type="dxa"/>
            <w:vAlign w:val="bottom"/>
          </w:tcPr>
          <w:p>
            <w:pPr>
              <w:spacing w:after="0"/>
              <w:rPr>
                <w:sz w:val="13"/>
                <w:szCs w:val="13"/>
                <w:color w:val="auto"/>
              </w:rPr>
            </w:pPr>
          </w:p>
        </w:tc>
        <w:tc>
          <w:tcPr>
            <w:tcW w:w="4840" w:type="dxa"/>
            <w:vAlign w:val="bottom"/>
            <w:gridSpan w:val="10"/>
          </w:tcPr>
          <w:p>
            <w:pPr>
              <w:spacing w:after="0"/>
              <w:rPr>
                <w:rFonts w:ascii="Times New Roman" w:cs="Times New Roman" w:eastAsia="Times New Roman" w:hAnsi="Times New Roman"/>
                <w:sz w:val="13"/>
                <w:szCs w:val="13"/>
                <w:color w:val="0000FF"/>
              </w:rPr>
            </w:pPr>
            <w:hyperlink r:id="rId301">
              <w:r>
                <w:rPr>
                  <w:rFonts w:ascii="Times New Roman" w:cs="Times New Roman" w:eastAsia="Times New Roman" w:hAnsi="Times New Roman"/>
                  <w:sz w:val="13"/>
                  <w:szCs w:val="13"/>
                  <w:color w:val="0000FF"/>
                </w:rPr>
                <w:t>Clearway Energy, Inc. Policy on Recoupment of Incentive Compensation.</w:t>
              </w:r>
            </w:hyperlink>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w w:val="98"/>
              </w:rPr>
              <w:t>Incorporated herein by reference to Exhibit 97 to the Company’s Annual Report on</w:t>
            </w:r>
          </w:p>
        </w:tc>
      </w:tr>
      <w:tr>
        <w:trPr>
          <w:trHeight w:val="139"/>
        </w:trPr>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60" w:type="dxa"/>
            <w:vAlign w:val="bottom"/>
          </w:tcPr>
          <w:p>
            <w:pPr>
              <w:spacing w:after="0"/>
              <w:rPr>
                <w:sz w:val="12"/>
                <w:szCs w:val="12"/>
                <w:color w:val="auto"/>
              </w:rPr>
            </w:pPr>
          </w:p>
        </w:tc>
        <w:tc>
          <w:tcPr>
            <w:tcW w:w="5360" w:type="dxa"/>
            <w:vAlign w:val="bottom"/>
          </w:tcPr>
          <w:p>
            <w:pPr>
              <w:ind w:left="1060"/>
              <w:spacing w:after="0" w:line="139" w:lineRule="exact"/>
              <w:rPr>
                <w:sz w:val="20"/>
                <w:szCs w:val="20"/>
                <w:color w:val="auto"/>
              </w:rPr>
            </w:pPr>
            <w:r>
              <w:rPr>
                <w:rFonts w:ascii="Times New Roman" w:cs="Times New Roman" w:eastAsia="Times New Roman" w:hAnsi="Times New Roman"/>
                <w:sz w:val="13"/>
                <w:szCs w:val="13"/>
                <w:color w:val="auto"/>
              </w:rPr>
              <w:t>Form 10-K filed on February 22, 2024.</w:t>
            </w:r>
          </w:p>
        </w:tc>
      </w:tr>
      <w:tr>
        <w:trPr>
          <w:trHeight w:val="165"/>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w:t>
            </w: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w:t>
            </w: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CAL</w:t>
            </w: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w:t>
            </w: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LAB</w:t>
            </w: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w:t>
            </w:r>
          </w:p>
        </w:tc>
        <w:tc>
          <w:tcPr>
            <w:tcW w:w="48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53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Filed herewith.</w:t>
            </w: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8" w:name="page149"/>
    <w:bookmarkEnd w:id="148"/>
    <w:p>
      <w:pPr>
        <w:ind w:left="21"/>
        <w:spacing w:after="0"/>
        <w:tabs>
          <w:tab w:leader="none" w:pos="1001" w:val="left"/>
          <w:tab w:leader="none" w:pos="6901"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Method of Filing</w:t>
      </w:r>
    </w:p>
    <w:p>
      <w:pPr>
        <w:spacing w:after="0" w:line="22" w:lineRule="exact"/>
        <w:rPr>
          <w:sz w:val="20"/>
          <w:szCs w:val="20"/>
          <w:color w:val="auto"/>
        </w:rPr>
      </w:pPr>
    </w:p>
    <w:p>
      <w:pPr>
        <w:ind w:left="1021" w:right="4320" w:hanging="1000"/>
        <w:spacing w:after="0" w:line="235" w:lineRule="auto"/>
        <w:tabs>
          <w:tab w:leader="none" w:pos="1021"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 Inline XBRL tags are embedded within the Inline XBRL document)</w:t>
      </w:r>
    </w:p>
    <w:p>
      <w:pPr>
        <w:spacing w:after="0" w:line="142" w:lineRule="exact"/>
        <w:rPr>
          <w:rFonts w:ascii="Times New Roman" w:cs="Times New Roman" w:eastAsia="Times New Roman" w:hAnsi="Times New Roman"/>
          <w:sz w:val="13"/>
          <w:szCs w:val="13"/>
          <w:color w:val="auto"/>
        </w:rPr>
      </w:pPr>
    </w:p>
    <w:p>
      <w:pPr>
        <w:ind w:left="661" w:hanging="661"/>
        <w:spacing w:after="0"/>
        <w:tabs>
          <w:tab w:leader="none" w:pos="661"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20" w:lineRule="exact"/>
        <w:rPr>
          <w:sz w:val="20"/>
          <w:szCs w:val="20"/>
          <w:color w:val="auto"/>
        </w:rPr>
      </w:pPr>
    </w:p>
    <w:p>
      <w:pPr>
        <w:ind w:left="661" w:right="120" w:hanging="661"/>
        <w:spacing w:after="0" w:line="235" w:lineRule="auto"/>
        <w:tabs>
          <w:tab w:leader="none" w:pos="66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filing excludes schedules or similar attachments pursuant to Item 601(a)(5) of Regulation S-K, which the registrant agrees to furnish supplementary to the Securities and Exchange Commission upon request by the Commission.</w:t>
      </w:r>
    </w:p>
    <w:p>
      <w:pPr>
        <w:spacing w:after="0" w:line="4" w:lineRule="exact"/>
        <w:rPr>
          <w:sz w:val="20"/>
          <w:szCs w:val="20"/>
          <w:color w:val="auto"/>
        </w:rPr>
      </w:pPr>
    </w:p>
    <w:p>
      <w:pPr>
        <w:ind w:left="661" w:hanging="661"/>
        <w:spacing w:after="0" w:line="235" w:lineRule="auto"/>
        <w:tabs>
          <w:tab w:leader="none" w:pos="66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portions of this exhibit have been redacted pursuant to Item 601(b)(10)(iv) of Regulation S-K because it (i) is not material and (ii) would likely cause competitive harm to the Registrant if disclosed. The registrant agrees to furnish supplementary an unredacted copy of this exhibit to the Securities and Exchange Commission upon request.</w:t>
      </w:r>
    </w:p>
    <w:p>
      <w:pPr>
        <w:spacing w:after="0" w:line="200" w:lineRule="exact"/>
        <w:rPr>
          <w:sz w:val="20"/>
          <w:szCs w:val="20"/>
          <w:color w:val="auto"/>
        </w:rPr>
      </w:pPr>
    </w:p>
    <w:p>
      <w:pPr>
        <w:spacing w:after="0" w:line="28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1"/>
          </w:cols>
          <w:pgMar w:left="319" w:top="763"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color w:val="auto"/>
        </w:rPr>
        <w:t>Item 16 —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CLEARWAY ENERGY, INC.</w:t>
      </w:r>
    </w:p>
    <w:p>
      <w:pPr>
        <w:ind w:left="678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14605</wp:posOffset>
            </wp:positionV>
            <wp:extent cx="210185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67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Craig Cornelius,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727" w:right="319" w:bottom="1440" w:gutter="0" w:footer="0" w:header="0"/>
        </w:sectPr>
      </w:pP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26377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2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Jonathan Bram</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Nathaniel Anschuetz</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Brian Ford</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Bruce MacLennan</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Daniel B. More</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 Stanley O’Neal</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Jennifer Lowry</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Marc-Antoine Pignon</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OLIVIER JOUNY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Olivier Jouny</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PAIGE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Paige Goodwin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77"/>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53"/>
        </w:trPr>
        <w:tc>
          <w:tcPr>
            <w:tcW w:w="5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42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106"/>
        </w:trPr>
        <w:tc>
          <w:tcPr>
            <w:tcW w:w="5420" w:type="dxa"/>
            <w:vAlign w:val="bottom"/>
            <w:gridSpan w:val="2"/>
            <w:vMerge w:val="restart"/>
          </w:tcPr>
          <w:p>
            <w:pPr>
              <w:ind w:left="1760"/>
              <w:spacing w:after="0" w:line="149" w:lineRule="exact"/>
              <w:rPr>
                <w:sz w:val="20"/>
                <w:szCs w:val="20"/>
                <w:color w:val="auto"/>
              </w:rPr>
            </w:pPr>
            <w:r>
              <w:rPr>
                <w:rFonts w:ascii="Times New Roman" w:cs="Times New Roman" w:eastAsia="Times New Roman" w:hAnsi="Times New Roman"/>
                <w:sz w:val="14"/>
                <w:szCs w:val="14"/>
                <w:color w:val="auto"/>
              </w:rPr>
              <w:t>(Principal Financial Officer and</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5420" w:type="dxa"/>
            <w:vAlign w:val="bottom"/>
            <w:gridSpan w:val="2"/>
            <w:vMerge w:val="continue"/>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Chairman of the Board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24, 2026</w:t>
            </w:r>
          </w:p>
        </w:tc>
        <w:tc>
          <w:tcPr>
            <w:tcW w:w="0" w:type="dxa"/>
            <w:vAlign w:val="bottom"/>
          </w:tcPr>
          <w:p>
            <w:pPr>
              <w:spacing w:after="0"/>
              <w:rPr>
                <w:sz w:val="1"/>
                <w:szCs w:val="1"/>
                <w:color w:val="auto"/>
              </w:rPr>
            </w:pPr>
          </w:p>
        </w:tc>
      </w:tr>
    </w:tbl>
    <w:p>
      <w:pPr>
        <w:spacing w:after="0" w:line="336" w:lineRule="exact"/>
        <w:rPr>
          <w:sz w:val="20"/>
          <w:szCs w:val="20"/>
          <w:color w:val="auto"/>
        </w:rPr>
      </w:pPr>
    </w:p>
    <w:p>
      <w:pPr>
        <w:sectPr>
          <w:pgSz w:w="11900" w:h="16838" w:orient="portrait"/>
          <w:cols w:equalWidth="0" w:num="2">
            <w:col w:w="2940" w:space="720"/>
            <w:col w:w="7620"/>
          </w:cols>
          <w:pgMar w:left="300" w:top="727" w:right="31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1280"/>
          </w:cols>
          <w:pgMar w:left="300" w:top="727" w:right="319" w:bottom="1440" w:gutter="0" w:footer="0" w:header="0"/>
          <w:type w:val="continuous"/>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8" w:name="page309"/>
    <w:bookmarkEnd w:id="3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5" w:name="page316"/>
    <w:bookmarkEnd w:id="3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21" w:name="page322"/>
    <w:bookmarkEnd w:id="3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27" w:name="page328"/>
    <w:bookmarkEnd w:id="3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34" w:name="page335"/>
    <w:bookmarkEnd w:id="3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40" w:name="page341"/>
    <w:bookmarkEnd w:id="3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35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As of December 31, 2025, Clearway Energy, Inc. (the “</w:t>
      </w:r>
      <w:r>
        <w:rPr>
          <w:rFonts w:ascii="Times New Roman" w:cs="Times New Roman" w:eastAsia="Times New Roman" w:hAnsi="Times New Roman"/>
          <w:sz w:val="14"/>
          <w:szCs w:val="14"/>
          <w:i w:val="1"/>
          <w:iCs w:val="1"/>
          <w:color w:val="auto"/>
        </w:rPr>
        <w:t>Registrant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Clearway Inc</w:t>
      </w:r>
      <w:r>
        <w:rPr>
          <w:rFonts w:ascii="Times New Roman" w:cs="Times New Roman" w:eastAsia="Times New Roman" w:hAnsi="Times New Roman"/>
          <w:sz w:val="14"/>
          <w:szCs w:val="14"/>
          <w:color w:val="auto"/>
        </w:rPr>
        <w:t>.”) had two classes of securities registered under Section 12 of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(i) Common Stock, Class A, par value $0.01 per share, and (ii) Common Stock, Class C, par value $0.01 per share.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Clearway Inc.’s Capital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following description of Clearway Inc.’s common stock is a summary and does not purport to be complete. It is subject to and qualified in its entirety by reference to Clearway Inc.’s amended and restated certificate of incorporation,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amended and restated certificate of incorporation, Clearway Inc.’s fourth amended and restated bylaws and the applicable provisions of the Delaware General Corporation Law (the “</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Clearway Inc.’s authorized capital stock consists, as of December 31, 2025, of:</w:t>
      </w:r>
    </w:p>
    <w:p>
      <w:pPr>
        <w:spacing w:after="0" w:line="134" w:lineRule="exact"/>
        <w:rPr>
          <w:sz w:val="20"/>
          <w:szCs w:val="20"/>
          <w:color w:val="auto"/>
        </w:rPr>
      </w:pPr>
    </w:p>
    <w:p>
      <w:pPr>
        <w:ind w:left="1020" w:hanging="506"/>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A common stock, par value $0.01 per share (“</w:t>
      </w:r>
      <w:r>
        <w:rPr>
          <w:rFonts w:ascii="Times New Roman" w:cs="Times New Roman" w:eastAsia="Times New Roman" w:hAnsi="Times New Roman"/>
          <w:sz w:val="14"/>
          <w:szCs w:val="14"/>
          <w:i w:val="1"/>
          <w:iCs w:val="1"/>
          <w:color w:val="auto"/>
        </w:rPr>
        <w:t>Class A common stock</w:t>
      </w:r>
      <w:r>
        <w:rPr>
          <w:rFonts w:ascii="Times New Roman" w:cs="Times New Roman" w:eastAsia="Times New Roman" w:hAnsi="Times New Roman"/>
          <w:sz w:val="14"/>
          <w:szCs w:val="14"/>
          <w:color w:val="auto"/>
        </w:rPr>
        <w:t>”), of which 34,613,853 shares are issued and outstanding;</w:t>
      </w:r>
    </w:p>
    <w:p>
      <w:pPr>
        <w:spacing w:after="0" w:line="13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B common stock, par value $0.01 per share (“</w:t>
      </w:r>
      <w:r>
        <w:rPr>
          <w:rFonts w:ascii="Times New Roman" w:cs="Times New Roman" w:eastAsia="Times New Roman" w:hAnsi="Times New Roman"/>
          <w:sz w:val="14"/>
          <w:szCs w:val="14"/>
          <w:i w:val="1"/>
          <w:iCs w:val="1"/>
          <w:color w:val="auto"/>
        </w:rPr>
        <w:t>Class B common stock</w:t>
      </w:r>
      <w:r>
        <w:rPr>
          <w:rFonts w:ascii="Times New Roman" w:cs="Times New Roman" w:eastAsia="Times New Roman" w:hAnsi="Times New Roman"/>
          <w:sz w:val="14"/>
          <w:szCs w:val="14"/>
          <w:color w:val="auto"/>
        </w:rPr>
        <w:t>”), of which 42,738,750 shares are issued and outstanding;</w:t>
      </w:r>
    </w:p>
    <w:p>
      <w:pPr>
        <w:spacing w:after="0" w:line="13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C common stock, par value $0.01 per share (“</w:t>
      </w:r>
      <w:r>
        <w:rPr>
          <w:rFonts w:ascii="Times New Roman" w:cs="Times New Roman" w:eastAsia="Times New Roman" w:hAnsi="Times New Roman"/>
          <w:sz w:val="14"/>
          <w:szCs w:val="14"/>
          <w:i w:val="1"/>
          <w:iCs w:val="1"/>
          <w:color w:val="auto"/>
        </w:rPr>
        <w:t>Class C common stock</w:t>
      </w:r>
      <w:r>
        <w:rPr>
          <w:rFonts w:ascii="Times New Roman" w:cs="Times New Roman" w:eastAsia="Times New Roman" w:hAnsi="Times New Roman"/>
          <w:sz w:val="14"/>
          <w:szCs w:val="14"/>
          <w:color w:val="auto"/>
        </w:rPr>
        <w:t>”), of which 84,844,929 shares are issued and outstanding;</w:t>
      </w:r>
    </w:p>
    <w:p>
      <w:pPr>
        <w:spacing w:after="0" w:line="13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D common stock, par value $0.01 per share (“</w:t>
      </w:r>
      <w:r>
        <w:rPr>
          <w:rFonts w:ascii="Times New Roman" w:cs="Times New Roman" w:eastAsia="Times New Roman" w:hAnsi="Times New Roman"/>
          <w:sz w:val="14"/>
          <w:szCs w:val="14"/>
          <w:i w:val="1"/>
          <w:iCs w:val="1"/>
          <w:color w:val="auto"/>
        </w:rPr>
        <w:t>Class D common stock</w:t>
      </w:r>
      <w:r>
        <w:rPr>
          <w:rFonts w:ascii="Times New Roman" w:cs="Times New Roman" w:eastAsia="Times New Roman" w:hAnsi="Times New Roman"/>
          <w:sz w:val="14"/>
          <w:szCs w:val="14"/>
          <w:color w:val="auto"/>
        </w:rPr>
        <w:t>”), of which 41,576,142 shares are issued and outstanding; and</w:t>
      </w:r>
    </w:p>
    <w:p>
      <w:pPr>
        <w:spacing w:after="0" w:line="13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$0.01 per share, none of which are issued and outstanding.</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as of December 31, 2025, (i) an aggregate of 2,561,831 shares of Class A common stock and Class C common stock are reserved for issuance under Clearway Inc.’s equity-based compensation plans, (ii) an aggregate of 42,738,750 shares of Class A common stock are reserved for issuance upon the exchange of Class B units of Clearway Energy LLC (“</w:t>
      </w:r>
      <w:r>
        <w:rPr>
          <w:rFonts w:ascii="Times New Roman" w:cs="Times New Roman" w:eastAsia="Times New Roman" w:hAnsi="Times New Roman"/>
          <w:sz w:val="14"/>
          <w:szCs w:val="14"/>
          <w:i w:val="1"/>
          <w:iCs w:val="1"/>
          <w:color w:val="auto"/>
        </w:rPr>
        <w:t>Clearway LLC</w:t>
      </w:r>
      <w:r>
        <w:rPr>
          <w:rFonts w:ascii="Times New Roman" w:cs="Times New Roman" w:eastAsia="Times New Roman" w:hAnsi="Times New Roman"/>
          <w:sz w:val="14"/>
          <w:szCs w:val="14"/>
          <w:color w:val="auto"/>
        </w:rPr>
        <w:t>”), a direct subsidiary of Clearway Inc., and (iii) an aggregate of 41,576,142 shares of Class C common stock are reserved for issuance upon the exchange of Class D units of Clearway LLC. Unless Clearway Inc.’s Board of Directors (the “</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determines otherwise, Clearway Inc. will issue all shares of its capital stock in uncertificated form.</w:t>
      </w:r>
    </w:p>
    <w:p>
      <w:pPr>
        <w:sectPr>
          <w:pgSz w:w="11900" w:h="16838" w:orient="portrait"/>
          <w:cols w:equalWidth="0" w:num="1">
            <w:col w:w="11280"/>
          </w:cols>
          <w:pgMar w:left="300" w:top="122" w:right="31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Class A common stock is listed on the New York Stock Exchange (the “</w:t>
      </w:r>
      <w:r>
        <w:rPr>
          <w:rFonts w:ascii="Times New Roman" w:cs="Times New Roman" w:eastAsia="Times New Roman" w:hAnsi="Times New Roman"/>
          <w:sz w:val="14"/>
          <w:szCs w:val="14"/>
          <w:i w:val="1"/>
          <w:iCs w:val="1"/>
          <w:color w:val="auto"/>
        </w:rPr>
        <w:t>NYSE</w:t>
      </w:r>
      <w:r>
        <w:rPr>
          <w:rFonts w:ascii="Times New Roman" w:cs="Times New Roman" w:eastAsia="Times New Roman" w:hAnsi="Times New Roman"/>
          <w:sz w:val="14"/>
          <w:szCs w:val="14"/>
          <w:color w:val="auto"/>
        </w:rPr>
        <w:t>”) under the symbol “CWEN.A.”</w:t>
      </w:r>
    </w:p>
    <w:p>
      <w:pPr>
        <w:sectPr>
          <w:pgSz w:w="11900" w:h="16838" w:orient="portrait"/>
          <w:cols w:equalWidth="0" w:num="1">
            <w:col w:w="11280"/>
          </w:cols>
          <w:pgMar w:left="300" w:top="122" w:right="31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transfer agent and registrar for the Class A common stock is Computershare Shareowner Services, LLC.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 of Class B common stock are subject to redemption at a price per share equal to par value upon the conversion of Class B units of Clearway LLC to Class A units of Clearway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Class B common stock so redeemed are automatically cancelled and are not available to be reissued.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C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ectPr>
          <w:pgSz w:w="11900" w:h="16838" w:orient="portrait"/>
          <w:cols w:equalWidth="0" w:num="1">
            <w:col w:w="11280"/>
          </w:cols>
          <w:pgMar w:left="300" w:top="122" w:right="31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Clearway Inc.’s outstanding shares of Class C common stock are entitled to receive dividends, if any, as may be declared from 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Equal Status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Except as expressly provided in Clearway Inc.’s amended and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w:t>
      </w:r>
    </w:p>
    <w:p>
      <w:pPr>
        <w:sectPr>
          <w:pgSz w:w="11900" w:h="16838" w:orient="portrait"/>
          <w:cols w:equalWidth="0" w:num="1">
            <w:col w:w="11280"/>
          </w:cols>
          <w:pgMar w:left="300" w:top="122" w:right="31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Class C common stock is listed on the NYSE under the symbol “CWEN.”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transfer agent and registrar for the Class C common stock is Computershare Shareowner Services,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D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D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Clearway Inc.’s liquidation or winding up except for their right to receive payment for the par value of their shares of Class D common stock in connection with Clearway Inc.’s liquidation.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sectPr>
          <w:pgSz w:w="11900" w:h="16838" w:orient="portrait"/>
          <w:cols w:equalWidth="0" w:num="1">
            <w:col w:w="11280"/>
          </w:cols>
          <w:pgMar w:left="300" w:top="123" w:right="31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Under Clearway Inc.’s amended and restated certificate of incorporation, Clearway Inc. is authorized to issue up to 10,000,000 shares of preferred stock, par value $0.01 per share, none of which is issued and outstanding.</w:t>
      </w:r>
    </w:p>
    <w:p>
      <w:pPr>
        <w:spacing w:after="0" w:line="8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Clearway Inc.’s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Clearway Inc.’s Certificate of Incorporation and Bylaws</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In addition to the disproportionate voting rights that Clearway Energy Group LLC (“</w:t>
      </w:r>
      <w:r>
        <w:rPr>
          <w:rFonts w:ascii="Times New Roman" w:cs="Times New Roman" w:eastAsia="Times New Roman" w:hAnsi="Times New Roman"/>
          <w:sz w:val="14"/>
          <w:szCs w:val="14"/>
          <w:i w:val="1"/>
          <w:iCs w:val="1"/>
          <w:color w:val="auto"/>
        </w:rPr>
        <w:t>CEG</w:t>
      </w:r>
      <w:r>
        <w:rPr>
          <w:rFonts w:ascii="Times New Roman" w:cs="Times New Roman" w:eastAsia="Times New Roman" w:hAnsi="Times New Roman"/>
          <w:sz w:val="14"/>
          <w:szCs w:val="14"/>
          <w:color w:val="auto"/>
        </w:rPr>
        <w:t>”) has as a result of its ownership of Class B common stock and Class D common stock, some provisions of Delaware law contain, and Clearway Inc.’s amended and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these provisions also give the Board of Directors the power to discourage acquisitions that some stockholders may favor.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Meetings and Elections of Directors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Clearway Inc.’s amended and restated certificate of incorporation provides that a special meeting of stockholders may be called only by the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a resolution adopted by the affirmative vote of a majority of the total number of directors then in office.</w:t>
      </w:r>
    </w:p>
    <w:p>
      <w:pPr>
        <w:spacing w:after="0" w:line="7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Elimination of Stockholder Action by Written Consent. </w:t>
      </w:r>
      <w:r>
        <w:rPr>
          <w:rFonts w:ascii="Times New Roman" w:cs="Times New Roman" w:eastAsia="Times New Roman" w:hAnsi="Times New Roman"/>
          <w:sz w:val="14"/>
          <w:szCs w:val="14"/>
          <w:color w:val="auto"/>
        </w:rPr>
        <w:t>Clearway Inc.’s amended and restated certificate of incorporation and its fourth amended and restated bylaws provide that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Clearway Inc.’s common stock cannot act by written consent in lieu of a meeting.</w:t>
      </w:r>
    </w:p>
    <w:p>
      <w:pPr>
        <w:spacing w:after="0" w:line="7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Vacancies. </w:t>
      </w:r>
      <w:r>
        <w:rPr>
          <w:rFonts w:ascii="Times New Roman" w:cs="Times New Roman" w:eastAsia="Times New Roman" w:hAnsi="Times New Roman"/>
          <w:sz w:val="14"/>
          <w:szCs w:val="14"/>
          <w:color w:val="auto"/>
        </w:rPr>
        <w:t>Any vacancy occurring on the Board of Directors and any newly created directorship may be filled only by a majority of the directors remaining in office (even if less than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quorum), subject to the rights of holders of any series of preferred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Amendments of Certificate of Incorporation. </w:t>
      </w:r>
      <w:r>
        <w:rPr>
          <w:rFonts w:ascii="Times New Roman" w:cs="Times New Roman" w:eastAsia="Times New Roman" w:hAnsi="Times New Roman"/>
          <w:sz w:val="14"/>
          <w:szCs w:val="14"/>
          <w:color w:val="auto"/>
        </w:rPr>
        <w:t>The provisions described above under “—Special Meetings of Stockholders,” “—Elimination of Stockholder Action by Written Consent” and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Vacancies” may be amended only by the affirmative vote of holders of at least 66 2/3% of the combined voting power of outstanding shares of Clearway Inc.’s capital stock entitled to vote in the election of directors, voting together as a single class.</w:t>
      </w:r>
    </w:p>
    <w:p>
      <w:pPr>
        <w:sectPr>
          <w:pgSz w:w="11900" w:h="16838" w:orient="portrait"/>
          <w:cols w:equalWidth="0" w:num="1">
            <w:col w:w="11280"/>
          </w:cols>
          <w:pgMar w:left="300" w:top="122" w:right="31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Amendment of Bylaws. </w:t>
      </w:r>
      <w:r>
        <w:rPr>
          <w:rFonts w:ascii="Times New Roman" w:cs="Times New Roman" w:eastAsia="Times New Roman" w:hAnsi="Times New Roman"/>
          <w:sz w:val="14"/>
          <w:szCs w:val="14"/>
          <w:color w:val="auto"/>
        </w:rPr>
        <w:t>The Board of Directors has the power to make, alter, amend, change or repeal Clearway Inc.’s bylaws or adopt new bylaws by the affirmative vote of a majority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 number of directors then in office.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Notice Provisions Relating to Stockholder Proposals and Nominees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Clearway Inc.’s fourth amended and restated bylaws.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timely, a stockholder’s notice must be received at Clearway Inc.’s principal executive offices:</w:t>
      </w:r>
    </w:p>
    <w:p>
      <w:pPr>
        <w:spacing w:after="0" w:line="136" w:lineRule="exact"/>
        <w:rPr>
          <w:sz w:val="20"/>
          <w:szCs w:val="20"/>
          <w:color w:val="auto"/>
        </w:rPr>
      </w:pPr>
    </w:p>
    <w:p>
      <w:pPr>
        <w:jc w:val="both"/>
        <w:ind w:left="520" w:hanging="260"/>
        <w:spacing w:after="0" w:line="261" w:lineRule="auto"/>
        <w:tabs>
          <w:tab w:leader="none" w:pos="5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spacing w:after="0" w:line="10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spacing w:after="0" w:line="93"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With respect to special meetings of stockholders, Clearway Inc.’s fourth amended and restated bylaws provide that only such business shall be conducted as shall have been stated in the notice of the meeting.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Inc. has opted out of Section 203 of the DGCL. However, Clearway Inc.’s amended and restated certificate of incorporation provides that in the event Global Infrastructure Investors III, LLC and its affiliates cease to beneficially own at least 5% of the total voting power of all the then outstanding shares of Clearway Inc.’s capital stock, Clearway Inc.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09" w:lineRule="exact"/>
        <w:rPr>
          <w:sz w:val="20"/>
          <w:szCs w:val="20"/>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approved either the business combination or the transaction that resulted in the stockholder becoming an interested stockholder;</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the Board of Directors and by the affirmative vote of holders of at least 66 2/3% of the outstanding voting stock that is not owned by the interested stockholder.</w:t>
      </w:r>
    </w:p>
    <w:p>
      <w:pPr>
        <w:sectPr>
          <w:pgSz w:w="11900" w:h="16838" w:orient="portrait"/>
          <w:cols w:equalWidth="0" w:num="1">
            <w:col w:w="11280"/>
          </w:cols>
          <w:pgMar w:left="300" w:top="122" w:right="31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Any amendments to Clearway Inc.’s amended and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Amended and Restated Limited Liability Company Agreement of Clearway Energy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description of the material terms of the fourth amended and restated limited liability company agreement of Clearway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and Economic Rights of Members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Clearway LLC has issued four classes of units: Class A units and Class C units, which may only be issued to Clearway Inc., as the sole managing member, and Class B units and Class D units, which may only be issued to CEG and held by CEG or its permitted assignees or permitted transferees (collectively, the “</w:t>
      </w:r>
      <w:r>
        <w:rPr>
          <w:rFonts w:ascii="Times New Roman" w:cs="Times New Roman" w:eastAsia="Times New Roman" w:hAnsi="Times New Roman"/>
          <w:sz w:val="14"/>
          <w:szCs w:val="14"/>
          <w:i w:val="1"/>
          <w:iCs w:val="1"/>
          <w:color w:val="auto"/>
        </w:rPr>
        <w:t>CEG Member</w:t>
      </w:r>
      <w:r>
        <w:rPr>
          <w:rFonts w:ascii="Times New Roman" w:cs="Times New Roman" w:eastAsia="Times New Roman" w:hAnsi="Times New Roman"/>
          <w:sz w:val="14"/>
          <w:szCs w:val="14"/>
          <w:color w:val="auto"/>
        </w:rPr>
        <w:t>”).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Exchange Agreement (as described below), and each Class D unit is exchangeable for a share of Clearway Inc.’s Class C common stock, subject to equitable adjustments for stock splits, dividends and reclassifications in accordance with the terms of the Exchange Agreement. When the CEG Member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the CEG Member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Clearway Inc. None of the units have any voting rights.</w:t>
      </w:r>
    </w:p>
    <w:p>
      <w:pPr>
        <w:sectPr>
          <w:pgSz w:w="11900" w:h="16838" w:orient="portrait"/>
          <w:cols w:equalWidth="0" w:num="1">
            <w:col w:w="11280"/>
          </w:cols>
          <w:pgMar w:left="300" w:top="122" w:right="31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Net profits and net losses and distributions by Clearway LLC are allocated and made to holders of units in accordance with the respective number of membership units of Clearway LLC held. Clearway LLC will make distributions to Clearway Inc.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Clearway Inc.’s operations are conducted primarily through Clearway Energy Operating LLC (“</w:t>
      </w:r>
      <w:r>
        <w:rPr>
          <w:rFonts w:ascii="Times New Roman" w:cs="Times New Roman" w:eastAsia="Times New Roman" w:hAnsi="Times New Roman"/>
          <w:sz w:val="14"/>
          <w:szCs w:val="14"/>
          <w:i w:val="1"/>
          <w:iCs w:val="1"/>
          <w:color w:val="auto"/>
        </w:rPr>
        <w:t>Clearway Operating LLC</w:t>
      </w:r>
      <w:r>
        <w:rPr>
          <w:rFonts w:ascii="Times New Roman" w:cs="Times New Roman" w:eastAsia="Times New Roman" w:hAnsi="Times New Roman"/>
          <w:sz w:val="14"/>
          <w:szCs w:val="14"/>
          <w:color w:val="auto"/>
        </w:rPr>
        <w:t>”), a wholly owned subsidiary of Clearway LLC, and Clearway Operating LLC’s Amended and Restated Credit Agreement restricts the ability of Clearway Operating LLC to make distributions to Clearway LLC, Clearway LLC may not have any funds available to make distributions to Clearway Inc. and CEG (including with respect to tax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Coordination of Clearway Inc. and Clearway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 any time Clearway Inc. issues a share of its Class A common stock or Class C common stock for cash, the net proceeds therefrom will promptly be transferred to Clearway LLC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LLC will either:</w:t>
      </w:r>
    </w:p>
    <w:p>
      <w:pPr>
        <w:spacing w:after="0" w:line="111" w:lineRule="exact"/>
        <w:rPr>
          <w:sz w:val="20"/>
          <w:szCs w:val="20"/>
          <w:color w:val="auto"/>
        </w:rPr>
      </w:pPr>
    </w:p>
    <w:p>
      <w:pPr>
        <w:ind w:left="520" w:right="100" w:hanging="260"/>
        <w:spacing w:after="0" w:line="254" w:lineRule="auto"/>
        <w:tabs>
          <w:tab w:leader="none" w:pos="51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the CEG Member, which Class B Units or Class D Units, as applicable, will automatically be reclassified into Class A Units or Class Units, as applicable; or</w:t>
      </w:r>
    </w:p>
    <w:p>
      <w:pPr>
        <w:spacing w:after="0" w:line="10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a portion of the net proceeds to purchase a Class B unit of Clearway LLC from the CEG Member in the case of the issuance of a share of Class A common stock, which Class B unit will automatically convert into a Class A unit of Clearway LLC when transferred to Clearway Inc. or use the net proceeds to purchase a Class D unit of Clearway LLC from the CEG Member in the case of the issuance of a share of Class C common stock, which Class D unit will automatically convert into a Class C unit of Clearway LLC when transferred to Clearway Inc.</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event Clearway LLC purchases a Class B unit or a Class D unit of Clearway LLC from the CEG Member, Clearway Inc. will concurrently redeem and cancel the corresponding share of its Class B common stock or Class D common stock, as applicable.</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Issuances and Transfer of Units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Class A units and Class C units may only be issued to Clearway Inc., as the sole managing member of Clearway LLC, and are non-transferable except upon redemption by Clearway LLC. Class B units and Class D units may only be issued to the CEG Member. Class B units and Class D units may not be transferred without Clearway Inc.’s consent, which may not be unreasonably withheld, conditioned or delayed, except the CEG Member may transfer Class B units or Class D units to any of its direct or indirect limited partners or other equityholders and to a permitted transferee (including an affiliate) without Clearway Inc.’s consent. The CEG Member may not transfer any Class B units or Class D units to any person unless the CEG Member transfers an equal number of shares of Clearway Inc.’s Class B common stock or Class D common stock, as applicable, to the same transferee.</w:t>
      </w:r>
    </w:p>
    <w:p>
      <w:pPr>
        <w:sectPr>
          <w:pgSz w:w="11900" w:h="16838" w:orient="portrait"/>
          <w:cols w:equalWidth="0" w:num="1">
            <w:col w:w="11280"/>
          </w:cols>
          <w:pgMar w:left="300" w:top="122" w:right="31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Agreement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Clearway Inc. is a party to a Second Amended and Restated Exchange Agreement with CEG and Clearway LLC, pursuant to which CEG Members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Times New Roman" w:cs="Times New Roman" w:eastAsia="Times New Roman" w:hAnsi="Times New Roman"/>
          <w:sz w:val="14"/>
          <w:szCs w:val="14"/>
          <w:i w:val="1"/>
          <w:iCs w:val="1"/>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The Exchange Agreement also provides that, subject to certain exceptions, CEG Members do not have the right to cause Clearway LLC to exchange Class B or Class D units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When a CEG Member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a CEG Member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CEG Member exchanges its Class B units for shares of Clearway Inc.’s Class A common stock, or its Class D units for shares of Clearway Inc.’s Class C common stock, Clearway Inc.’s interest in Clearway LLC will be correspondingly increased.</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Additionally, when a CEG Member exchanges a Class B unit or Class D unit of Clearway LLC, the CEG Member will pay Clearway Inc. an equitable cash settlement on the applicable exchange date for the value of certain of Clearway Inc.’s assets that are not held through Clearway LLC. The amount of any such payment will be calculated based on the net present value of the projected discounted cash flow of such assets, using a discount rate equal to the weighted average cost of capital for such assets, and the daily volume-weighted average closing price of Clearway Inc.’s Class A common stock or Class C common stock, as applicable, for the trailing 30 trading days ending on the second trading day prior to the applicable exchange date.</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 has reserved for issuance 42,738,750 shares of Clearway Inc.’s Class A common stock, which is the aggregate number of shares of Class A common stock expected to be issued over time upon the exchange of all Class B units of Clearway LLC currently outstanding, and 41,576,142 shares of Clearway Inc.’s Class C common stock, which is the aggregate number of shares of Class C common stock expected to be issued over time upon the exchange of all Class D units of Clearway LLC currently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and Exculpation</w:t>
      </w:r>
    </w:p>
    <w:p>
      <w:pPr>
        <w:spacing w:after="0" w:line="18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ectPr>
          <w:pgSz w:w="11900" w:h="16838" w:orient="portrait"/>
          <w:cols w:equalWidth="0" w:num="1">
            <w:col w:w="11280"/>
          </w:cols>
          <w:pgMar w:left="300" w:top="122" w:right="31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14"/>
          <w:szCs w:val="14"/>
          <w:b w:val="1"/>
          <w:bCs w:val="1"/>
          <w:color w:val="auto"/>
        </w:rPr>
        <w:t>Exhibit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Amended and Restated Registration Rights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Inc.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Clearway Inc.’s Class A common stock that are issuable upon exchange of Class B units of Clearway LLC that CEG owns, and for shares of Clearway Inc.’s Class C common stock that are issuable upon exchange of Class D units of Clearway LLC that CEG owns.</w:t>
      </w:r>
    </w:p>
    <w:p>
      <w:pPr>
        <w:sectPr>
          <w:pgSz w:w="11900" w:h="16838" w:orient="portrait"/>
          <w:cols w:equalWidth="0" w:num="1">
            <w:col w:w="11280"/>
          </w:cols>
          <w:pgMar w:left="300" w:top="122" w:right="319" w:bottom="1440" w:gutter="0" w:footer="0" w:header="0"/>
        </w:sectPr>
      </w:pPr>
    </w:p>
    <w:bookmarkStart w:id="358" w:name="page359"/>
    <w:bookmarkEnd w:id="358"/>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78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2011 Finance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AC Solar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Borrower 1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Borrower 2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Solar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Solar,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Landco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Realty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Realty Investments,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Vista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1-5 Holding Company,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Asset Management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IV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IV,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V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V,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X-XI TE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Apple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Arapahoe Community Solar Garden 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Arica Solar Pledgor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Arica Solar,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Avenal Park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59" w:name="page360"/>
    <w:bookmarkEnd w:id="359"/>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806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1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04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Avenal Solar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Bashaw Solar 1,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Big Lake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Cat Road Solar,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Class B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TE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Wind Force,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Wind Holding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Start Battery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Start Battery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Bluestone Solar,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BMP Wind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Broken Bow Wind,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Brook Street Solar 1,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Renewables,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Solar Portfolio,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Westex,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Buffalo Bear,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Bullock Road Solar 1,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BWC Swan Pond River,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Capistrano Portfolio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Capistrano Portfolio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Cardinal Holdings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Cardinal Investment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Cardinal JV Purchaser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Cardinal Purchaser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Energy Center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Energy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Holdco II,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Catalina Solar Investment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Catalina Solar Investment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Catalina Solar Lessee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Catalina Solar Lessee,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CBAD Holdings II,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CBAD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Class B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TE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Wind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Wind Holdings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0" w:name="page361"/>
    <w:bookmarkEnd w:id="360"/>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774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Wind,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BL Borrower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Class B Member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TE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Wind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Center St Solar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Chestnut Class 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Chestnut Fund Sub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Chisago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Clara City Solar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&amp; EFS Distributed Solar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AC Solar Holdings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Chestnut Fund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DG Lakeland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Finance Inc.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Energy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OpCo Power Marketing Holdings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OpCo Power Marketing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Solar Star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Walnut Creek II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West Holdings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CMR Solar,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Colorado Shared Solar 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Colorado Springs Solar Garden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Continental Energy,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Crofton Bluffs Wind,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CVSR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CVSR Holdings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Holdings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CWSP Rattlesnake Holding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D1-LV TargetCo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1 Class B Member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1 Pledgor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1 TE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Class 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Project Sub II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Project Sub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TargetCo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TE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3 Project Sub II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1" w:name="page362"/>
    <w:bookmarkEnd w:id="361"/>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300" w:type="dxa"/>
            <w:vAlign w:val="bottom"/>
          </w:tcPr>
          <w:p>
            <w:pPr>
              <w:spacing w:after="0"/>
              <w:rPr>
                <w:sz w:val="17"/>
                <w:szCs w:val="17"/>
                <w:color w:val="auto"/>
              </w:rPr>
            </w:pPr>
          </w:p>
        </w:tc>
        <w:tc>
          <w:tcPr>
            <w:tcW w:w="794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3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3 Project Sub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Class B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Renewable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Holdco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Investment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Power 1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Power 2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Power 3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TargetCo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TE Holdco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Class B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Parent Holdco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Parent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TargetCo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Tax Credit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Wind Force Pledgor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Wind Force,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II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250,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300,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Holdings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Investment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Berkeley Rec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Berkeley Village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Central East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Central West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Contra Costa Operations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Contra Costa Waste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Crystal Spring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Dighton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Foxborough Elm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Foxborough Landfill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Grantland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Haverhill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Imperial Admin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Imperial Building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Lathrop Louise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Lincoln Middle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Marathon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Rosedale Elementary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Rosedale Middle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2" w:name="page363"/>
    <w:bookmarkEnd w:id="362"/>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8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San Joaquin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SREC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SREC Holdings 1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Tufts Knoll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Tufts Science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Washington Middle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Webster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Holdings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Master Borrower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1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2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3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4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1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HoldCo A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HoldCo B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4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4 Sub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Holding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Dodge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Eastman Street Solar 1,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 Mirage Energy,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 Segundo Energy Center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Elbow Creek Repowering Tax Equity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Elbow Creek Wind Project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Elkhorn Holdings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Elkhorn Ridge Wind,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Enterprise Solar,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Enterprise Storage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BESS I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II,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III,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ETCAP NES CS MN 02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ETCAP NES CS MN 06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Farmington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Road Solar 1,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Forest Lake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Forward WindPower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Four Brothers Holdings,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0" w:right="299" w:bottom="1440" w:gutter="0" w:footer="0" w:header="0"/>
        </w:sectPr>
      </w:pPr>
    </w:p>
    <w:bookmarkStart w:id="363" w:name="page364"/>
    <w:bookmarkEnd w:id="363"/>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808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1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06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Four Brothers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Frontenac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FUSD Energy,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GCE Holding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Devon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Energy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Middletown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Goat Mountain Class B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Goat Mountain TE Holdco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Goat Wind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Fields Solar III,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Fields Solar IV Bess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Fields Solar IV,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Puma Fund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Grabinski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BESS East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Holdings,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Renewables,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Solar East,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Solar West,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 Plains Ranch II,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HLE Solar Holdings,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1 Holdco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1 Holdings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Class B HoldCo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Project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TargetCo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TE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HSD Solar Holdings,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Hwy 14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BESS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Holdings,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Renewables,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Solar,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Class B Holdco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Holding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Tax Equity Partnership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Wind Power,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Lanikuhana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Hawaii</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Laredo Ridge Wind,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Lenape II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Class A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4" w:name="page365"/>
    <w:bookmarkEnd w:id="364"/>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260" w:type="dxa"/>
            <w:vAlign w:val="bottom"/>
          </w:tcPr>
          <w:p>
            <w:pPr>
              <w:spacing w:after="0"/>
              <w:rPr>
                <w:sz w:val="17"/>
                <w:szCs w:val="17"/>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2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6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Holdco 2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Holding Sub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Lindberg Field Solar 1,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Lindberg Field Solar 2,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Longhorn Energy,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Lookout WindPower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Luna Valley Class B Member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Luna Valley Pledgor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Luna Valley Solar I,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Luna Valley TE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LV-Daggett Parent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LV-Daggett Parent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Mapleton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MC1 Solar Farm,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Class B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Holding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TE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Class B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Special,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Tax Equity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BL Borrower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Class B Member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I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TE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Minisink Solar 1,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Minisink Solar 2,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Iowa Wind,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Broken Bow,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Cedro,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Crofton Bluffs,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Laredo,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New Mexico,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Oklahoma,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One,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Three,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Two,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Pennsylvania,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5" w:name="page366"/>
    <w:bookmarkEnd w:id="365"/>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720" w:type="dxa"/>
            <w:vAlign w:val="bottom"/>
          </w:tcPr>
          <w:p>
            <w:pPr>
              <w:spacing w:after="0"/>
              <w:rPr>
                <w:sz w:val="17"/>
                <w:szCs w:val="17"/>
                <w:color w:val="auto"/>
              </w:rPr>
            </w:pPr>
          </w:p>
        </w:tc>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7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5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Utah,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Wyoming,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Monster Energy,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Montevideo Solar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 Hope Solar 1,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Mountain Wind Power II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Mountain Wind Power,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CA Holdco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CA Holdings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Repowering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Munich Solar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HoldCo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NIMH Solar Holdings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Northfield Holdco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NS Smith,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Renewables,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Oahu Solar Holdings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Solar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 Solar 2010,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Holdco 2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Holdco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Holdings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LP</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Old Westminster Solar 1,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Old Westminster Solar 2,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Olinda Trail Solar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Osakis Solar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Palisade Plains Development Partnership Holdco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Palisade Plains Development Partnership Holdings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Palisade Plains Development Partnership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Partridgeville Road Solar 1,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PC Dinuba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PESD Energy,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Pikes Peak Solar Garden I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CE Class A Owner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CE TargetCo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Holdco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Hybrid I,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Solar I,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TE Class A Owner LLC</w:t>
            </w:r>
          </w:p>
        </w:tc>
        <w:tc>
          <w:tcPr>
            <w:tcW w:w="35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TE Class B Owner LLC</w:t>
            </w:r>
          </w:p>
        </w:tc>
        <w:tc>
          <w:tcPr>
            <w:tcW w:w="35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0" w:right="299" w:bottom="1440" w:gutter="0" w:footer="0" w:header="0"/>
        </w:sectPr>
      </w:pPr>
    </w:p>
    <w:bookmarkStart w:id="366" w:name="page367"/>
    <w:bookmarkEnd w:id="366"/>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78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TE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Term Borrower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Island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Repowering Tax Equity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Wind,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PM Solar Holdings,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Pond Road Solar,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Portfolio Solar I,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Puma Class B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Rattlesnake Class B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Flat,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Rattlesnake TE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Redbrook Solar 1,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Canal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Solar CS4 Class B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Solar CS4 Fund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Spark 2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Repowering Partnership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Repowering Partnership II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Rollingstone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Solar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Solar Investment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South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South Investment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Class B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Project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South Class B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South TargetCo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South TE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TargetCo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TE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Rounseville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RPV Holding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RS2-Spindle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RS2-Spindle Holdings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RS2-Spindle Purchaser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Juan Mesa Investments,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 Juan Mesa Wind Project,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Sand Drag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Sartell Solar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7" w:name="page368"/>
    <w:bookmarkEnd w:id="367"/>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820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0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18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SCDA Solar 1,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SCWFD Energy,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SJA Solar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Sleeping Bear,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Alpine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Apple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AV Holdco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Avra Valley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Blythe II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Blythe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Borrego Holdco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Borrego I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Community 1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Community Holdco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CVSR Holdings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Flagstaff One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Iguana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Kansas South Holdings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Kansas South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Las Vegas MB 1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Las Vegas MB 2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Mayfair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Mule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Oasis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Roadrunner Holdings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Roadrunner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Tabernacle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Warren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Wauwinet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West Shaft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Trent Holdings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Trent Wind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Spanish Fork Wind Park 2,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Utah</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Asset Holdings,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 Holdings,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II-B,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III,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Lease Holdings,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P-IV Master Lessee,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Energy II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8" w:name="page369"/>
    <w:bookmarkEnd w:id="368"/>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Energy III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Class B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Expansion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Interconnection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TE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TE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Street Solar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1,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Stafford St Solar 2,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3,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Stearns Solar 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71"/>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Steel Bridge Solar, LLC</w:t>
            </w:r>
          </w:p>
        </w:tc>
        <w:tc>
          <w:tcPr>
            <w:tcW w:w="3700" w:type="dxa"/>
            <w:vAlign w:val="bottom"/>
            <w:tcBorders>
              <w:bottom w:val="single" w:sz="8" w:color="auto"/>
              <w:right w:val="single" w:sz="8" w:color="auto"/>
            </w:tcBorders>
            <w:shd w:val="clear" w:color="auto" w:fill="CCEEFF"/>
          </w:tcPr>
          <w:p>
            <w:pPr>
              <w:spacing w:after="0"/>
              <w:rPr>
                <w:sz w:val="14"/>
                <w:szCs w:val="14"/>
                <w:color w:val="auto"/>
              </w:rPr>
            </w:pPr>
          </w:p>
        </w:tc>
        <w:tc>
          <w:tcPr>
            <w:tcW w:w="380" w:type="dxa"/>
            <w:vAlign w:val="bottom"/>
            <w:tcBorders>
              <w:bottom w:val="single" w:sz="8" w:color="auto"/>
              <w:right w:val="single" w:sz="8" w:color="auto"/>
            </w:tcBorders>
            <w:shd w:val="clear" w:color="auto" w:fill="CCEEFF"/>
          </w:tcPr>
          <w:p>
            <w:pPr>
              <w:spacing w:after="0"/>
              <w:rPr>
                <w:sz w:val="14"/>
                <w:szCs w:val="14"/>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 City Project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 - High Desert,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Taloga Wind,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Tapestry Wind,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Texas Solar Nova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Texas Solar Nova 2,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Topeka Solar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1,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2,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4,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5,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BL Borrower Holdco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TSN1 Class B Member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TE Holdco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Tully Farms Solar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Underhill Solar,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Holdings II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Master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Master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Energy,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Victory Pass 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Victory Pass Pledgor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Viento Funding 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Viento Funding,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Class B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Parent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69" w:name="page370"/>
    <w:bookmarkEnd w:id="369"/>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77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4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Parent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TargetCo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TE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III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Waiawa Solar Power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Waipio PV,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Walnut Creek Energy,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Walnut Creek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Washington Wind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Washington Wind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Waterford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WCEP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Webster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WECAT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Wildcat Energy,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Interconnect,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Repowering Tax Equity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Wind,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Wilmarth Lane Solar 1,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Wind TE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Winona Solar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Winona Solar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WSD Solar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WV Wind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WV Wind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Zephyr Oahu Partnership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(Nos. 333-273804 and 333-289284) and Form S-8 (Nos. 333-206061, 333-190071 and 333-255727) of Clearway Energy, Inc. of our report dated February 24, 2026 relating to the financial statements, financial statement schedules and the effectiveness of internal control over financial reporting, which appears in this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950" w:right="31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3" w:lineRule="exact"/>
        <w:rPr>
          <w:sz w:val="20"/>
          <w:szCs w:val="20"/>
          <w:color w:val="auto"/>
        </w:rPr>
      </w:pPr>
    </w:p>
    <w:p>
      <w:pPr>
        <w:ind w:left="520" w:hanging="210"/>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333-206061) pertaining to the NRG Yield, Inc. 2013 Equity Incentive Plan,</w:t>
      </w:r>
    </w:p>
    <w:p>
      <w:pPr>
        <w:spacing w:after="0" w:line="36"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333-190071) pertaining to the NRG Yield, Inc. 2013 Equity Incentive Plan,</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333-255727) pertaining to the Clearway Energy, Inc. 2013 Amended and Restated Equity Incentive Plan,</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333-273804) of Clearway Energy, Inc., and</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333-289284) of Clearway Energy, Inc..</w:t>
      </w:r>
    </w:p>
    <w:p>
      <w:pPr>
        <w:spacing w:after="0" w:line="2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 dated February 22, 2024, with respect to the consolidated financial statements of Clearway Energy, Inc. included in this Annual Report (Form 10-K) of Clearway Energy, Inc. for the year ended December 31, 2025.</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950" w:right="31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Craig Cornelius, certify that:</w:t>
      </w:r>
    </w:p>
    <w:p>
      <w:pPr>
        <w:spacing w:after="0" w:line="274" w:lineRule="exact"/>
        <w:rPr>
          <w:sz w:val="20"/>
          <w:szCs w:val="20"/>
          <w:color w:val="auto"/>
        </w:rPr>
      </w:pPr>
    </w:p>
    <w:p>
      <w:pPr>
        <w:ind w:left="520" w:hanging="515"/>
        <w:spacing w:after="0"/>
        <w:tabs>
          <w:tab w:leader="none" w:pos="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266128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4">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Craig Cornelius</w:t>
      </w:r>
    </w:p>
    <w:p>
      <w:pPr>
        <w:ind w:left="58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ectPr>
          <w:pgSz w:w="11900" w:h="16838" w:orient="portrait"/>
          <w:cols w:equalWidth="0" w:num="1">
            <w:col w:w="11280"/>
          </w:cols>
          <w:pgMar w:left="300" w:top="801" w:right="31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63" w:lineRule="exact"/>
        <w:rPr>
          <w:sz w:val="20"/>
          <w:szCs w:val="20"/>
          <w:color w:val="auto"/>
        </w:rPr>
      </w:pPr>
    </w:p>
    <w:p>
      <w:pPr>
        <w:ind w:left="520" w:hanging="515"/>
        <w:spacing w:after="0"/>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14605</wp:posOffset>
            </wp:positionV>
            <wp:extent cx="282956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5">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Sarah Rubenstein</w:t>
      </w:r>
    </w:p>
    <w:p>
      <w:pPr>
        <w:ind w:left="6000"/>
        <w:spacing w:after="0" w:line="210"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6000"/>
        <w:spacing w:after="0" w:line="206"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60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ectPr>
          <w:pgSz w:w="11900" w:h="16838" w:orient="portrait"/>
          <w:cols w:equalWidth="0" w:num="1">
            <w:col w:w="11280"/>
          </w:cols>
          <w:pgMar w:left="300" w:top="727" w:right="31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Clearway Energy, Inc. on Form 10-K for the year ended December 31, 2025,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6">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7">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66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10-K or as a separate disclosure document.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lowerLetter"/>
      <w:start w:val="1"/>
    </w:lvl>
  </w:abstractNum>
  <w:abstractNum w:abstractNumId="28">
    <w:nsid w:val="39386575"/>
    <w:multiLevelType w:val="hybridMultilevel"/>
    <w:lvl w:ilvl="0">
      <w:lvlJc w:val="left"/>
      <w:lvlText w:val="(%1)"/>
      <w:numFmt w:val="lowerLetter"/>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amp;"/>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lowerLetter"/>
      <w:start w:val="2"/>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1)"/>
      <w:numFmt w:val="lowerLetter"/>
      <w:start w:val="1"/>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amp;"/>
      <w:numFmt w:val="bullet"/>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emdash "/>
      <w:numFmt w:val="bullet"/>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
      <w:numFmt w:val="bullet"/>
      <w:start w:val="1"/>
    </w:lvl>
    <w:lvl w:ilvl="1">
      <w:lvlJc w:val="left"/>
      <w:lvlText w:val="%2"/>
      <w:numFmt w:val="decimal"/>
      <w:start w:val="104"/>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1)"/>
      <w:numFmt w:val="lowerRoman"/>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46" Type="http://schemas.openxmlformats.org/officeDocument/2006/relationships/image" Target="media/image220.png"/><Relationship Id="rId256" Type="http://schemas.openxmlformats.org/officeDocument/2006/relationships/image" Target="media/image221.png"/><Relationship Id="rId258" Type="http://schemas.openxmlformats.org/officeDocument/2006/relationships/image" Target="media/image222.png"/><Relationship Id="rId270" Type="http://schemas.openxmlformats.org/officeDocument/2006/relationships/image" Target="media/image223.png"/><Relationship Id="rId290"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340" Type="http://schemas.openxmlformats.org/officeDocument/2006/relationships/image" Target="media/image263.png"/><Relationship Id="rId341" Type="http://schemas.openxmlformats.org/officeDocument/2006/relationships/image" Target="media/image264.png"/><Relationship Id="rId342" Type="http://schemas.openxmlformats.org/officeDocument/2006/relationships/image" Target="media/image265.png"/><Relationship Id="rId343" Type="http://schemas.openxmlformats.org/officeDocument/2006/relationships/image" Target="media/image266.png"/><Relationship Id="rId344" Type="http://schemas.openxmlformats.org/officeDocument/2006/relationships/image" Target="media/image267.png"/><Relationship Id="rId345" Type="http://schemas.openxmlformats.org/officeDocument/2006/relationships/image" Target="media/image268.png"/><Relationship Id="rId346" Type="http://schemas.openxmlformats.org/officeDocument/2006/relationships/image" Target="media/image269.png"/><Relationship Id="rId347" Type="http://schemas.openxmlformats.org/officeDocument/2006/relationships/image" Target="media/image270.png"/><Relationship Id="rId348" Type="http://schemas.openxmlformats.org/officeDocument/2006/relationships/image" Target="media/image271.png"/><Relationship Id="rId349" Type="http://schemas.openxmlformats.org/officeDocument/2006/relationships/image" Target="media/image272.png"/><Relationship Id="rId350" Type="http://schemas.openxmlformats.org/officeDocument/2006/relationships/image" Target="media/image273.png"/><Relationship Id="rId351" Type="http://schemas.openxmlformats.org/officeDocument/2006/relationships/image" Target="media/image274.png"/><Relationship Id="rId352" Type="http://schemas.openxmlformats.org/officeDocument/2006/relationships/image" Target="media/image275.png"/><Relationship Id="rId353" Type="http://schemas.openxmlformats.org/officeDocument/2006/relationships/image" Target="media/image276.png"/><Relationship Id="rId354" Type="http://schemas.openxmlformats.org/officeDocument/2006/relationships/image" Target="media/image277.png"/><Relationship Id="rId355" Type="http://schemas.openxmlformats.org/officeDocument/2006/relationships/image" Target="media/image278.png"/><Relationship Id="rId356" Type="http://schemas.openxmlformats.org/officeDocument/2006/relationships/image" Target="media/image279.png"/><Relationship Id="rId357" Type="http://schemas.openxmlformats.org/officeDocument/2006/relationships/image" Target="media/image280.png"/><Relationship Id="rId358" Type="http://schemas.openxmlformats.org/officeDocument/2006/relationships/image" Target="media/image281.png"/><Relationship Id="rId359" Type="http://schemas.openxmlformats.org/officeDocument/2006/relationships/image" Target="media/image282.png"/><Relationship Id="rId360" Type="http://schemas.openxmlformats.org/officeDocument/2006/relationships/image" Target="media/image283.png"/><Relationship Id="rId361" Type="http://schemas.openxmlformats.org/officeDocument/2006/relationships/image" Target="media/image284.png"/><Relationship Id="rId362" Type="http://schemas.openxmlformats.org/officeDocument/2006/relationships/image" Target="media/image285.png"/><Relationship Id="rId363" Type="http://schemas.openxmlformats.org/officeDocument/2006/relationships/image" Target="media/image286.png"/><Relationship Id="rId364" Type="http://schemas.openxmlformats.org/officeDocument/2006/relationships/image" Target="media/image287.png"/><Relationship Id="rId365" Type="http://schemas.openxmlformats.org/officeDocument/2006/relationships/image" Target="media/image288.png"/><Relationship Id="rId366" Type="http://schemas.openxmlformats.org/officeDocument/2006/relationships/image" Target="media/image289.png"/><Relationship Id="rId367" Type="http://schemas.openxmlformats.org/officeDocument/2006/relationships/image" Target="media/image290.png"/><Relationship Id="rId368" Type="http://schemas.openxmlformats.org/officeDocument/2006/relationships/image" Target="media/image291.png"/><Relationship Id="rId369" Type="http://schemas.openxmlformats.org/officeDocument/2006/relationships/image" Target="media/image292.png"/><Relationship Id="rId370" Type="http://schemas.openxmlformats.org/officeDocument/2006/relationships/image" Target="media/image293.png"/><Relationship Id="rId371" Type="http://schemas.openxmlformats.org/officeDocument/2006/relationships/image" Target="media/image294.png"/><Relationship Id="rId372" Type="http://schemas.openxmlformats.org/officeDocument/2006/relationships/image" Target="media/image295.png"/><Relationship Id="rId373" Type="http://schemas.openxmlformats.org/officeDocument/2006/relationships/image" Target="media/image296.png"/><Relationship Id="rId374" Type="http://schemas.openxmlformats.org/officeDocument/2006/relationships/image" Target="media/image297.png"/><Relationship Id="rId375" Type="http://schemas.openxmlformats.org/officeDocument/2006/relationships/image" Target="media/image298.png"/><Relationship Id="rId376" Type="http://schemas.openxmlformats.org/officeDocument/2006/relationships/image" Target="media/image299.png"/><Relationship Id="rId377" Type="http://schemas.openxmlformats.org/officeDocument/2006/relationships/image" Target="media/image300.png"/><Relationship Id="rId378" Type="http://schemas.openxmlformats.org/officeDocument/2006/relationships/image" Target="media/image301.png"/><Relationship Id="rId379" Type="http://schemas.openxmlformats.org/officeDocument/2006/relationships/image" Target="media/image302.png"/><Relationship Id="rId380" Type="http://schemas.openxmlformats.org/officeDocument/2006/relationships/image" Target="media/image303.png"/><Relationship Id="rId381" Type="http://schemas.openxmlformats.org/officeDocument/2006/relationships/image" Target="media/image304.png"/><Relationship Id="rId382" Type="http://schemas.openxmlformats.org/officeDocument/2006/relationships/image" Target="media/image305.png"/><Relationship Id="rId383" Type="http://schemas.openxmlformats.org/officeDocument/2006/relationships/image" Target="media/image306.png"/><Relationship Id="rId384" Type="http://schemas.openxmlformats.org/officeDocument/2006/relationships/image" Target="media/image307.png"/><Relationship Id="rId385" Type="http://schemas.openxmlformats.org/officeDocument/2006/relationships/image" Target="media/image308.png"/><Relationship Id="rId386" Type="http://schemas.openxmlformats.org/officeDocument/2006/relationships/image" Target="media/image309.png"/><Relationship Id="rId387" Type="http://schemas.openxmlformats.org/officeDocument/2006/relationships/image" Target="media/image310.png"/><Relationship Id="rId388" Type="http://schemas.openxmlformats.org/officeDocument/2006/relationships/image" Target="media/image311.png"/><Relationship Id="rId389" Type="http://schemas.openxmlformats.org/officeDocument/2006/relationships/image" Target="media/image312.png"/><Relationship Id="rId390" Type="http://schemas.openxmlformats.org/officeDocument/2006/relationships/image" Target="media/image313.png"/><Relationship Id="rId391" Type="http://schemas.openxmlformats.org/officeDocument/2006/relationships/image" Target="media/image314.png"/><Relationship Id="rId392" Type="http://schemas.openxmlformats.org/officeDocument/2006/relationships/image" Target="media/image315.png"/><Relationship Id="rId393" Type="http://schemas.openxmlformats.org/officeDocument/2006/relationships/image" Target="media/image316.png"/><Relationship Id="rId394" Type="http://schemas.openxmlformats.org/officeDocument/2006/relationships/image" Target="media/image317.png"/><Relationship Id="rId395" Type="http://schemas.openxmlformats.org/officeDocument/2006/relationships/image" Target="media/image318.png"/><Relationship Id="rId396" Type="http://schemas.openxmlformats.org/officeDocument/2006/relationships/image" Target="media/image319.png"/><Relationship Id="rId397" Type="http://schemas.openxmlformats.org/officeDocument/2006/relationships/image" Target="media/image320.png"/><Relationship Id="rId398" Type="http://schemas.openxmlformats.org/officeDocument/2006/relationships/image" Target="media/image321.png"/><Relationship Id="rId399" Type="http://schemas.openxmlformats.org/officeDocument/2006/relationships/image" Target="media/image322.png"/><Relationship Id="rId400" Type="http://schemas.openxmlformats.org/officeDocument/2006/relationships/image" Target="media/image323.png"/><Relationship Id="rId401" Type="http://schemas.openxmlformats.org/officeDocument/2006/relationships/image" Target="media/image324.png"/><Relationship Id="rId402" Type="http://schemas.openxmlformats.org/officeDocument/2006/relationships/image" Target="media/image325.png"/><Relationship Id="rId403" Type="http://schemas.openxmlformats.org/officeDocument/2006/relationships/image" Target="media/image326.png"/><Relationship Id="rId404" Type="http://schemas.openxmlformats.org/officeDocument/2006/relationships/image" Target="media/image327.png"/><Relationship Id="rId405" Type="http://schemas.openxmlformats.org/officeDocument/2006/relationships/image" Target="media/image328.png"/><Relationship Id="rId406" Type="http://schemas.openxmlformats.org/officeDocument/2006/relationships/image" Target="media/image329.png"/><Relationship Id="rId407" Type="http://schemas.openxmlformats.org/officeDocument/2006/relationships/image" Target="media/image330.png"/><Relationship Id="rId408" Type="http://schemas.openxmlformats.org/officeDocument/2006/relationships/image" Target="media/image331.png"/><Relationship Id="rId409" Type="http://schemas.openxmlformats.org/officeDocument/2006/relationships/image" Target="media/image332.png"/><Relationship Id="rId410" Type="http://schemas.openxmlformats.org/officeDocument/2006/relationships/image" Target="media/image333.png"/><Relationship Id="rId411" Type="http://schemas.openxmlformats.org/officeDocument/2006/relationships/image" Target="media/image334.png"/><Relationship Id="rId412" Type="http://schemas.openxmlformats.org/officeDocument/2006/relationships/image" Target="media/image335.png"/><Relationship Id="rId413" Type="http://schemas.openxmlformats.org/officeDocument/2006/relationships/image" Target="media/image336.png"/><Relationship Id="rId414" Type="http://schemas.openxmlformats.org/officeDocument/2006/relationships/image" Target="media/image337.png"/><Relationship Id="rId415" Type="http://schemas.openxmlformats.org/officeDocument/2006/relationships/image" Target="media/image338.png"/><Relationship Id="rId416" Type="http://schemas.openxmlformats.org/officeDocument/2006/relationships/image" Target="media/image339.png"/><Relationship Id="rId417" Type="http://schemas.openxmlformats.org/officeDocument/2006/relationships/image" Target="media/image340.png"/><Relationship Id="rId418" Type="http://schemas.openxmlformats.org/officeDocument/2006/relationships/image" Target="media/image341.png"/><Relationship Id="rId419" Type="http://schemas.openxmlformats.org/officeDocument/2006/relationships/image" Target="media/image342.png"/><Relationship Id="rId420" Type="http://schemas.openxmlformats.org/officeDocument/2006/relationships/image" Target="media/image343.png"/><Relationship Id="rId421" Type="http://schemas.openxmlformats.org/officeDocument/2006/relationships/image" Target="media/image344.png"/><Relationship Id="rId422" Type="http://schemas.openxmlformats.org/officeDocument/2006/relationships/image" Target="media/image345.png"/><Relationship Id="rId423" Type="http://schemas.openxmlformats.org/officeDocument/2006/relationships/image" Target="media/image346.png"/><Relationship Id="rId424" Type="http://schemas.openxmlformats.org/officeDocument/2006/relationships/image" Target="media/image347.png"/><Relationship Id="rId425" Type="http://schemas.openxmlformats.org/officeDocument/2006/relationships/image" Target="media/image348.png"/><Relationship Id="rId426" Type="http://schemas.openxmlformats.org/officeDocument/2006/relationships/image" Target="media/image349.png"/><Relationship Id="rId427" Type="http://schemas.openxmlformats.org/officeDocument/2006/relationships/image" Target="media/image350.png"/><Relationship Id="rId428" Type="http://schemas.openxmlformats.org/officeDocument/2006/relationships/image" Target="media/image351.png"/><Relationship Id="rId429" Type="http://schemas.openxmlformats.org/officeDocument/2006/relationships/image" Target="media/image352.png"/><Relationship Id="rId430" Type="http://schemas.openxmlformats.org/officeDocument/2006/relationships/image" Target="media/image353.png"/><Relationship Id="rId431" Type="http://schemas.openxmlformats.org/officeDocument/2006/relationships/image" Target="media/image354.png"/><Relationship Id="rId432" Type="http://schemas.openxmlformats.org/officeDocument/2006/relationships/image" Target="media/image355.png"/><Relationship Id="rId433" Type="http://schemas.openxmlformats.org/officeDocument/2006/relationships/image" Target="media/image356.png"/><Relationship Id="rId434" Type="http://schemas.openxmlformats.org/officeDocument/2006/relationships/image" Target="media/image357.png"/><Relationship Id="rId435" Type="http://schemas.openxmlformats.org/officeDocument/2006/relationships/image" Target="media/image358.png"/><Relationship Id="rId436" Type="http://schemas.openxmlformats.org/officeDocument/2006/relationships/image" Target="media/image359.png"/><Relationship Id="rId437" Type="http://schemas.openxmlformats.org/officeDocument/2006/relationships/image" Target="media/image360.png"/><Relationship Id="rId438" Type="http://schemas.openxmlformats.org/officeDocument/2006/relationships/image" Target="media/image361.png"/><Relationship Id="rId439" Type="http://schemas.openxmlformats.org/officeDocument/2006/relationships/image" Target="media/image362.png"/><Relationship Id="rId440" Type="http://schemas.openxmlformats.org/officeDocument/2006/relationships/image" Target="media/image363.png"/><Relationship Id="rId441" Type="http://schemas.openxmlformats.org/officeDocument/2006/relationships/image" Target="media/image364.png"/><Relationship Id="rId442" Type="http://schemas.openxmlformats.org/officeDocument/2006/relationships/image" Target="media/image365.png"/><Relationship Id="rId443" Type="http://schemas.openxmlformats.org/officeDocument/2006/relationships/image" Target="media/image366.png"/><Relationship Id="rId444" Type="http://schemas.openxmlformats.org/officeDocument/2006/relationships/image" Target="media/image367.png"/><Relationship Id="rId445" Type="http://schemas.openxmlformats.org/officeDocument/2006/relationships/image" Target="media/image368.png"/><Relationship Id="rId446" Type="http://schemas.openxmlformats.org/officeDocument/2006/relationships/image" Target="media/image369.png"/><Relationship Id="rId447" Type="http://schemas.openxmlformats.org/officeDocument/2006/relationships/image" Target="media/image370.png"/><Relationship Id="rId448" Type="http://schemas.openxmlformats.org/officeDocument/2006/relationships/image" Target="media/image371.png"/><Relationship Id="rId449" Type="http://schemas.openxmlformats.org/officeDocument/2006/relationships/image" Target="media/image372.png"/><Relationship Id="rId450" Type="http://schemas.openxmlformats.org/officeDocument/2006/relationships/image" Target="media/image373.png"/><Relationship Id="rId451" Type="http://schemas.openxmlformats.org/officeDocument/2006/relationships/image" Target="media/image374.png"/><Relationship Id="rId452" Type="http://schemas.openxmlformats.org/officeDocument/2006/relationships/image" Target="media/image375.png"/><Relationship Id="rId453" Type="http://schemas.openxmlformats.org/officeDocument/2006/relationships/image" Target="media/image376.png"/><Relationship Id="rId454" Type="http://schemas.openxmlformats.org/officeDocument/2006/relationships/image" Target="media/image377.png"/><Relationship Id="rId455" Type="http://schemas.openxmlformats.org/officeDocument/2006/relationships/image" Target="media/image378.png"/><Relationship Id="rId456" Type="http://schemas.openxmlformats.org/officeDocument/2006/relationships/image" Target="media/image379.png"/><Relationship Id="rId457" Type="http://schemas.openxmlformats.org/officeDocument/2006/relationships/image" Target="media/image380.png"/><Relationship Id="rId458" Type="http://schemas.openxmlformats.org/officeDocument/2006/relationships/image" Target="media/image381.png"/><Relationship Id="rId459" Type="http://schemas.openxmlformats.org/officeDocument/2006/relationships/image" Target="media/image382.png"/><Relationship Id="rId460" Type="http://schemas.openxmlformats.org/officeDocument/2006/relationships/image" Target="media/image383.png"/><Relationship Id="rId461" Type="http://schemas.openxmlformats.org/officeDocument/2006/relationships/image" Target="media/image384.png"/><Relationship Id="rId462" Type="http://schemas.openxmlformats.org/officeDocument/2006/relationships/image" Target="media/image385.png"/><Relationship Id="rId463" Type="http://schemas.openxmlformats.org/officeDocument/2006/relationships/image" Target="media/image386.png"/><Relationship Id="rId464" Type="http://schemas.openxmlformats.org/officeDocument/2006/relationships/image" Target="media/image387.png"/><Relationship Id="rId465" Type="http://schemas.openxmlformats.org/officeDocument/2006/relationships/image" Target="media/image388.png"/><Relationship Id="rId466" Type="http://schemas.openxmlformats.org/officeDocument/2006/relationships/image" Target="media/image389.png"/><Relationship Id="rId467" Type="http://schemas.openxmlformats.org/officeDocument/2006/relationships/image" Target="media/image390.png"/><Relationship Id="rId468" Type="http://schemas.openxmlformats.org/officeDocument/2006/relationships/image" Target="media/image391.png"/><Relationship Id="rId469" Type="http://schemas.openxmlformats.org/officeDocument/2006/relationships/image" Target="media/image392.png"/><Relationship Id="rId470" Type="http://schemas.openxmlformats.org/officeDocument/2006/relationships/image" Target="media/image393.png"/><Relationship Id="rId471" Type="http://schemas.openxmlformats.org/officeDocument/2006/relationships/image" Target="media/image394.png"/><Relationship Id="rId472" Type="http://schemas.openxmlformats.org/officeDocument/2006/relationships/image" Target="media/image395.png"/><Relationship Id="rId473" Type="http://schemas.openxmlformats.org/officeDocument/2006/relationships/image" Target="media/image396.png"/><Relationship Id="rId474" Type="http://schemas.openxmlformats.org/officeDocument/2006/relationships/image" Target="media/image397.png"/><Relationship Id="rId475" Type="http://schemas.openxmlformats.org/officeDocument/2006/relationships/image" Target="media/image398.png"/><Relationship Id="rId476" Type="http://schemas.openxmlformats.org/officeDocument/2006/relationships/image" Target="media/image399.png"/><Relationship Id="rId477" Type="http://schemas.openxmlformats.org/officeDocument/2006/relationships/image" Target="media/image400.png"/><Relationship Id="rId478" Type="http://schemas.openxmlformats.org/officeDocument/2006/relationships/image" Target="media/image401.png"/><Relationship Id="rId479" Type="http://schemas.openxmlformats.org/officeDocument/2006/relationships/image" Target="media/image402.png"/><Relationship Id="rId480" Type="http://schemas.openxmlformats.org/officeDocument/2006/relationships/image" Target="media/image403.png"/><Relationship Id="rId481" Type="http://schemas.openxmlformats.org/officeDocument/2006/relationships/image" Target="media/image404.png"/><Relationship Id="rId482" Type="http://schemas.openxmlformats.org/officeDocument/2006/relationships/image" Target="media/image405.png"/><Relationship Id="rId483" Type="http://schemas.openxmlformats.org/officeDocument/2006/relationships/image" Target="media/image406.png"/><Relationship Id="rId484" Type="http://schemas.openxmlformats.org/officeDocument/2006/relationships/image" Target="media/image407.png"/><Relationship Id="rId485" Type="http://schemas.openxmlformats.org/officeDocument/2006/relationships/image" Target="media/image408.png"/><Relationship Id="rId486" Type="http://schemas.openxmlformats.org/officeDocument/2006/relationships/image" Target="media/image409.png"/><Relationship Id="rId487" Type="http://schemas.openxmlformats.org/officeDocument/2006/relationships/image" Target="media/image410.png"/><Relationship Id="rId227" Type="http://schemas.openxmlformats.org/officeDocument/2006/relationships/hyperlink" Target="https://www.sec.gov/Archives/edgar/data/1567683/000110465920056290/tm203404d2_ex3-1.htm" TargetMode="External"/><Relationship Id="rId228" Type="http://schemas.openxmlformats.org/officeDocument/2006/relationships/hyperlink" Target="https://www.sec.gov/Archives/edgar/data/1567683/000110465918055334/a18-24111_1ex3d2.htm#Exhibit3_2_042157" TargetMode="External"/><Relationship Id="rId229" Type="http://schemas.openxmlformats.org/officeDocument/2006/relationships/hyperlink" Target="https://www.sec.gov/Archives/edgar/data/1567683/000110465918055334/a18-24111_1ex10d6.htm#Exhibit10_6_052216" TargetMode="External"/><Relationship Id="rId230" Type="http://schemas.openxmlformats.org/officeDocument/2006/relationships/hyperlink" Target="https://www.sec.gov/Archives/edgar/data/1567683/000156768319000014/exhibit_1.htm" TargetMode="External"/><Relationship Id="rId231" Type="http://schemas.openxmlformats.org/officeDocument/2006/relationships/hyperlink" Target="https://www.sec.gov/Archives/edgar/data/1567683/000156768319000014/exhibit_2.htm" TargetMode="External"/><Relationship Id="rId232" Type="http://schemas.openxmlformats.org/officeDocument/2006/relationships/hyperlink" Target="https://www.sec.gov/Archives/edgar/data/1567683/000110465919072217/tm1925069d1_ex4-1.htm" TargetMode="External"/><Relationship Id="rId233" Type="http://schemas.openxmlformats.org/officeDocument/2006/relationships/hyperlink" Target="https://www.sec.gov/Archives/edgar/data/1567683/000110465920002258/tm201233d1_ex4-3.htm" TargetMode="External"/><Relationship Id="rId234" Type="http://schemas.openxmlformats.org/officeDocument/2006/relationships/hyperlink" Target="https://www.sec.gov/Archives/edgar/data/1567683/000110465920028560/tm2011093d1_ex4-3.htm" TargetMode="External"/><Relationship Id="rId235" Type="http://schemas.openxmlformats.org/officeDocument/2006/relationships/hyperlink" Target="https://www.sec.gov/Archives/edgar/data/1567683/000110465920085304/tm2025125d1_ex4-3.htm" TargetMode="External"/><Relationship Id="rId236" Type="http://schemas.openxmlformats.org/officeDocument/2006/relationships/hyperlink" Target="https://www.sec.gov/Archives/edgar/data/1567683/000110465920097221/tm2025854d5_ex4-3.htm" TargetMode="External"/><Relationship Id="rId237" Type="http://schemas.openxmlformats.org/officeDocument/2006/relationships/hyperlink" Target="https://www.sec.gov/Archives/edgar/data/1567683/000110465920127370/tm2036452d1_ex4-3.htm" TargetMode="External"/><Relationship Id="rId238" Type="http://schemas.openxmlformats.org/officeDocument/2006/relationships/hyperlink" Target="https://www.sec.gov/Archives/edgar/data/1567683/000110465920132409/tm2037503d1_ex4-3.htm" TargetMode="External"/><Relationship Id="rId239" Type="http://schemas.openxmlformats.org/officeDocument/2006/relationships/hyperlink" Target="https://www.sec.gov/Archives/edgar/data/1567683/000110465920140147/tm2039385d1_ex4-3.htm" TargetMode="External"/><Relationship Id="rId240" Type="http://schemas.openxmlformats.org/officeDocument/2006/relationships/hyperlink" Target="https://www.sec.gov/Archives/edgar/data/1567683/000110465921012966/tm215220d2_ex4-3.htm" TargetMode="External"/><Relationship Id="rId241" Type="http://schemas.openxmlformats.org/officeDocument/2006/relationships/hyperlink" Target="https://www.sec.gov/Archives/edgar/data/0001567683/000110465921033800/tm219068d1_ex4-1.htm" TargetMode="External"/><Relationship Id="rId242" Type="http://schemas.openxmlformats.org/officeDocument/2006/relationships/hyperlink" Target="https://www.sec.gov/Archives/edgar/data/1567683/000110465921033800/tm219068d1_ex4-1.htm" TargetMode="External"/><Relationship Id="rId243" Type="http://schemas.openxmlformats.org/officeDocument/2006/relationships/hyperlink" Target="https://www.sec.gov/Archives/edgar/data/1567683/000110465921069314/tm2116590d1_ex4-2.htm" TargetMode="External"/><Relationship Id="rId244" Type="http://schemas.openxmlformats.org/officeDocument/2006/relationships/hyperlink" Target="https://www.sec.gov/Archives/edgar/data/1567683/000110465921069314/tm2116590d1_ex4-3.htm" TargetMode="External"/><Relationship Id="rId245" Type="http://schemas.openxmlformats.org/officeDocument/2006/relationships/hyperlink" Target="https://www.sec.gov/Archives/edgar/data/1567683/000110465921122073/tm2128933d1_ex4-1.htm" TargetMode="External"/><Relationship Id="rId247" Type="http://schemas.openxmlformats.org/officeDocument/2006/relationships/hyperlink" Target="https://www.sec.gov/Archives/edgar/data/1567683/000110465921124595/tm2129471d1_ex4-2.htm" TargetMode="External"/><Relationship Id="rId248" Type="http://schemas.openxmlformats.org/officeDocument/2006/relationships/hyperlink" Target="https://www.sec.gov/Archives/edgar/data/1567683/000110465921124595/tm2129471d1_ex4-3.htm" TargetMode="External"/><Relationship Id="rId249" Type="http://schemas.openxmlformats.org/officeDocument/2006/relationships/hyperlink" Target="https://www.sec.gov/Archives/edgar/data/1567683/000110465921124595/tm2129471d1_ex4-4.htm" TargetMode="External"/><Relationship Id="rId250" Type="http://schemas.openxmlformats.org/officeDocument/2006/relationships/hyperlink" Target="https://www.sec.gov/Archives/edgar/data/1567683/000110465922066895/tm2217299d1_ex4-1.htm" TargetMode="External"/><Relationship Id="rId251" Type="http://schemas.openxmlformats.org/officeDocument/2006/relationships/hyperlink" Target="https://www.sec.gov/Archives/edgar/data/1567683/000110465922066895/tm2217299d1_ex4-2.htm" TargetMode="External"/><Relationship Id="rId252" Type="http://schemas.openxmlformats.org/officeDocument/2006/relationships/hyperlink" Target="https://www.sec.gov/Archives/edgar/data/1567683/000110465922066895/tm2217299d1_ex4-3.htm" TargetMode="External"/><Relationship Id="rId253" Type="http://schemas.openxmlformats.org/officeDocument/2006/relationships/hyperlink" Target="https://www.sec.gov/Archives/edgar/data/1567683/000110465923023548/tm237375d1_ex4-1.htm" TargetMode="External"/><Relationship Id="rId254" Type="http://schemas.openxmlformats.org/officeDocument/2006/relationships/hyperlink" Target="https://www.sec.gov/Archives/edgar/data/1567683/000110465923023548/tm237375d1_ex4-2.htm" TargetMode="External"/><Relationship Id="rId255" Type="http://schemas.openxmlformats.org/officeDocument/2006/relationships/hyperlink" Target="https://www.sec.gov/Archives/edgar/data/1567683/000110465923023548/tm237375d1_ex4-3.htm" TargetMode="External"/><Relationship Id="rId257" Type="http://schemas.openxmlformats.org/officeDocument/2006/relationships/hyperlink" Target="https://www.sec.gov/Archives/edgar/data/1567683/000110465926003322/tm262986d1_ex4-1.htm" TargetMode="External"/><Relationship Id="rId259" Type="http://schemas.openxmlformats.org/officeDocument/2006/relationships/hyperlink" Target="https://www.sec.gov/Archives/edgar/data/1567683/000110465918055334/a18-24111_1ex10d4.htm#Exhibit10_4_041820" TargetMode="External"/><Relationship Id="rId260" Type="http://schemas.openxmlformats.org/officeDocument/2006/relationships/hyperlink" Target="https://www.sec.gov/Archives/edgar/data/1567683/000156768319000014/clearwayincex1010201810-k.htm" TargetMode="External"/><Relationship Id="rId261" Type="http://schemas.openxmlformats.org/officeDocument/2006/relationships/hyperlink" Target="https://www.sec.gov/Archives/edgar/data/1567683/000110465914031308/a14-11252_1ex10d1.htm" TargetMode="External"/><Relationship Id="rId262" Type="http://schemas.openxmlformats.org/officeDocument/2006/relationships/hyperlink" Target="https://www.sec.gov/Archives/edgar/data/1567683/000156768315000022/yieldincex1092015q2opllcam.htm" TargetMode="External"/><Relationship Id="rId263" Type="http://schemas.openxmlformats.org/officeDocument/2006/relationships/hyperlink" Target="https://www.sec.gov/Archives/edgar/data/1567683/000110465918008195/a18-5849_1ex10d1.htm#Exhibit10_1_093100" TargetMode="External"/><Relationship Id="rId264" Type="http://schemas.openxmlformats.org/officeDocument/2006/relationships/hyperlink" Target="https://www.sec.gov/Archives/edgar/data/1567683/000156768318000021/a101.htm" TargetMode="External"/><Relationship Id="rId265" Type="http://schemas.openxmlformats.org/officeDocument/2006/relationships/hyperlink" Target="https://www.sec.gov/Archives/edgar/data/1567683/000110465918071712/a18-41171_1ex10d1.htm#Exhibit10_1_112713" TargetMode="External"/><Relationship Id="rId266" Type="http://schemas.openxmlformats.org/officeDocument/2006/relationships/hyperlink" Target="https://www.sec.gov/Archives/edgar/data/1567683/000110465919075298/tm1926822d1_ex10-1.htm" TargetMode="External"/><Relationship Id="rId267" Type="http://schemas.openxmlformats.org/officeDocument/2006/relationships/hyperlink" Target="https://www.sec.gov/Archives/edgar/data/1567683/000110465921145441/tm2134349d1_ex10-1.htm" TargetMode="External"/><Relationship Id="rId268" Type="http://schemas.openxmlformats.org/officeDocument/2006/relationships/hyperlink" Target="https://www.sec.gov/Archives/edgar/data/1567683/000110465922092724/tm2223749d1_ex10-1.htm" TargetMode="External"/><Relationship Id="rId269" Type="http://schemas.openxmlformats.org/officeDocument/2006/relationships/hyperlink" Target="https://www.sec.gov/Archives/edgar/data/1567683/000110465923034463/tm239756d1_ex10-1.htm" TargetMode="External"/><Relationship Id="rId271" Type="http://schemas.openxmlformats.org/officeDocument/2006/relationships/hyperlink" Target="https://www.sec.gov/Archives/edgar/data/1567683/000156768319000014/clearwayincex1022201810-k.htm" TargetMode="External"/><Relationship Id="rId272" Type="http://schemas.openxmlformats.org/officeDocument/2006/relationships/hyperlink" Target="https://www.sec.gov/Archives/edgar/data/1567683/000156768319000014/clearwayincex1023201810-k.htm" TargetMode="External"/><Relationship Id="rId273" Type="http://schemas.openxmlformats.org/officeDocument/2006/relationships/hyperlink" Target="https://www.sec.gov/Archives/edgar/data/1567683/000156768319000014/clearwayincex1024201810-k.htm" TargetMode="External"/><Relationship Id="rId274" Type="http://schemas.openxmlformats.org/officeDocument/2006/relationships/hyperlink" Target="https://www.sec.gov/Archives/edgar/data/1567683/000156768318000008/yieldincex1034201710-k.htm" TargetMode="External"/><Relationship Id="rId275" Type="http://schemas.openxmlformats.org/officeDocument/2006/relationships/hyperlink" Target="https://www.sec.gov/Archives/edgar/data/1567683/000110465915038447/a15-11446_1ex10d2.htm" TargetMode="External"/><Relationship Id="rId276" Type="http://schemas.openxmlformats.org/officeDocument/2006/relationships/hyperlink" Target="https://www.sec.gov/Archives/edgar/data/1567683/000110465921108614/tm2125658d1_ex10-1.htm" TargetMode="External"/><Relationship Id="rId277" Type="http://schemas.openxmlformats.org/officeDocument/2006/relationships/hyperlink" Target="https://www.sec.gov/Archives/edgar/data/1567683/000110465921130024/tm2130927d1_ex10-1.htm" TargetMode="External"/><Relationship Id="rId278" Type="http://schemas.openxmlformats.org/officeDocument/2006/relationships/hyperlink" Target="https://www.sec.gov/Archives/edgar/data/1567683/000110465921145441/tm2134349d1_ex10-2.htm" TargetMode="External"/><Relationship Id="rId279" Type="http://schemas.openxmlformats.org/officeDocument/2006/relationships/hyperlink" Target="https://www.sec.gov/Archives/edgar/data/1567683/000110465922004681/tm222995d1_ex10-1.htm" TargetMode="External"/><Relationship Id="rId280" Type="http://schemas.openxmlformats.org/officeDocument/2006/relationships/hyperlink" Target="https://www.sec.gov/Archives/edgar/data/1567683/000110465922004681/tm222995d1_ex10-2.htm" TargetMode="External"/><Relationship Id="rId281" Type="http://schemas.openxmlformats.org/officeDocument/2006/relationships/hyperlink" Target="https://www.sec.gov/Archives/edgar/data/1567683/000156768322000016/clearwayincex10510-q2022.htm" TargetMode="External"/><Relationship Id="rId282" Type="http://schemas.openxmlformats.org/officeDocument/2006/relationships/hyperlink" Target="https://www.sec.gov/Archives/edgar/data/1567683/000156768322000016/clearwayincex10610-q2022.htm" TargetMode="External"/><Relationship Id="rId283" Type="http://schemas.openxmlformats.org/officeDocument/2006/relationships/hyperlink" Target="https://www.sec.gov/Archives/edgar/data/1567683/000156768322000016/clearwayincex10710-q2022.htm" TargetMode="External"/><Relationship Id="rId284" Type="http://schemas.openxmlformats.org/officeDocument/2006/relationships/hyperlink" Target="https://www.sec.gov/Archives/edgar/data/1567683/000110465922130953/tm2233662d1_ex10-1.htm" TargetMode="External"/><Relationship Id="rId285" Type="http://schemas.openxmlformats.org/officeDocument/2006/relationships/hyperlink" Target="https://www.sec.gov/Archives/edgar/data/1567683/000110465923064128/tm2316668d1_ex10-1.htm" TargetMode="External"/><Relationship Id="rId286" Type="http://schemas.openxmlformats.org/officeDocument/2006/relationships/hyperlink" Target="https://www.sec.gov/Archives/edgar/data/1567683/000156768324000007/ar2013equityincentivepla.htm" TargetMode="External"/><Relationship Id="rId287" Type="http://schemas.openxmlformats.org/officeDocument/2006/relationships/hyperlink" Target="https://www.sec.gov/Archives/edgar/data/1567683/000156768324000007/annualincentiveplan2024.htm" TargetMode="External"/><Relationship Id="rId288" Type="http://schemas.openxmlformats.org/officeDocument/2006/relationships/hyperlink" Target="https://www.sec.gov/Archives/edgar/data/1567683/000110465924054956/tm2413039d1_ex10-1.htm" TargetMode="External"/><Relationship Id="rId289" Type="http://schemas.openxmlformats.org/officeDocument/2006/relationships/hyperlink" Target="https://www.sec.gov/Archives/edgar/data/1567683/000110465924054956/tm2413039d1_ex10-2.htm" TargetMode="External"/><Relationship Id="rId291" Type="http://schemas.openxmlformats.org/officeDocument/2006/relationships/hyperlink" Target="https://www.sec.gov/Archives/edgar/data/1567683/000156768325000007/thirdarmsaandpayrollshar.htm" TargetMode="External"/><Relationship Id="rId292" Type="http://schemas.openxmlformats.org/officeDocument/2006/relationships/hyperlink" Target="https://www.sec.gov/Archives/edgar/data/1567683/000110465924074480/tm2418112d1_ex10-1.htm" TargetMode="External"/><Relationship Id="rId293" Type="http://schemas.openxmlformats.org/officeDocument/2006/relationships/hyperlink" Target="https://www.sec.gov/Archives/edgar/data/1567683/000110465924077514/tm2418726d1_ex10-1.htm" TargetMode="External"/><Relationship Id="rId294" Type="http://schemas.openxmlformats.org/officeDocument/2006/relationships/hyperlink" Target="https://www.sec.gov/Archives/edgar/data/1567683/000156768324000029/cwen-secondamendedandres.htm" TargetMode="External"/><Relationship Id="rId295" Type="http://schemas.openxmlformats.org/officeDocument/2006/relationships/hyperlink" Target="https://www.sec.gov/Archives/edgar/data/1567683/000110465925074522/tm2522579d1_ex1-1.htm" TargetMode="External"/><Relationship Id="rId296" Type="http://schemas.openxmlformats.org/officeDocument/2006/relationships/hyperlink" Target="https://www.sec.gov/Archives/edgar/data/1567683/000110465925097098/tm2528051d1_ex10-1.htm" TargetMode="External"/><Relationship Id="rId297" Type="http://schemas.openxmlformats.org/officeDocument/2006/relationships/hyperlink" Target="https://www.sec.gov/Archives/edgar/data/1567683/000110465925097098/tm2528051d1_ex10-2.htm" TargetMode="External"/><Relationship Id="rId298" Type="http://schemas.openxmlformats.org/officeDocument/2006/relationships/hyperlink" Target="https://www.sec.gov/Archives/edgar/data/1567683/000110465925117466/tm2532504d1_ex10-1.htm" TargetMode="External"/><Relationship Id="rId299" Type="http://schemas.openxmlformats.org/officeDocument/2006/relationships/hyperlink" Target="https://www.sec.gov/Archives/edgar/data/1567683/000110465924059889/tm2414020d1_ex16-1.htm" TargetMode="External"/><Relationship Id="rId300" Type="http://schemas.openxmlformats.org/officeDocument/2006/relationships/hyperlink" Target="https://www.sec.gov/Archives/edgar/data/1567683/000156768325000007/securitiestradingandnon-.htm" TargetMode="External"/><Relationship Id="rId301" Type="http://schemas.openxmlformats.org/officeDocument/2006/relationships/hyperlink" Target="https://www.sec.gov/ix?doc=/Archives/edgar/data/0001567683/000156768324000007/cwen-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2026-02-24T12:27:28Z</dcterms:created>
  <dcterms:modified xsi:type="dcterms:W3CDTF">2026-02-24T12:27:28Z</dcterms:modified>
</cp:coreProperties>
</file>