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Plotkin Chad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CLEARWAY ENERGY,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Clearway Energy,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CWEN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03/01/2019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43"/>
        <w:spacing w:after="0"/>
        <w:rPr>
          <w:sz w:val="20"/>
          <w:szCs w:val="20"/>
          <w:color w:val="auto"/>
        </w:rPr>
      </w:pPr>
      <w:r>
        <w:rPr>
          <w:rFonts w:ascii="Arial" w:cs="Arial" w:eastAsia="Arial" w:hAnsi="Arial"/>
          <w:sz w:val="18"/>
          <w:szCs w:val="18"/>
          <w:color w:val="0000FF"/>
        </w:rPr>
        <w:t>SVP and CFO</w:t>
      </w:r>
    </w:p>
    <w:p>
      <w:pPr>
        <w:spacing w:after="0" w:line="390"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900" w:type="dxa"/>
            <w:vAlign w:val="bottom"/>
            <w:gridSpan w:val="8"/>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240" w:type="dxa"/>
            <w:vAlign w:val="bottom"/>
          </w:tcPr>
          <w:p>
            <w:pPr>
              <w:spacing w:after="0"/>
              <w:rPr>
                <w:sz w:val="16"/>
                <w:szCs w:val="16"/>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4"/>
          </w:tcPr>
          <w:p>
            <w:pPr>
              <w:spacing w:after="0"/>
              <w:rPr>
                <w:sz w:val="20"/>
                <w:szCs w:val="20"/>
                <w:color w:val="auto"/>
              </w:rPr>
            </w:pPr>
            <w:r>
              <w:rPr>
                <w:rFonts w:ascii="Arial" w:cs="Arial" w:eastAsia="Arial" w:hAnsi="Arial"/>
                <w:sz w:val="14"/>
                <w:szCs w:val="14"/>
                <w:color w:val="auto"/>
              </w:rPr>
              <w:t>Line)</w:t>
            </w: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PRINCETON</w:t>
            </w:r>
          </w:p>
        </w:tc>
        <w:tc>
          <w:tcPr>
            <w:tcW w:w="260" w:type="dxa"/>
            <w:vAlign w:val="bottom"/>
            <w:vMerge w:val="restart"/>
          </w:tcPr>
          <w:p>
            <w:pPr>
              <w:ind w:left="40"/>
              <w:spacing w:after="0"/>
              <w:rPr>
                <w:sz w:val="20"/>
                <w:szCs w:val="20"/>
                <w:color w:val="auto"/>
              </w:rPr>
            </w:pPr>
            <w:r>
              <w:rPr>
                <w:rFonts w:ascii="Arial" w:cs="Arial" w:eastAsia="Arial" w:hAnsi="Arial"/>
                <w:sz w:val="18"/>
                <w:szCs w:val="18"/>
                <w:color w:val="0000FF"/>
                <w:w w:val="90"/>
              </w:rPr>
              <w:t>NJ</w:t>
            </w:r>
          </w:p>
        </w:tc>
        <w:tc>
          <w:tcPr>
            <w:tcW w:w="104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8"/>
                <w:szCs w:val="18"/>
                <w:color w:val="0000FF"/>
              </w:rPr>
              <w:t>08540</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5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2500" w:type="dxa"/>
            <w:vAlign w:val="bottom"/>
            <w:tcBorders>
              <w:bottom w:val="single" w:sz="8" w:color="2C2C2C"/>
            </w:tcBorders>
            <w:gridSpan w:val="6"/>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8"/>
          </w:tcPr>
          <w:p>
            <w:pPr>
              <w:jc w:val="center"/>
              <w:ind w:left="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300" w:type="dxa"/>
            <w:vAlign w:val="bottom"/>
            <w:gridSpan w:val="3"/>
          </w:tcPr>
          <w:p>
            <w:pPr>
              <w:ind w:left="2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3"/>
          </w:tcPr>
          <w:p>
            <w:pPr>
              <w:ind w:left="2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6"/>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tcPr>
          <w:p>
            <w:pPr>
              <w:ind w:left="60"/>
              <w:spacing w:after="0"/>
              <w:rPr>
                <w:sz w:val="20"/>
                <w:szCs w:val="20"/>
                <w:color w:val="auto"/>
              </w:rPr>
            </w:pPr>
            <w:r>
              <w:rPr>
                <w:rFonts w:ascii="Arial" w:cs="Arial" w:eastAsia="Arial" w:hAnsi="Arial"/>
                <w:sz w:val="18"/>
                <w:szCs w:val="18"/>
                <w:color w:val="0000FF"/>
                <w:w w:val="90"/>
              </w:rPr>
              <w:t>Class C Common Stock, par value $.01 per</w:t>
            </w:r>
          </w:p>
        </w:tc>
        <w:tc>
          <w:tcPr>
            <w:tcW w:w="1300" w:type="dxa"/>
            <w:vAlign w:val="bottom"/>
            <w:gridSpan w:val="3"/>
            <w:vMerge w:val="restart"/>
          </w:tcPr>
          <w:p>
            <w:pPr>
              <w:jc w:val="right"/>
              <w:ind w:right="98"/>
              <w:spacing w:after="0"/>
              <w:rPr>
                <w:sz w:val="20"/>
                <w:szCs w:val="20"/>
                <w:color w:val="auto"/>
              </w:rPr>
            </w:pPr>
            <w:r>
              <w:rPr>
                <w:rFonts w:ascii="Arial" w:cs="Arial" w:eastAsia="Arial" w:hAnsi="Arial"/>
                <w:sz w:val="18"/>
                <w:szCs w:val="18"/>
                <w:color w:val="0000FF"/>
              </w:rPr>
              <w:t>03/01/2019</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2"/>
                <w:szCs w:val="22"/>
                <w:color w:val="auto"/>
              </w:rPr>
            </w:pPr>
          </w:p>
        </w:tc>
        <w:tc>
          <w:tcPr>
            <w:tcW w:w="560" w:type="dxa"/>
            <w:vAlign w:val="bottom"/>
            <w:vMerge w:val="restart"/>
          </w:tcPr>
          <w:p>
            <w:pPr>
              <w:ind w:left="260"/>
              <w:spacing w:after="0"/>
              <w:rPr>
                <w:sz w:val="20"/>
                <w:szCs w:val="20"/>
                <w:color w:val="auto"/>
              </w:rPr>
            </w:pPr>
            <w:r>
              <w:rPr>
                <w:rFonts w:ascii="Arial" w:cs="Arial" w:eastAsia="Arial" w:hAnsi="Arial"/>
                <w:sz w:val="18"/>
                <w:szCs w:val="18"/>
                <w:color w:val="0000FF"/>
                <w:w w:val="93"/>
              </w:rPr>
              <w:t>793</w:t>
            </w:r>
          </w:p>
        </w:tc>
        <w:tc>
          <w:tcPr>
            <w:tcW w:w="760" w:type="dxa"/>
            <w:vAlign w:val="bottom"/>
            <w:vMerge w:val="restart"/>
          </w:tcPr>
          <w:p>
            <w:pPr>
              <w:ind w:left="440"/>
              <w:spacing w:after="0"/>
              <w:rPr>
                <w:sz w:val="20"/>
                <w:szCs w:val="20"/>
                <w:color w:val="auto"/>
              </w:rPr>
            </w:pPr>
            <w:r>
              <w:rPr>
                <w:rFonts w:ascii="Arial" w:cs="Arial" w:eastAsia="Arial" w:hAnsi="Arial"/>
                <w:sz w:val="18"/>
                <w:szCs w:val="18"/>
                <w:color w:val="0000FF"/>
              </w:rPr>
              <w:t>A</w:t>
            </w:r>
          </w:p>
        </w:tc>
        <w:tc>
          <w:tcPr>
            <w:tcW w:w="240" w:type="dxa"/>
            <w:vAlign w:val="bottom"/>
          </w:tcPr>
          <w:p>
            <w:pPr>
              <w:spacing w:after="0"/>
              <w:rPr>
                <w:sz w:val="22"/>
                <w:szCs w:val="22"/>
                <w:color w:val="auto"/>
              </w:rPr>
            </w:pPr>
          </w:p>
        </w:tc>
        <w:tc>
          <w:tcPr>
            <w:tcW w:w="140" w:type="dxa"/>
            <w:vAlign w:val="bottom"/>
            <w:gridSpan w:val="2"/>
            <w:vMerge w:val="restart"/>
          </w:tcPr>
          <w:p>
            <w:pPr>
              <w:spacing w:after="0"/>
              <w:rPr>
                <w:sz w:val="20"/>
                <w:szCs w:val="20"/>
                <w:color w:val="auto"/>
              </w:rPr>
            </w:pPr>
            <w:r>
              <w:rPr>
                <w:rFonts w:ascii="Arial" w:cs="Arial" w:eastAsia="Arial" w:hAnsi="Arial"/>
                <w:sz w:val="11"/>
                <w:szCs w:val="11"/>
                <w:color w:val="008000"/>
                <w:w w:val="88"/>
              </w:rPr>
              <w:t>(1)</w:t>
            </w:r>
          </w:p>
        </w:tc>
        <w:tc>
          <w:tcPr>
            <w:tcW w:w="1500" w:type="dxa"/>
            <w:vAlign w:val="bottom"/>
            <w:gridSpan w:val="3"/>
            <w:vMerge w:val="restart"/>
          </w:tcPr>
          <w:p>
            <w:pPr>
              <w:ind w:left="540"/>
              <w:spacing w:after="0"/>
              <w:rPr>
                <w:sz w:val="20"/>
                <w:szCs w:val="20"/>
                <w:color w:val="auto"/>
              </w:rPr>
            </w:pPr>
            <w:r>
              <w:rPr>
                <w:rFonts w:ascii="Arial" w:cs="Arial" w:eastAsia="Arial" w:hAnsi="Arial"/>
                <w:sz w:val="18"/>
                <w:szCs w:val="18"/>
                <w:color w:val="0000FF"/>
              </w:rPr>
              <w:t>31,797</w:t>
            </w:r>
            <w:r>
              <w:rPr>
                <w:rFonts w:ascii="Arial" w:cs="Arial" w:eastAsia="Arial" w:hAnsi="Arial"/>
                <w:sz w:val="22"/>
                <w:szCs w:val="22"/>
                <w:color w:val="008000"/>
                <w:vertAlign w:val="superscript"/>
              </w:rPr>
              <w:t>(2)</w:t>
            </w:r>
          </w:p>
        </w:tc>
        <w:tc>
          <w:tcPr>
            <w:tcW w:w="92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3"/>
          </w:tcPr>
          <w:p>
            <w:pPr>
              <w:spacing w:after="0"/>
              <w:rPr>
                <w:sz w:val="8"/>
                <w:szCs w:val="8"/>
                <w:color w:val="auto"/>
              </w:rPr>
            </w:pPr>
          </w:p>
        </w:tc>
        <w:tc>
          <w:tcPr>
            <w:tcW w:w="1800" w:type="dxa"/>
            <w:vAlign w:val="bottom"/>
            <w:tcBorders>
              <w:bottom w:val="single" w:sz="8" w:color="2C2C2C"/>
            </w:tcBorders>
            <w:gridSpan w:val="5"/>
          </w:tcPr>
          <w:p>
            <w:pPr>
              <w:spacing w:after="0"/>
              <w:rPr>
                <w:sz w:val="8"/>
                <w:szCs w:val="8"/>
                <w:color w:val="auto"/>
              </w:rPr>
            </w:pPr>
          </w:p>
        </w:tc>
        <w:tc>
          <w:tcPr>
            <w:tcW w:w="2500" w:type="dxa"/>
            <w:vAlign w:val="bottom"/>
            <w:tcBorders>
              <w:bottom w:val="single" w:sz="8" w:color="2C2C2C"/>
            </w:tcBorders>
            <w:gridSpan w:val="6"/>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7"/>
          </w:tcPr>
          <w:p>
            <w:pPr>
              <w:jc w:val="center"/>
              <w:ind w:left="8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80" w:type="dxa"/>
            <w:vAlign w:val="bottom"/>
            <w:gridSpan w:val="13"/>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gridSpan w:val="2"/>
          </w:tcPr>
          <w:p>
            <w:pPr>
              <w:ind w:left="5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dividend equivalent rights accrued on the Reporting Person's Restricted Stock Units ("RSUs") and Relative Performance Stock Units ("RPSUs"), which become exercisable proportionatelywith the RSUs and RPSUs to which they relate and may only be settled in Class C Common Stock of Clearway Energy, Inc. as determined by the RSU or RPSU to which they relate.</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3,739 dividend equivalent rights that may only be settled in Class C Common Stock.</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Michael A. Brown, by</w:t>
            </w:r>
          </w:p>
        </w:tc>
        <w:tc>
          <w:tcPr>
            <w:tcW w:w="3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03/05/2019</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85648"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2019-12-23T22:33:27Z</dcterms:created>
  <dcterms:modified xsi:type="dcterms:W3CDTF">2019-12-23T22:33:27Z</dcterms:modified>
</cp:coreProperties>
</file>