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302260</wp:posOffset>
            </wp:positionH>
            <wp:positionV relativeFrom="page">
              <wp:posOffset>620395</wp:posOffset>
            </wp:positionV>
            <wp:extent cx="6943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page">
              <wp:posOffset>302260</wp:posOffset>
            </wp:positionH>
            <wp:positionV relativeFrom="page">
              <wp:posOffset>517525</wp:posOffset>
            </wp:positionV>
            <wp:extent cx="69437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26035"/>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Form 10-K/A</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No. 1)</w:t>
      </w:r>
    </w:p>
    <w:p>
      <w:pPr>
        <w:spacing w:after="0" w:line="152" w:lineRule="exact"/>
        <w:rPr>
          <w:sz w:val="24"/>
          <w:szCs w:val="24"/>
          <w:color w:val="auto"/>
        </w:rPr>
      </w:pPr>
    </w:p>
    <w:p>
      <w:pPr>
        <w:ind w:left="600" w:hanging="32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92" w:lineRule="exact"/>
        <w:rPr>
          <w:sz w:val="24"/>
          <w:szCs w:val="24"/>
          <w:color w:val="auto"/>
        </w:rPr>
      </w:pPr>
    </w:p>
    <w:p>
      <w:pPr>
        <w:ind w:left="600"/>
        <w:spacing w:after="0"/>
        <w:tabs>
          <w:tab w:leader="none" w:pos="3160" w:val="left"/>
        </w:tabs>
        <w:rPr>
          <w:sz w:val="20"/>
          <w:szCs w:val="20"/>
          <w:color w:val="auto"/>
        </w:rPr>
      </w:pPr>
      <w:r>
        <w:rPr>
          <w:rFonts w:ascii="Arial" w:cs="Arial" w:eastAsia="Arial" w:hAnsi="Arial"/>
          <w:sz w:val="15"/>
          <w:szCs w:val="15"/>
          <w:b w:val="1"/>
          <w:bCs w:val="1"/>
          <w:color w:val="auto"/>
        </w:rPr>
        <w:t>For the Fiscal Year ended</w:t>
      </w:r>
      <w:r>
        <w:rPr>
          <w:sz w:val="20"/>
          <w:szCs w:val="20"/>
          <w:color w:val="auto"/>
        </w:rPr>
        <w:tab/>
      </w:r>
      <w:r>
        <w:rPr>
          <w:rFonts w:ascii="Arial" w:cs="Arial" w:eastAsia="Arial" w:hAnsi="Arial"/>
          <w:sz w:val="13"/>
          <w:szCs w:val="13"/>
          <w:b w:val="1"/>
          <w:bCs w:val="1"/>
          <w:color w:val="auto"/>
        </w:rPr>
        <w:t>December 31, 2019</w:t>
      </w:r>
    </w:p>
    <w:p>
      <w:pPr>
        <w:spacing w:after="0" w:line="256" w:lineRule="exact"/>
        <w:rPr>
          <w:sz w:val="24"/>
          <w:szCs w:val="24"/>
          <w:color w:val="auto"/>
        </w:rPr>
      </w:pPr>
    </w:p>
    <w:p>
      <w:pPr>
        <w:ind w:left="600" w:hanging="32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5"/>
          <w:szCs w:val="15"/>
          <w:b w:val="1"/>
          <w:bCs w:val="1"/>
          <w:color w:val="auto"/>
        </w:rPr>
        <w:t>TRANSITION REPORT PURSUANT TO SECTION 13 OR 15(d) OF THE SECURITIES EXCHANGE ACT OF 1934</w:t>
      </w:r>
    </w:p>
    <w:p>
      <w:pPr>
        <w:ind w:left="600"/>
        <w:spacing w:after="0"/>
        <w:tabs>
          <w:tab w:leader="none" w:pos="3480" w:val="left"/>
          <w:tab w:leader="none" w:pos="456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3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001-36002</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Clearway Energy, Inc.</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63" w:lineRule="exact"/>
        <w:rPr>
          <w:sz w:val="24"/>
          <w:szCs w:val="24"/>
          <w:color w:val="auto"/>
        </w:rPr>
      </w:pPr>
    </w:p>
    <w:tbl>
      <w:tblPr>
        <w:tblLayout w:type="fixed"/>
        <w:tblInd w:w="420" w:type="dxa"/>
        <w:tblCellMar>
          <w:top w:w="0" w:type="dxa"/>
          <w:left w:w="0" w:type="dxa"/>
          <w:bottom w:w="0" w:type="dxa"/>
          <w:right w:w="0" w:type="dxa"/>
        </w:tblCellMar>
      </w:tblPr>
      <w:tr>
        <w:trPr>
          <w:trHeight w:val="210"/>
        </w:trPr>
        <w:tc>
          <w:tcPr>
            <w:tcW w:w="3260" w:type="dxa"/>
            <w:vAlign w:val="bottom"/>
          </w:tcPr>
          <w:p>
            <w:pPr>
              <w:ind w:left="660"/>
              <w:spacing w:after="0"/>
              <w:rPr>
                <w:sz w:val="20"/>
                <w:szCs w:val="20"/>
                <w:color w:val="auto"/>
              </w:rPr>
            </w:pPr>
            <w:r>
              <w:rPr>
                <w:rFonts w:ascii="Arial" w:cs="Arial" w:eastAsia="Arial" w:hAnsi="Arial"/>
                <w:sz w:val="16"/>
                <w:szCs w:val="16"/>
                <w:b w:val="1"/>
                <w:bCs w:val="1"/>
                <w:color w:val="auto"/>
              </w:rPr>
              <w:t>Delaware</w:t>
            </w:r>
          </w:p>
        </w:tc>
        <w:tc>
          <w:tcPr>
            <w:tcW w:w="14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60" w:type="dxa"/>
            <w:vAlign w:val="bottom"/>
            <w:gridSpan w:val="2"/>
          </w:tcPr>
          <w:p>
            <w:pPr>
              <w:jc w:val="right"/>
              <w:ind w:right="1619"/>
              <w:spacing w:after="0"/>
              <w:rPr>
                <w:sz w:val="20"/>
                <w:szCs w:val="20"/>
                <w:color w:val="auto"/>
              </w:rPr>
            </w:pPr>
            <w:r>
              <w:rPr>
                <w:rFonts w:ascii="Arial" w:cs="Arial" w:eastAsia="Arial" w:hAnsi="Arial"/>
                <w:sz w:val="16"/>
                <w:szCs w:val="16"/>
                <w:b w:val="1"/>
                <w:bCs w:val="1"/>
                <w:color w:val="auto"/>
                <w:w w:val="98"/>
              </w:rPr>
              <w:t>46-1777204</w:t>
            </w:r>
          </w:p>
        </w:tc>
        <w:tc>
          <w:tcPr>
            <w:tcW w:w="0" w:type="dxa"/>
            <w:vAlign w:val="bottom"/>
          </w:tcPr>
          <w:p>
            <w:pPr>
              <w:spacing w:after="0"/>
              <w:rPr>
                <w:sz w:val="1"/>
                <w:szCs w:val="1"/>
                <w:color w:val="auto"/>
              </w:rPr>
            </w:pPr>
          </w:p>
        </w:tc>
      </w:tr>
      <w:tr>
        <w:trPr>
          <w:trHeight w:val="253"/>
        </w:trPr>
        <w:tc>
          <w:tcPr>
            <w:tcW w:w="3260" w:type="dxa"/>
            <w:vAlign w:val="bottom"/>
          </w:tcPr>
          <w:p>
            <w:pPr>
              <w:ind w:left="1260"/>
              <w:spacing w:after="0"/>
              <w:rPr>
                <w:sz w:val="20"/>
                <w:szCs w:val="20"/>
                <w:color w:val="auto"/>
              </w:rPr>
            </w:pPr>
            <w:r>
              <w:rPr>
                <w:rFonts w:ascii="Arial" w:cs="Arial" w:eastAsia="Arial" w:hAnsi="Arial"/>
                <w:sz w:val="16"/>
                <w:szCs w:val="16"/>
                <w:color w:val="auto"/>
              </w:rPr>
              <w:t>(State or other jurisdiction</w:t>
            </w:r>
          </w:p>
        </w:tc>
        <w:tc>
          <w:tcPr>
            <w:tcW w:w="14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080" w:type="dxa"/>
            <w:vAlign w:val="bottom"/>
            <w:gridSpan w:val="3"/>
          </w:tcPr>
          <w:p>
            <w:pPr>
              <w:jc w:val="center"/>
              <w:ind w:right="1039"/>
              <w:spacing w:after="0"/>
              <w:rPr>
                <w:sz w:val="20"/>
                <w:szCs w:val="20"/>
                <w:color w:val="auto"/>
              </w:rPr>
            </w:pPr>
            <w:r>
              <w:rPr>
                <w:rFonts w:ascii="Arial" w:cs="Arial" w:eastAsia="Arial" w:hAnsi="Arial"/>
                <w:sz w:val="16"/>
                <w:szCs w:val="16"/>
                <w:color w:val="auto"/>
                <w:w w:val="95"/>
              </w:rPr>
              <w:t>(I.R.S. Employer</w:t>
            </w:r>
          </w:p>
        </w:tc>
        <w:tc>
          <w:tcPr>
            <w:tcW w:w="0" w:type="dxa"/>
            <w:vAlign w:val="bottom"/>
          </w:tcPr>
          <w:p>
            <w:pPr>
              <w:spacing w:after="0"/>
              <w:rPr>
                <w:sz w:val="1"/>
                <w:szCs w:val="1"/>
                <w:color w:val="auto"/>
              </w:rPr>
            </w:pPr>
          </w:p>
        </w:tc>
      </w:tr>
      <w:tr>
        <w:trPr>
          <w:trHeight w:val="206"/>
        </w:trPr>
        <w:tc>
          <w:tcPr>
            <w:tcW w:w="3260" w:type="dxa"/>
            <w:vAlign w:val="bottom"/>
          </w:tcPr>
          <w:p>
            <w:pPr>
              <w:ind w:left="1060"/>
              <w:spacing w:after="0"/>
              <w:rPr>
                <w:sz w:val="20"/>
                <w:szCs w:val="20"/>
                <w:color w:val="auto"/>
              </w:rPr>
            </w:pPr>
            <w:r>
              <w:rPr>
                <w:rFonts w:ascii="Arial" w:cs="Arial" w:eastAsia="Arial" w:hAnsi="Arial"/>
                <w:sz w:val="16"/>
                <w:szCs w:val="16"/>
                <w:color w:val="auto"/>
                <w:w w:val="96"/>
              </w:rPr>
              <w:t>of incorporation or organization)</w:t>
            </w:r>
          </w:p>
        </w:tc>
        <w:tc>
          <w:tcPr>
            <w:tcW w:w="14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080" w:type="dxa"/>
            <w:vAlign w:val="bottom"/>
            <w:gridSpan w:val="3"/>
          </w:tcPr>
          <w:p>
            <w:pPr>
              <w:jc w:val="center"/>
              <w:ind w:right="1039"/>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526"/>
        </w:trPr>
        <w:tc>
          <w:tcPr>
            <w:tcW w:w="3260" w:type="dxa"/>
            <w:vAlign w:val="bottom"/>
          </w:tcPr>
          <w:p>
            <w:pPr>
              <w:ind w:left="1060"/>
              <w:spacing w:after="0"/>
              <w:rPr>
                <w:sz w:val="20"/>
                <w:szCs w:val="20"/>
                <w:color w:val="auto"/>
              </w:rPr>
            </w:pPr>
            <w:r>
              <w:rPr>
                <w:rFonts w:ascii="Arial" w:cs="Arial" w:eastAsia="Arial" w:hAnsi="Arial"/>
                <w:sz w:val="16"/>
                <w:szCs w:val="16"/>
                <w:b w:val="1"/>
                <w:bCs w:val="1"/>
                <w:color w:val="auto"/>
                <w:w w:val="93"/>
              </w:rPr>
              <w:t>300 Carnegie Center, Suite 300</w:t>
            </w:r>
          </w:p>
        </w:tc>
        <w:tc>
          <w:tcPr>
            <w:tcW w:w="1420" w:type="dxa"/>
            <w:vAlign w:val="bottom"/>
          </w:tcPr>
          <w:p>
            <w:pPr>
              <w:ind w:left="740"/>
              <w:spacing w:after="0"/>
              <w:rPr>
                <w:sz w:val="20"/>
                <w:szCs w:val="20"/>
                <w:color w:val="auto"/>
              </w:rPr>
            </w:pPr>
            <w:r>
              <w:rPr>
                <w:rFonts w:ascii="Arial" w:cs="Arial" w:eastAsia="Arial" w:hAnsi="Arial"/>
                <w:sz w:val="16"/>
                <w:szCs w:val="16"/>
                <w:b w:val="1"/>
                <w:bCs w:val="1"/>
                <w:color w:val="auto"/>
                <w:w w:val="89"/>
              </w:rPr>
              <w:t>Princeton</w:t>
            </w:r>
          </w:p>
        </w:tc>
        <w:tc>
          <w:tcPr>
            <w:tcW w:w="2440" w:type="dxa"/>
            <w:vAlign w:val="bottom"/>
          </w:tcPr>
          <w:p>
            <w:pPr>
              <w:ind w:left="680"/>
              <w:spacing w:after="0"/>
              <w:rPr>
                <w:sz w:val="20"/>
                <w:szCs w:val="20"/>
                <w:color w:val="auto"/>
              </w:rPr>
            </w:pPr>
            <w:r>
              <w:rPr>
                <w:rFonts w:ascii="Arial" w:cs="Arial" w:eastAsia="Arial" w:hAnsi="Arial"/>
                <w:sz w:val="16"/>
                <w:szCs w:val="16"/>
                <w:b w:val="1"/>
                <w:bCs w:val="1"/>
                <w:color w:val="auto"/>
              </w:rPr>
              <w:t>New Jersey</w:t>
            </w:r>
          </w:p>
        </w:tc>
        <w:tc>
          <w:tcPr>
            <w:tcW w:w="520" w:type="dxa"/>
            <w:vAlign w:val="bottom"/>
          </w:tcPr>
          <w:p>
            <w:pPr>
              <w:spacing w:after="0"/>
              <w:rPr>
                <w:sz w:val="24"/>
                <w:szCs w:val="24"/>
                <w:color w:val="auto"/>
              </w:rPr>
            </w:pPr>
          </w:p>
        </w:tc>
        <w:tc>
          <w:tcPr>
            <w:tcW w:w="2560" w:type="dxa"/>
            <w:vAlign w:val="bottom"/>
            <w:gridSpan w:val="2"/>
          </w:tcPr>
          <w:p>
            <w:pPr>
              <w:jc w:val="right"/>
              <w:ind w:right="1819"/>
              <w:spacing w:after="0"/>
              <w:rPr>
                <w:sz w:val="20"/>
                <w:szCs w:val="20"/>
                <w:color w:val="auto"/>
              </w:rPr>
            </w:pPr>
            <w:r>
              <w:rPr>
                <w:rFonts w:ascii="Arial" w:cs="Arial" w:eastAsia="Arial" w:hAnsi="Arial"/>
                <w:sz w:val="16"/>
                <w:szCs w:val="16"/>
                <w:b w:val="1"/>
                <w:bCs w:val="1"/>
                <w:color w:val="auto"/>
              </w:rPr>
              <w:t>08540</w:t>
            </w:r>
          </w:p>
        </w:tc>
        <w:tc>
          <w:tcPr>
            <w:tcW w:w="0" w:type="dxa"/>
            <w:vAlign w:val="bottom"/>
          </w:tcPr>
          <w:p>
            <w:pPr>
              <w:spacing w:after="0"/>
              <w:rPr>
                <w:sz w:val="1"/>
                <w:szCs w:val="1"/>
                <w:color w:val="auto"/>
              </w:rPr>
            </w:pPr>
          </w:p>
        </w:tc>
      </w:tr>
      <w:tr>
        <w:trPr>
          <w:trHeight w:val="257"/>
        </w:trPr>
        <w:tc>
          <w:tcPr>
            <w:tcW w:w="7120" w:type="dxa"/>
            <w:vAlign w:val="bottom"/>
            <w:gridSpan w:val="3"/>
          </w:tcPr>
          <w:p>
            <w:pPr>
              <w:ind w:left="2240"/>
              <w:spacing w:after="0"/>
              <w:rPr>
                <w:sz w:val="20"/>
                <w:szCs w:val="20"/>
                <w:color w:val="auto"/>
              </w:rPr>
            </w:pPr>
            <w:r>
              <w:rPr>
                <w:rFonts w:ascii="Arial" w:cs="Arial" w:eastAsia="Arial" w:hAnsi="Arial"/>
                <w:sz w:val="16"/>
                <w:szCs w:val="16"/>
                <w:color w:val="auto"/>
              </w:rPr>
              <w:t>(Address of principal executive offices)</w:t>
            </w:r>
          </w:p>
        </w:tc>
        <w:tc>
          <w:tcPr>
            <w:tcW w:w="520" w:type="dxa"/>
            <w:vAlign w:val="bottom"/>
          </w:tcPr>
          <w:p>
            <w:pPr>
              <w:spacing w:after="0"/>
              <w:rPr>
                <w:sz w:val="22"/>
                <w:szCs w:val="22"/>
                <w:color w:val="auto"/>
              </w:rPr>
            </w:pPr>
          </w:p>
        </w:tc>
        <w:tc>
          <w:tcPr>
            <w:tcW w:w="2560" w:type="dxa"/>
            <w:vAlign w:val="bottom"/>
            <w:gridSpan w:val="2"/>
          </w:tcPr>
          <w:p>
            <w:pPr>
              <w:jc w:val="center"/>
              <w:ind w:right="1559"/>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40" w:type="dxa"/>
            <w:vAlign w:val="bottom"/>
          </w:tcPr>
          <w:p>
            <w:pPr>
              <w:jc w:val="center"/>
              <w:ind w:right="1299"/>
              <w:spacing w:after="0"/>
              <w:rPr>
                <w:sz w:val="20"/>
                <w:szCs w:val="20"/>
                <w:color w:val="auto"/>
              </w:rPr>
            </w:pPr>
            <w:r>
              <w:rPr>
                <w:rFonts w:ascii="Arial" w:cs="Arial" w:eastAsia="Arial" w:hAnsi="Arial"/>
                <w:sz w:val="16"/>
                <w:szCs w:val="16"/>
                <w:b w:val="1"/>
                <w:bCs w:val="1"/>
                <w:color w:val="auto"/>
                <w:w w:val="93"/>
              </w:rPr>
              <w:t>(609) 608-1525</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3860" w:type="dxa"/>
            <w:vAlign w:val="bottom"/>
            <w:gridSpan w:val="2"/>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60" w:type="dxa"/>
            <w:vAlign w:val="bottom"/>
          </w:tcPr>
          <w:p>
            <w:pPr>
              <w:spacing w:after="0"/>
              <w:rPr>
                <w:sz w:val="17"/>
                <w:szCs w:val="17"/>
                <w:color w:val="auto"/>
              </w:rPr>
            </w:pPr>
          </w:p>
        </w:tc>
        <w:tc>
          <w:tcPr>
            <w:tcW w:w="3860" w:type="dxa"/>
            <w:vAlign w:val="bottom"/>
            <w:gridSpan w:val="2"/>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3260" w:type="dxa"/>
            <w:vAlign w:val="bottom"/>
          </w:tcPr>
          <w:p>
            <w:pPr>
              <w:ind w:left="1060"/>
              <w:spacing w:after="0"/>
              <w:rPr>
                <w:sz w:val="20"/>
                <w:szCs w:val="20"/>
                <w:color w:val="auto"/>
              </w:rPr>
            </w:pPr>
            <w:r>
              <w:rPr>
                <w:rFonts w:ascii="Arial" w:cs="Arial" w:eastAsia="Arial" w:hAnsi="Arial"/>
                <w:sz w:val="16"/>
                <w:szCs w:val="16"/>
                <w:b w:val="1"/>
                <w:bCs w:val="1"/>
                <w:color w:val="auto"/>
              </w:rPr>
              <w:t>Title of each class</w:t>
            </w:r>
          </w:p>
        </w:tc>
        <w:tc>
          <w:tcPr>
            <w:tcW w:w="38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30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0" w:type="dxa"/>
            <w:vAlign w:val="bottom"/>
          </w:tcPr>
          <w:p>
            <w:pPr>
              <w:spacing w:after="0"/>
              <w:rPr>
                <w:sz w:val="1"/>
                <w:szCs w:val="1"/>
                <w:color w:val="auto"/>
              </w:rPr>
            </w:pPr>
          </w:p>
        </w:tc>
      </w:tr>
      <w:tr>
        <w:trPr>
          <w:trHeight w:val="257"/>
        </w:trPr>
        <w:tc>
          <w:tcPr>
            <w:tcW w:w="3260" w:type="dxa"/>
            <w:vAlign w:val="bottom"/>
          </w:tcPr>
          <w:p>
            <w:pPr>
              <w:ind w:left="340"/>
              <w:spacing w:after="0"/>
              <w:rPr>
                <w:sz w:val="20"/>
                <w:szCs w:val="20"/>
                <w:color w:val="auto"/>
              </w:rPr>
            </w:pPr>
            <w:r>
              <w:rPr>
                <w:rFonts w:ascii="Arial" w:cs="Arial" w:eastAsia="Arial" w:hAnsi="Arial"/>
                <w:sz w:val="16"/>
                <w:szCs w:val="16"/>
                <w:color w:val="auto"/>
              </w:rPr>
              <w:t>Class A Common Stock, par value $0.01</w:t>
            </w:r>
          </w:p>
        </w:tc>
        <w:tc>
          <w:tcPr>
            <w:tcW w:w="1420" w:type="dxa"/>
            <w:vAlign w:val="bottom"/>
          </w:tcPr>
          <w:p>
            <w:pPr>
              <w:spacing w:after="0"/>
              <w:rPr>
                <w:sz w:val="22"/>
                <w:szCs w:val="22"/>
                <w:color w:val="auto"/>
              </w:rPr>
            </w:pPr>
          </w:p>
        </w:tc>
        <w:tc>
          <w:tcPr>
            <w:tcW w:w="2440" w:type="dxa"/>
            <w:vAlign w:val="bottom"/>
          </w:tcPr>
          <w:p>
            <w:pPr>
              <w:jc w:val="center"/>
              <w:ind w:right="1419"/>
              <w:spacing w:after="0"/>
              <w:rPr>
                <w:sz w:val="20"/>
                <w:szCs w:val="20"/>
                <w:color w:val="auto"/>
              </w:rPr>
            </w:pPr>
            <w:r>
              <w:rPr>
                <w:rFonts w:ascii="Arial" w:cs="Arial" w:eastAsia="Arial" w:hAnsi="Arial"/>
                <w:sz w:val="16"/>
                <w:szCs w:val="16"/>
                <w:color w:val="auto"/>
                <w:w w:val="96"/>
              </w:rPr>
              <w:t>CWEN.A</w:t>
            </w:r>
          </w:p>
        </w:tc>
        <w:tc>
          <w:tcPr>
            <w:tcW w:w="520" w:type="dxa"/>
            <w:vAlign w:val="bottom"/>
          </w:tcPr>
          <w:p>
            <w:pPr>
              <w:spacing w:after="0"/>
              <w:rPr>
                <w:sz w:val="22"/>
                <w:szCs w:val="22"/>
                <w:color w:val="auto"/>
              </w:rPr>
            </w:pPr>
          </w:p>
        </w:tc>
        <w:tc>
          <w:tcPr>
            <w:tcW w:w="2560" w:type="dxa"/>
            <w:vAlign w:val="bottom"/>
            <w:gridSpan w:val="2"/>
          </w:tcPr>
          <w:p>
            <w:pPr>
              <w:jc w:val="center"/>
              <w:ind w:right="379"/>
              <w:spacing w:after="0"/>
              <w:rPr>
                <w:sz w:val="20"/>
                <w:szCs w:val="20"/>
                <w:color w:val="auto"/>
              </w:rPr>
            </w:pPr>
            <w:r>
              <w:rPr>
                <w:rFonts w:ascii="Arial" w:cs="Arial" w:eastAsia="Arial" w:hAnsi="Arial"/>
                <w:sz w:val="16"/>
                <w:szCs w:val="16"/>
                <w:color w:val="auto"/>
                <w:w w:val="91"/>
              </w:rPr>
              <w:t>New York Stock Exchange</w:t>
            </w:r>
          </w:p>
        </w:tc>
        <w:tc>
          <w:tcPr>
            <w:tcW w:w="0" w:type="dxa"/>
            <w:vAlign w:val="bottom"/>
          </w:tcPr>
          <w:p>
            <w:pPr>
              <w:spacing w:after="0"/>
              <w:rPr>
                <w:sz w:val="1"/>
                <w:szCs w:val="1"/>
                <w:color w:val="auto"/>
              </w:rPr>
            </w:pPr>
          </w:p>
        </w:tc>
      </w:tr>
      <w:tr>
        <w:trPr>
          <w:trHeight w:val="257"/>
        </w:trPr>
        <w:tc>
          <w:tcPr>
            <w:tcW w:w="3260" w:type="dxa"/>
            <w:vAlign w:val="bottom"/>
          </w:tcPr>
          <w:p>
            <w:pPr>
              <w:ind w:left="340"/>
              <w:spacing w:after="0"/>
              <w:rPr>
                <w:sz w:val="20"/>
                <w:szCs w:val="20"/>
                <w:color w:val="auto"/>
              </w:rPr>
            </w:pPr>
            <w:r>
              <w:rPr>
                <w:rFonts w:ascii="Arial" w:cs="Arial" w:eastAsia="Arial" w:hAnsi="Arial"/>
                <w:sz w:val="16"/>
                <w:szCs w:val="16"/>
                <w:color w:val="auto"/>
              </w:rPr>
              <w:t>Class C Common Stock, par value $0.01</w:t>
            </w:r>
          </w:p>
        </w:tc>
        <w:tc>
          <w:tcPr>
            <w:tcW w:w="1420" w:type="dxa"/>
            <w:vAlign w:val="bottom"/>
          </w:tcPr>
          <w:p>
            <w:pPr>
              <w:spacing w:after="0"/>
              <w:rPr>
                <w:sz w:val="22"/>
                <w:szCs w:val="22"/>
                <w:color w:val="auto"/>
              </w:rPr>
            </w:pPr>
          </w:p>
        </w:tc>
        <w:tc>
          <w:tcPr>
            <w:tcW w:w="2440" w:type="dxa"/>
            <w:vAlign w:val="bottom"/>
          </w:tcPr>
          <w:p>
            <w:pPr>
              <w:jc w:val="center"/>
              <w:ind w:right="1419"/>
              <w:spacing w:after="0"/>
              <w:rPr>
                <w:sz w:val="20"/>
                <w:szCs w:val="20"/>
                <w:color w:val="auto"/>
              </w:rPr>
            </w:pPr>
            <w:r>
              <w:rPr>
                <w:rFonts w:ascii="Arial" w:cs="Arial" w:eastAsia="Arial" w:hAnsi="Arial"/>
                <w:sz w:val="16"/>
                <w:szCs w:val="16"/>
                <w:color w:val="auto"/>
                <w:w w:val="94"/>
              </w:rPr>
              <w:t>CWEN</w:t>
            </w:r>
          </w:p>
        </w:tc>
        <w:tc>
          <w:tcPr>
            <w:tcW w:w="520" w:type="dxa"/>
            <w:vAlign w:val="bottom"/>
          </w:tcPr>
          <w:p>
            <w:pPr>
              <w:spacing w:after="0"/>
              <w:rPr>
                <w:sz w:val="22"/>
                <w:szCs w:val="22"/>
                <w:color w:val="auto"/>
              </w:rPr>
            </w:pPr>
          </w:p>
        </w:tc>
        <w:tc>
          <w:tcPr>
            <w:tcW w:w="2560" w:type="dxa"/>
            <w:vAlign w:val="bottom"/>
            <w:gridSpan w:val="2"/>
          </w:tcPr>
          <w:p>
            <w:pPr>
              <w:jc w:val="center"/>
              <w:ind w:right="379"/>
              <w:spacing w:after="0"/>
              <w:rPr>
                <w:sz w:val="20"/>
                <w:szCs w:val="20"/>
                <w:color w:val="auto"/>
              </w:rPr>
            </w:pPr>
            <w:r>
              <w:rPr>
                <w:rFonts w:ascii="Arial" w:cs="Arial" w:eastAsia="Arial" w:hAnsi="Arial"/>
                <w:sz w:val="16"/>
                <w:szCs w:val="16"/>
                <w:color w:val="auto"/>
                <w:w w:val="91"/>
              </w:rPr>
              <w:t>New York Stock Exchange</w:t>
            </w:r>
          </w:p>
        </w:tc>
        <w:tc>
          <w:tcPr>
            <w:tcW w:w="0" w:type="dxa"/>
            <w:vAlign w:val="bottom"/>
          </w:tcPr>
          <w:p>
            <w:pPr>
              <w:spacing w:after="0"/>
              <w:rPr>
                <w:sz w:val="1"/>
                <w:szCs w:val="1"/>
                <w:color w:val="auto"/>
              </w:rPr>
            </w:pPr>
          </w:p>
        </w:tc>
      </w:tr>
      <w:tr>
        <w:trPr>
          <w:trHeight w:val="208"/>
        </w:trPr>
        <w:tc>
          <w:tcPr>
            <w:tcW w:w="326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b w:val="1"/>
                <w:bCs w:val="1"/>
                <w:color w:val="auto"/>
                <w:w w:val="94"/>
              </w:rPr>
              <w:t>Securities registered pursuant to Section 12(g) of the Act:</w:t>
            </w: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40" w:type="dxa"/>
            <w:vAlign w:val="bottom"/>
          </w:tcPr>
          <w:p>
            <w:pPr>
              <w:ind w:left="460"/>
              <w:spacing w:after="0"/>
              <w:rPr>
                <w:sz w:val="20"/>
                <w:szCs w:val="20"/>
                <w:color w:val="auto"/>
              </w:rPr>
            </w:pPr>
            <w:r>
              <w:rPr>
                <w:rFonts w:ascii="Arial" w:cs="Arial" w:eastAsia="Arial" w:hAnsi="Arial"/>
                <w:sz w:val="16"/>
                <w:szCs w:val="16"/>
                <w:b w:val="1"/>
                <w:bCs w:val="1"/>
                <w:color w:val="auto"/>
              </w:rPr>
              <w:t>None</w:t>
            </w:r>
          </w:p>
        </w:tc>
        <w:tc>
          <w:tcPr>
            <w:tcW w:w="520" w:type="dxa"/>
            <w:vAlign w:val="bottom"/>
          </w:tcPr>
          <w:p>
            <w:pPr>
              <w:spacing w:after="0"/>
              <w:rPr>
                <w:sz w:val="16"/>
                <w:szCs w:val="16"/>
                <w:color w:val="auto"/>
              </w:rPr>
            </w:pPr>
          </w:p>
        </w:tc>
        <w:tc>
          <w:tcPr>
            <w:tcW w:w="580" w:type="dxa"/>
            <w:vAlign w:val="bottom"/>
            <w:vMerge w:val="restart"/>
          </w:tcPr>
          <w:p>
            <w:pPr>
              <w:ind w:left="12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980" w:type="dxa"/>
            <w:vAlign w:val="bottom"/>
            <w:vMerge w:val="restart"/>
          </w:tcPr>
          <w:p>
            <w:pPr>
              <w:ind w:left="1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9"/>
        </w:trPr>
        <w:tc>
          <w:tcPr>
            <w:tcW w:w="7640" w:type="dxa"/>
            <w:vAlign w:val="bottom"/>
            <w:gridSpan w:val="4"/>
          </w:tcPr>
          <w:p>
            <w:pPr>
              <w:spacing w:after="0" w:line="159" w:lineRule="exact"/>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580" w:type="dxa"/>
            <w:vAlign w:val="bottom"/>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7640" w:type="dxa"/>
            <w:vAlign w:val="bottom"/>
            <w:gridSpan w:val="4"/>
          </w:tcPr>
          <w:p>
            <w:pPr>
              <w:spacing w:after="0"/>
              <w:rPr>
                <w:sz w:val="20"/>
                <w:szCs w:val="20"/>
                <w:color w:val="auto"/>
              </w:rPr>
            </w:pPr>
            <w:r>
              <w:rPr>
                <w:rFonts w:ascii="Arial" w:cs="Arial" w:eastAsia="Arial" w:hAnsi="Arial"/>
                <w:sz w:val="16"/>
                <w:szCs w:val="16"/>
                <w:color w:val="auto"/>
                <w:w w:val="94"/>
              </w:rPr>
              <w:t>Indicate by check mark if registrant is not required to file reports pursuant to Section 13 or Section 15(d) of the Act.</w:t>
            </w:r>
          </w:p>
        </w:tc>
        <w:tc>
          <w:tcPr>
            <w:tcW w:w="58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98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center"/>
        <w:spacing w:after="0" w:line="25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left="4480"/>
        <w:spacing w:after="0" w:line="183" w:lineRule="exact"/>
        <w:tabs>
          <w:tab w:leader="none" w:pos="5660" w:val="left"/>
          <w:tab w:leader="none" w:pos="6360" w:val="left"/>
        </w:tabs>
        <w:rPr>
          <w:sz w:val="20"/>
          <w:szCs w:val="20"/>
          <w:color w:val="auto"/>
        </w:rPr>
      </w:pPr>
      <w:r>
        <w:rPr>
          <w:rFonts w:ascii="Arial" w:cs="Arial" w:eastAsia="Arial" w:hAnsi="Arial"/>
          <w:sz w:val="16"/>
          <w:szCs w:val="16"/>
          <w:color w:val="auto"/>
        </w:rPr>
        <w:t>90 days.</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ind w:left="280"/>
        <w:spacing w:after="0" w:line="23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w:t>
      </w:r>
    </w:p>
    <w:p>
      <w:pPr>
        <w:spacing w:after="0" w:line="1" w:lineRule="exact"/>
        <w:rPr>
          <w:sz w:val="24"/>
          <w:szCs w:val="24"/>
          <w:color w:val="auto"/>
        </w:rPr>
      </w:pPr>
    </w:p>
    <w:p>
      <w:pPr>
        <w:jc w:val="right"/>
        <w:spacing w:after="0" w:line="164" w:lineRule="exact"/>
        <w:rPr>
          <w:sz w:val="20"/>
          <w:szCs w:val="20"/>
          <w:color w:val="auto"/>
        </w:rPr>
      </w:pPr>
      <w:r>
        <w:rPr>
          <w:rFonts w:ascii="Arial" w:cs="Arial" w:eastAsia="Arial" w:hAnsi="Arial"/>
          <w:sz w:val="15"/>
          <w:szCs w:val="15"/>
          <w:color w:val="auto"/>
        </w:rPr>
        <w:t xml:space="preserve">(§232.405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rPr>
          <w:sz w:val="20"/>
          <w:szCs w:val="20"/>
          <w:color w:val="auto"/>
        </w:rPr>
      </w:pPr>
      <w:r>
        <w:rPr>
          <w:rFonts w:ascii="Arial" w:cs="Arial" w:eastAsia="Arial" w:hAnsi="Arial"/>
          <w:sz w:val="16"/>
          <w:szCs w:val="16"/>
          <w:color w:val="auto"/>
        </w:rPr>
        <w:t>Act.</w:t>
      </w:r>
    </w:p>
    <w:p>
      <w:pPr>
        <w:spacing w:after="0" w:line="285"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220" w:type="dxa"/>
            <w:vAlign w:val="bottom"/>
          </w:tcPr>
          <w:p>
            <w:pPr>
              <w:jc w:val="center"/>
              <w:ind w:right="699"/>
              <w:spacing w:after="0"/>
              <w:rPr>
                <w:sz w:val="20"/>
                <w:szCs w:val="20"/>
                <w:color w:val="auto"/>
              </w:rPr>
            </w:pPr>
            <w:r>
              <w:rPr>
                <w:rFonts w:ascii="Arial" w:cs="Arial" w:eastAsia="Arial" w:hAnsi="Arial"/>
                <w:sz w:val="16"/>
                <w:szCs w:val="16"/>
                <w:color w:val="auto"/>
                <w:w w:val="90"/>
              </w:rPr>
              <w:t>Large accelerated filer</w:t>
            </w:r>
          </w:p>
        </w:tc>
        <w:tc>
          <w:tcPr>
            <w:tcW w:w="15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58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20" w:type="dxa"/>
            <w:vAlign w:val="bottom"/>
          </w:tcPr>
          <w:p>
            <w:pPr>
              <w:jc w:val="center"/>
              <w:ind w:right="679"/>
              <w:spacing w:after="0"/>
              <w:rPr>
                <w:sz w:val="20"/>
                <w:szCs w:val="20"/>
                <w:color w:val="auto"/>
              </w:rPr>
            </w:pPr>
            <w:r>
              <w:rPr>
                <w:rFonts w:ascii="Arial" w:cs="Arial" w:eastAsia="Arial" w:hAnsi="Arial"/>
                <w:sz w:val="16"/>
                <w:szCs w:val="16"/>
                <w:color w:val="auto"/>
                <w:w w:val="93"/>
              </w:rPr>
              <w:t>Non-accelerated filer</w:t>
            </w:r>
          </w:p>
        </w:tc>
        <w:tc>
          <w:tcPr>
            <w:tcW w:w="15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58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0" w:type="dxa"/>
            <w:vAlign w:val="bottom"/>
          </w:tcPr>
          <w:p>
            <w:pPr>
              <w:ind w:left="58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ind w:left="260"/>
        <w:spacing w:after="0" w:line="184" w:lineRule="exact"/>
        <w:tabs>
          <w:tab w:leader="none" w:pos="7060" w:val="left"/>
          <w:tab w:leader="none" w:pos="76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49" w:lineRule="exact"/>
        <w:rPr>
          <w:sz w:val="24"/>
          <w:szCs w:val="24"/>
          <w:color w:val="auto"/>
        </w:rPr>
      </w:pPr>
    </w:p>
    <w:p>
      <w:pPr>
        <w:ind w:right="20" w:firstLine="243"/>
        <w:spacing w:after="0" w:line="246" w:lineRule="auto"/>
        <w:rPr>
          <w:sz w:val="20"/>
          <w:szCs w:val="20"/>
          <w:color w:val="auto"/>
        </w:rPr>
      </w:pPr>
      <w:r>
        <w:rPr>
          <w:rFonts w:ascii="Arial" w:cs="Arial" w:eastAsia="Arial" w:hAnsi="Arial"/>
          <w:sz w:val="16"/>
          <w:szCs w:val="16"/>
          <w:color w:val="auto"/>
        </w:rPr>
        <w:t>As of the last business day of the most recently completed second fiscal quarter, the aggregate market value of the common stock of the registrant held by non-affiliates was approximately$1,788,899,961 based on the closing sale prices of such shares as reported on the New York Stock Exchange.</w:t>
      </w:r>
    </w:p>
    <w:p>
      <w:pPr>
        <w:spacing w:after="0" w:line="1"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163" w:lineRule="exact"/>
        <w:rPr>
          <w:sz w:val="24"/>
          <w:szCs w:val="24"/>
          <w:color w:val="auto"/>
        </w:rPr>
      </w:pPr>
    </w:p>
    <w:tbl>
      <w:tblPr>
        <w:tblLayout w:type="fixed"/>
        <w:tblInd w:w="120" w:type="dxa"/>
        <w:tblCellMar>
          <w:top w:w="0" w:type="dxa"/>
          <w:left w:w="0" w:type="dxa"/>
          <w:bottom w:w="0" w:type="dxa"/>
          <w:right w:w="0" w:type="dxa"/>
        </w:tblCellMar>
      </w:tblPr>
      <w:tr>
        <w:trPr>
          <w:trHeight w:val="210"/>
        </w:trPr>
        <w:tc>
          <w:tcPr>
            <w:tcW w:w="3840" w:type="dxa"/>
            <w:vAlign w:val="bottom"/>
          </w:tcPr>
          <w:p>
            <w:pPr>
              <w:jc w:val="center"/>
              <w:ind w:right="439"/>
              <w:spacing w:after="0"/>
              <w:rPr>
                <w:sz w:val="20"/>
                <w:szCs w:val="20"/>
                <w:color w:val="auto"/>
              </w:rPr>
            </w:pPr>
            <w:r>
              <w:rPr>
                <w:rFonts w:ascii="Arial" w:cs="Arial" w:eastAsia="Arial" w:hAnsi="Arial"/>
                <w:sz w:val="16"/>
                <w:szCs w:val="16"/>
                <w:b w:val="1"/>
                <w:bCs w:val="1"/>
                <w:color w:val="auto"/>
                <w:w w:val="84"/>
              </w:rPr>
              <w:t>Class</w:t>
            </w:r>
          </w:p>
        </w:tc>
        <w:tc>
          <w:tcPr>
            <w:tcW w:w="2680" w:type="dxa"/>
            <w:vAlign w:val="bottom"/>
          </w:tcPr>
          <w:p>
            <w:pPr>
              <w:ind w:left="520"/>
              <w:spacing w:after="0"/>
              <w:rPr>
                <w:sz w:val="20"/>
                <w:szCs w:val="20"/>
                <w:color w:val="auto"/>
              </w:rPr>
            </w:pPr>
            <w:r>
              <w:rPr>
                <w:rFonts w:ascii="Arial" w:cs="Arial" w:eastAsia="Arial" w:hAnsi="Arial"/>
                <w:sz w:val="16"/>
                <w:szCs w:val="16"/>
                <w:b w:val="1"/>
                <w:bCs w:val="1"/>
                <w:color w:val="auto"/>
                <w:w w:val="92"/>
              </w:rPr>
              <w:t>Outstanding at March 24, 2020</w:t>
            </w:r>
          </w:p>
        </w:tc>
      </w:tr>
      <w:tr>
        <w:trPr>
          <w:trHeight w:val="270"/>
        </w:trPr>
        <w:tc>
          <w:tcPr>
            <w:tcW w:w="3840" w:type="dxa"/>
            <w:vAlign w:val="bottom"/>
          </w:tcPr>
          <w:p>
            <w:pPr>
              <w:jc w:val="center"/>
              <w:ind w:right="439"/>
              <w:spacing w:after="0"/>
              <w:rPr>
                <w:sz w:val="20"/>
                <w:szCs w:val="20"/>
                <w:color w:val="auto"/>
              </w:rPr>
            </w:pPr>
            <w:r>
              <w:rPr>
                <w:rFonts w:ascii="Arial" w:cs="Arial" w:eastAsia="Arial" w:hAnsi="Arial"/>
                <w:sz w:val="16"/>
                <w:szCs w:val="16"/>
                <w:color w:val="auto"/>
                <w:w w:val="91"/>
              </w:rPr>
              <w:t>Common Stock, Class A, par value $0.01 per share</w:t>
            </w:r>
          </w:p>
        </w:tc>
        <w:tc>
          <w:tcPr>
            <w:tcW w:w="2680" w:type="dxa"/>
            <w:vAlign w:val="bottom"/>
          </w:tcPr>
          <w:p>
            <w:pPr>
              <w:jc w:val="center"/>
              <w:ind w:left="441"/>
              <w:spacing w:after="0"/>
              <w:rPr>
                <w:sz w:val="20"/>
                <w:szCs w:val="20"/>
                <w:color w:val="auto"/>
              </w:rPr>
            </w:pPr>
            <w:r>
              <w:rPr>
                <w:rFonts w:ascii="Arial" w:cs="Arial" w:eastAsia="Arial" w:hAnsi="Arial"/>
                <w:sz w:val="16"/>
                <w:szCs w:val="16"/>
                <w:color w:val="auto"/>
                <w:w w:val="89"/>
              </w:rPr>
              <w:t>34,599,645</w:t>
            </w:r>
          </w:p>
        </w:tc>
      </w:tr>
      <w:tr>
        <w:trPr>
          <w:trHeight w:val="270"/>
        </w:trPr>
        <w:tc>
          <w:tcPr>
            <w:tcW w:w="3840" w:type="dxa"/>
            <w:vAlign w:val="bottom"/>
          </w:tcPr>
          <w:p>
            <w:pPr>
              <w:jc w:val="center"/>
              <w:ind w:right="439"/>
              <w:spacing w:after="0"/>
              <w:rPr>
                <w:sz w:val="20"/>
                <w:szCs w:val="20"/>
                <w:color w:val="auto"/>
              </w:rPr>
            </w:pPr>
            <w:r>
              <w:rPr>
                <w:rFonts w:ascii="Arial" w:cs="Arial" w:eastAsia="Arial" w:hAnsi="Arial"/>
                <w:sz w:val="16"/>
                <w:szCs w:val="16"/>
                <w:color w:val="auto"/>
                <w:w w:val="91"/>
              </w:rPr>
              <w:t>Common Stock, Class B, par value $0.01 per share</w:t>
            </w:r>
          </w:p>
        </w:tc>
        <w:tc>
          <w:tcPr>
            <w:tcW w:w="2680" w:type="dxa"/>
            <w:vAlign w:val="bottom"/>
          </w:tcPr>
          <w:p>
            <w:pPr>
              <w:jc w:val="center"/>
              <w:ind w:left="441"/>
              <w:spacing w:after="0"/>
              <w:rPr>
                <w:sz w:val="20"/>
                <w:szCs w:val="20"/>
                <w:color w:val="auto"/>
              </w:rPr>
            </w:pPr>
            <w:r>
              <w:rPr>
                <w:rFonts w:ascii="Arial" w:cs="Arial" w:eastAsia="Arial" w:hAnsi="Arial"/>
                <w:sz w:val="16"/>
                <w:szCs w:val="16"/>
                <w:color w:val="auto"/>
                <w:w w:val="89"/>
              </w:rPr>
              <w:t>42,738,750</w:t>
            </w:r>
          </w:p>
        </w:tc>
      </w:tr>
      <w:tr>
        <w:trPr>
          <w:trHeight w:val="291"/>
        </w:trPr>
        <w:tc>
          <w:tcPr>
            <w:tcW w:w="3840" w:type="dxa"/>
            <w:vAlign w:val="bottom"/>
          </w:tcPr>
          <w:p>
            <w:pPr>
              <w:jc w:val="center"/>
              <w:ind w:right="439"/>
              <w:spacing w:after="0"/>
              <w:rPr>
                <w:sz w:val="20"/>
                <w:szCs w:val="20"/>
                <w:color w:val="auto"/>
              </w:rPr>
            </w:pPr>
            <w:r>
              <w:rPr>
                <w:rFonts w:ascii="Arial" w:cs="Arial" w:eastAsia="Arial" w:hAnsi="Arial"/>
                <w:sz w:val="16"/>
                <w:szCs w:val="16"/>
                <w:color w:val="auto"/>
                <w:w w:val="90"/>
              </w:rPr>
              <w:t>Common Stock, Class C, par value $0.01 per share</w:t>
            </w:r>
          </w:p>
        </w:tc>
        <w:tc>
          <w:tcPr>
            <w:tcW w:w="2680" w:type="dxa"/>
            <w:vAlign w:val="bottom"/>
          </w:tcPr>
          <w:p>
            <w:pPr>
              <w:jc w:val="center"/>
              <w:ind w:left="441"/>
              <w:spacing w:after="0"/>
              <w:rPr>
                <w:sz w:val="20"/>
                <w:szCs w:val="20"/>
                <w:color w:val="auto"/>
              </w:rPr>
            </w:pPr>
            <w:r>
              <w:rPr>
                <w:rFonts w:ascii="Arial" w:cs="Arial" w:eastAsia="Arial" w:hAnsi="Arial"/>
                <w:sz w:val="14"/>
                <w:szCs w:val="14"/>
                <w:color w:val="auto"/>
                <w:w w:val="91"/>
              </w:rPr>
              <w:t>79,329,761</w:t>
            </w:r>
          </w:p>
        </w:tc>
      </w:tr>
      <w:tr>
        <w:trPr>
          <w:trHeight w:val="249"/>
        </w:trPr>
        <w:tc>
          <w:tcPr>
            <w:tcW w:w="3840" w:type="dxa"/>
            <w:vAlign w:val="bottom"/>
          </w:tcPr>
          <w:p>
            <w:pPr>
              <w:jc w:val="center"/>
              <w:ind w:right="439"/>
              <w:spacing w:after="0"/>
              <w:rPr>
                <w:sz w:val="20"/>
                <w:szCs w:val="20"/>
                <w:color w:val="auto"/>
              </w:rPr>
            </w:pPr>
            <w:r>
              <w:rPr>
                <w:rFonts w:ascii="Arial" w:cs="Arial" w:eastAsia="Arial" w:hAnsi="Arial"/>
                <w:sz w:val="16"/>
                <w:szCs w:val="16"/>
                <w:color w:val="auto"/>
                <w:w w:val="90"/>
              </w:rPr>
              <w:t>Common Stock, Class D, par value $0.01 per share</w:t>
            </w:r>
          </w:p>
        </w:tc>
        <w:tc>
          <w:tcPr>
            <w:tcW w:w="2680" w:type="dxa"/>
            <w:vAlign w:val="bottom"/>
          </w:tcPr>
          <w:p>
            <w:pPr>
              <w:jc w:val="center"/>
              <w:ind w:left="441"/>
              <w:spacing w:after="0"/>
              <w:rPr>
                <w:sz w:val="20"/>
                <w:szCs w:val="20"/>
                <w:color w:val="auto"/>
              </w:rPr>
            </w:pPr>
            <w:r>
              <w:rPr>
                <w:rFonts w:ascii="Arial" w:cs="Arial" w:eastAsia="Arial" w:hAnsi="Arial"/>
                <w:sz w:val="16"/>
                <w:szCs w:val="16"/>
                <w:color w:val="auto"/>
                <w:w w:val="89"/>
              </w:rPr>
              <w:t>42,738,750</w:t>
            </w:r>
          </w:p>
        </w:tc>
      </w:tr>
    </w:tbl>
    <w:p>
      <w:pPr>
        <w:spacing w:after="0" w:line="3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Portions of the Registrant's Definitive Proxy Statement relating to its 2020 Annual Meeting of Stockholders, filed on March 17, 2020</w:t>
      </w:r>
    </w:p>
    <w:p>
      <w:pPr>
        <w:spacing w:after="0" w:line="2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are incorporated by reference into Part III of the Registrant's Annual Report on Form 10-K, filed on March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wp:posOffset>
            </wp:positionH>
            <wp:positionV relativeFrom="paragraph">
              <wp:posOffset>203835</wp:posOffset>
            </wp:positionV>
            <wp:extent cx="694372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3725" cy="2603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118110</wp:posOffset>
            </wp:positionV>
            <wp:extent cx="6943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1084" w:right="339" w:bottom="109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084" w:right="339" w:bottom="1095" w:gutter="0" w:footer="0" w:header="0"/>
          <w:type w:val="continuous"/>
        </w:sectPr>
      </w:pPr>
    </w:p>
    <w:bookmarkStart w:id="1" w:name="page2"/>
    <w:bookmarkEnd w:id="1"/>
    <w:p>
      <w:pPr>
        <w:jc w:val="center"/>
        <w:ind w:left="400"/>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March 2, 2020, Clearway Energy, Inc. (the "Company") filed with the Securities and Exchange Commission its Annual Report on Form 10-K for the year ended December 31, 2019.</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This Amendment No. 1 to Form 10-K (this "Amendment") of the Company is being filed solely to amend Item 15 of Part IV to include the consolidated financial statements of DGPV Holdco 3 LLC and Subsidiaries ("DGPV Holdco 3") as required under Rule 3-09 of Regulation S-X. The financial statements of DGPV Holdco 3 for its fiscal year ended December 31, 2019 were not available at the time the Company filed its Annual Report on Form 10-K. The required financial statements are now provided as Exhibit 99.1 to this Amendment.</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Item 15(c) is the only portion of the Company's Annual Report on Form 10-K being supplemented or amended by this Amendment. Except as set forth herein, this Amendment does not change or update any other information set forth in the original filing of the Company's Annual Report on Form 10-K for the year ended December 31, 2019, and does not reflect events occurring after the original filing of the Company's Annual Report on Form 10-K for the year ended December 31, 2019. This Amendment consists solely of the preceding cover page, this explanatory note, the information required by Item 15(c) of Form 10-K as provided in Exhibit 99.1, an updated exhibit index, a signature page, the accountants' consent for DGPV Holdco 3 and the certifications required to be filed as exhibits hereto.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(a)(1) Financial Statements</w:t>
      </w:r>
    </w:p>
    <w:p>
      <w:pPr>
        <w:spacing w:after="0" w:line="171" w:lineRule="exact"/>
        <w:rPr>
          <w:sz w:val="20"/>
          <w:szCs w:val="20"/>
          <w:color w:val="auto"/>
        </w:rPr>
      </w:pPr>
    </w:p>
    <w:p>
      <w:pPr>
        <w:ind w:left="980" w:right="160" w:hanging="242"/>
        <w:spacing w:after="0" w:line="308" w:lineRule="auto"/>
        <w:rPr>
          <w:sz w:val="20"/>
          <w:szCs w:val="20"/>
          <w:color w:val="auto"/>
        </w:rPr>
      </w:pPr>
      <w:r>
        <w:rPr>
          <w:rFonts w:ascii="Arial" w:cs="Arial" w:eastAsia="Arial" w:hAnsi="Arial"/>
          <w:sz w:val="17"/>
          <w:szCs w:val="17"/>
          <w:color w:val="auto"/>
        </w:rPr>
        <w:t>The following consolidated financial statements of Clearway Energy, Inc. and related notes thereto, together with the reports thereon of KPMG LLP, were included in Item 15 of Clearway Energy, Inc.'s Annual Report on Form 10-K filed on March 2, 2020:</w:t>
      </w:r>
    </w:p>
    <w:p>
      <w:pPr>
        <w:spacing w:after="0" w:line="9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Operations — Years ended December 31, 2019,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Comprehensive Income — Years ended December 31, 2019,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Balance Sheets — As of December 31, 2019 and 2018</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Cash Flows — Years ended December 31, 2019,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Stockholders' Equity — Years ended December 31, 2019,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Schedules</w:t>
      </w:r>
    </w:p>
    <w:p>
      <w:pPr>
        <w:spacing w:after="0" w:line="171"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The following schedules of Clearway Energy, Inc. were filed as part of Item 15 of Clearway Energy, Inc.'s Annual Report on Form 10-K filed on March 2, 2020 and should be read in conjunction with the Consolidated Financial Statements:</w:t>
      </w:r>
    </w:p>
    <w:p>
      <w:pPr>
        <w:spacing w:after="0" w:line="116" w:lineRule="exact"/>
        <w:rPr>
          <w:sz w:val="20"/>
          <w:szCs w:val="20"/>
          <w:color w:val="auto"/>
        </w:rPr>
      </w:pPr>
    </w:p>
    <w:p>
      <w:pPr>
        <w:ind w:left="980" w:right="100"/>
        <w:spacing w:after="0" w:line="308" w:lineRule="auto"/>
        <w:rPr>
          <w:sz w:val="20"/>
          <w:szCs w:val="20"/>
          <w:color w:val="auto"/>
        </w:rPr>
      </w:pPr>
      <w:r>
        <w:rPr>
          <w:rFonts w:ascii="Arial" w:cs="Arial" w:eastAsia="Arial" w:hAnsi="Arial"/>
          <w:sz w:val="17"/>
          <w:szCs w:val="17"/>
          <w:color w:val="auto"/>
        </w:rPr>
        <w:t>Schedule I — Clearway Energy, Inc. Financial Statements for the years ended December 31, 2019, 2018 and 2017, are included in Clearway Energy, Inc.'s Annual Report on Form 10-K pursuant to the requirements of Rule 5-04(c) of Regulation S-X</w:t>
      </w:r>
    </w:p>
    <w:p>
      <w:pPr>
        <w:spacing w:after="0" w:line="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Schedule II — Valuation and Qualifying Accounts</w:t>
      </w:r>
    </w:p>
    <w:p>
      <w:pPr>
        <w:spacing w:after="0" w:line="171"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(a)(3) Exhibits: See Exhibit Index submitted as a separate section of this report</w:t>
      </w:r>
    </w:p>
    <w:p>
      <w:pPr>
        <w:spacing w:after="0" w:line="171" w:lineRule="exact"/>
        <w:rPr>
          <w:sz w:val="20"/>
          <w:szCs w:val="20"/>
          <w:color w:val="auto"/>
        </w:rPr>
      </w:pPr>
    </w:p>
    <w:p>
      <w:pPr>
        <w:ind w:left="740" w:hanging="24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Exhibit Index submitted as a separate section of this report</w:t>
      </w:r>
    </w:p>
    <w:p>
      <w:pPr>
        <w:spacing w:after="0" w:line="171" w:lineRule="exact"/>
        <w:rPr>
          <w:rFonts w:ascii="Arial" w:cs="Arial" w:eastAsia="Arial" w:hAnsi="Arial"/>
          <w:sz w:val="18"/>
          <w:szCs w:val="18"/>
          <w:color w:val="auto"/>
        </w:rPr>
      </w:pPr>
    </w:p>
    <w:p>
      <w:pPr>
        <w:ind w:left="740" w:hanging="24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Separate financial statements of subsidiaries not consolidated and fifty percent or less owned persons</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following financial statements of DGPV Holdco 3 LLC are required under Rule 3-09 of Regulation S-X and are incorporated by reference to</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15 of this report. They should be read in conjunction with the Consolidated Financial Statements:</w:t>
      </w:r>
    </w:p>
    <w:p>
      <w:pPr>
        <w:spacing w:after="0" w:line="157" w:lineRule="exact"/>
        <w:rPr>
          <w:sz w:val="20"/>
          <w:szCs w:val="20"/>
          <w:color w:val="auto"/>
        </w:rPr>
      </w:pPr>
    </w:p>
    <w:p>
      <w:pPr>
        <w:ind w:left="980" w:right="260"/>
        <w:spacing w:after="0" w:line="277" w:lineRule="auto"/>
        <w:rPr>
          <w:sz w:val="20"/>
          <w:szCs w:val="20"/>
          <w:color w:val="auto"/>
        </w:rPr>
      </w:pPr>
      <w:r>
        <w:rPr>
          <w:rFonts w:ascii="Arial" w:cs="Arial" w:eastAsia="Arial" w:hAnsi="Arial"/>
          <w:sz w:val="18"/>
          <w:szCs w:val="18"/>
          <w:color w:val="auto"/>
        </w:rPr>
        <w:t>DGPV Holdco 3 LLC Consolidated Financial Statements for the years ended December 31, 2019 and 2018 are included as Exhibit 99.1 to Amendment No. 1 to Clearway Energy, Inc.'s Annual Report on Form 10-K</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553"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40" w:type="dxa"/>
            <w:vAlign w:val="bottom"/>
            <w:gridSpan w:val="8"/>
          </w:tcPr>
          <w:p>
            <w:pPr>
              <w:ind w:left="340"/>
              <w:spacing w:after="0"/>
              <w:rPr>
                <w:sz w:val="20"/>
                <w:szCs w:val="20"/>
                <w:color w:val="auto"/>
              </w:rPr>
            </w:pPr>
            <w:r>
              <w:rPr>
                <w:rFonts w:ascii="Arial" w:cs="Arial" w:eastAsia="Arial" w:hAnsi="Arial"/>
                <w:sz w:val="18"/>
                <w:szCs w:val="18"/>
                <w:b w:val="1"/>
                <w:bCs w:val="1"/>
                <w:color w:val="auto"/>
              </w:rPr>
              <w:t>EXHIBIT INDEX</w:t>
            </w:r>
          </w:p>
        </w:tc>
      </w:tr>
      <w:tr>
        <w:trPr>
          <w:trHeight w:val="426"/>
        </w:trPr>
        <w:tc>
          <w:tcPr>
            <w:tcW w:w="10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60" w:type="dxa"/>
            <w:vAlign w:val="bottom"/>
            <w:gridSpan w:val="12"/>
          </w:tcPr>
          <w:p>
            <w:pPr>
              <w:spacing w:after="0"/>
              <w:rPr>
                <w:sz w:val="20"/>
                <w:szCs w:val="20"/>
                <w:color w:val="auto"/>
              </w:rPr>
            </w:pPr>
            <w:r>
              <w:rPr>
                <w:rFonts w:ascii="Arial" w:cs="Arial" w:eastAsia="Arial" w:hAnsi="Arial"/>
                <w:sz w:val="16"/>
                <w:szCs w:val="16"/>
                <w:b w:val="1"/>
                <w:bCs w:val="1"/>
                <w:color w:val="auto"/>
              </w:rPr>
              <w:t>Description</w:t>
            </w:r>
          </w:p>
        </w:tc>
      </w:tr>
      <w:tr>
        <w:trPr>
          <w:trHeight w:val="222"/>
        </w:trPr>
        <w:tc>
          <w:tcPr>
            <w:tcW w:w="1020" w:type="dxa"/>
            <w:vAlign w:val="bottom"/>
          </w:tcPr>
          <w:p>
            <w:pPr>
              <w:spacing w:after="0"/>
              <w:rPr>
                <w:sz w:val="20"/>
                <w:szCs w:val="20"/>
                <w:color w:val="auto"/>
              </w:rPr>
            </w:pPr>
            <w:r>
              <w:rPr>
                <w:rFonts w:ascii="Arial" w:cs="Arial" w:eastAsia="Arial" w:hAnsi="Arial"/>
                <w:sz w:val="16"/>
                <w:szCs w:val="16"/>
                <w:color w:val="auto"/>
              </w:rPr>
              <w:t>2.1</w:t>
            </w:r>
          </w:p>
        </w:tc>
        <w:tc>
          <w:tcPr>
            <w:tcW w:w="5360" w:type="dxa"/>
            <w:vAlign w:val="bottom"/>
            <w:tcBorders>
              <w:bottom w:val="single" w:sz="8" w:color="0000FF"/>
            </w:tcBorders>
            <w:gridSpan w:val="7"/>
          </w:tcPr>
          <w:p>
            <w:pPr>
              <w:spacing w:after="0"/>
              <w:rPr>
                <w:rFonts w:ascii="Arial" w:cs="Arial" w:eastAsia="Arial" w:hAnsi="Arial"/>
                <w:sz w:val="16"/>
                <w:szCs w:val="16"/>
                <w:color w:val="0000FF"/>
                <w:w w:val="89"/>
              </w:rPr>
            </w:pPr>
            <w:hyperlink r:id="rId12">
              <w:r>
                <w:rPr>
                  <w:rFonts w:ascii="Arial" w:cs="Arial" w:eastAsia="Arial" w:hAnsi="Arial"/>
                  <w:sz w:val="16"/>
                  <w:szCs w:val="16"/>
                  <w:color w:val="0000FF"/>
                  <w:w w:val="89"/>
                </w:rPr>
                <w:t>Purchase and Sale Agreement, dated as of May 5, 2014, by and between NRG Gas</w:t>
              </w:r>
            </w:hyperlink>
          </w:p>
        </w:tc>
        <w:tc>
          <w:tcPr>
            <w:tcW w:w="400" w:type="dxa"/>
            <w:vAlign w:val="bottom"/>
            <w:gridSpan w:val="5"/>
          </w:tcPr>
          <w:p>
            <w:pPr>
              <w:spacing w:after="0"/>
              <w:rPr>
                <w:sz w:val="19"/>
                <w:szCs w:val="19"/>
                <w:color w:val="auto"/>
              </w:rPr>
            </w:pPr>
          </w:p>
        </w:tc>
      </w:tr>
      <w:tr>
        <w:trPr>
          <w:trHeight w:val="183"/>
        </w:trPr>
        <w:tc>
          <w:tcPr>
            <w:tcW w:w="1020" w:type="dxa"/>
            <w:vAlign w:val="bottom"/>
          </w:tcPr>
          <w:p>
            <w:pPr>
              <w:spacing w:after="0"/>
              <w:rPr>
                <w:sz w:val="15"/>
                <w:szCs w:val="15"/>
                <w:color w:val="auto"/>
              </w:rPr>
            </w:pPr>
          </w:p>
        </w:tc>
        <w:tc>
          <w:tcPr>
            <w:tcW w:w="5760" w:type="dxa"/>
            <w:vAlign w:val="bottom"/>
            <w:gridSpan w:val="12"/>
          </w:tcPr>
          <w:p>
            <w:pPr>
              <w:spacing w:after="0" w:line="183" w:lineRule="exact"/>
              <w:rPr>
                <w:rFonts w:ascii="Arial" w:cs="Arial" w:eastAsia="Arial" w:hAnsi="Arial"/>
                <w:sz w:val="16"/>
                <w:szCs w:val="16"/>
                <w:color w:val="0000FF"/>
              </w:rPr>
            </w:pPr>
            <w:hyperlink r:id="rId12">
              <w:r>
                <w:rPr>
                  <w:rFonts w:ascii="Arial" w:cs="Arial" w:eastAsia="Arial" w:hAnsi="Arial"/>
                  <w:sz w:val="16"/>
                  <w:szCs w:val="16"/>
                  <w:color w:val="0000FF"/>
                </w:rPr>
                <w:t>Development Company, LLC and NRG Yield Operating LLC.</w:t>
              </w:r>
            </w:hyperlink>
          </w:p>
        </w:tc>
      </w:tr>
      <w:tr>
        <w:trPr>
          <w:trHeight w:val="20"/>
        </w:trPr>
        <w:tc>
          <w:tcPr>
            <w:tcW w:w="10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6"/>
                <w:szCs w:val="16"/>
                <w:color w:val="auto"/>
              </w:rPr>
              <w:t>2.2</w:t>
            </w:r>
          </w:p>
        </w:tc>
        <w:tc>
          <w:tcPr>
            <w:tcW w:w="5700" w:type="dxa"/>
            <w:vAlign w:val="bottom"/>
            <w:tcBorders>
              <w:bottom w:val="single" w:sz="8" w:color="0000FF"/>
            </w:tcBorders>
            <w:gridSpan w:val="10"/>
          </w:tcPr>
          <w:p>
            <w:pPr>
              <w:spacing w:after="0"/>
              <w:rPr>
                <w:rFonts w:ascii="Arial" w:cs="Arial" w:eastAsia="Arial" w:hAnsi="Arial"/>
                <w:sz w:val="16"/>
                <w:szCs w:val="16"/>
                <w:color w:val="0000FF"/>
                <w:w w:val="90"/>
              </w:rPr>
            </w:pPr>
            <w:hyperlink r:id="rId13">
              <w:r>
                <w:rPr>
                  <w:rFonts w:ascii="Arial" w:cs="Arial" w:eastAsia="Arial" w:hAnsi="Arial"/>
                  <w:sz w:val="16"/>
                  <w:szCs w:val="16"/>
                  <w:color w:val="0000FF"/>
                  <w:w w:val="90"/>
                </w:rPr>
                <w:t>Purchase and Sale Agreement, dated as of May 5, 2014, by and between NRG Solar PV</w:t>
              </w:r>
            </w:hyperlink>
          </w:p>
        </w:tc>
        <w:tc>
          <w:tcPr>
            <w:tcW w:w="60" w:type="dxa"/>
            <w:vAlign w:val="bottom"/>
            <w:gridSpan w:val="2"/>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2440" w:type="dxa"/>
            <w:vAlign w:val="bottom"/>
            <w:tcBorders>
              <w:bottom w:val="single" w:sz="8" w:color="0000FF"/>
            </w:tcBorders>
            <w:gridSpan w:val="2"/>
          </w:tcPr>
          <w:p>
            <w:pPr>
              <w:spacing w:after="0" w:line="183" w:lineRule="exact"/>
              <w:rPr>
                <w:rFonts w:ascii="Arial" w:cs="Arial" w:eastAsia="Arial" w:hAnsi="Arial"/>
                <w:sz w:val="16"/>
                <w:szCs w:val="16"/>
                <w:color w:val="0000FF"/>
                <w:w w:val="95"/>
              </w:rPr>
            </w:pPr>
            <w:hyperlink r:id="rId13">
              <w:r>
                <w:rPr>
                  <w:rFonts w:ascii="Arial" w:cs="Arial" w:eastAsia="Arial" w:hAnsi="Arial"/>
                  <w:sz w:val="16"/>
                  <w:szCs w:val="16"/>
                  <w:color w:val="0000FF"/>
                  <w:w w:val="95"/>
                </w:rPr>
                <w:t>LLC and NRG Yield Operating LLC.</w:t>
              </w:r>
            </w:hyperlink>
          </w:p>
        </w:tc>
        <w:tc>
          <w:tcPr>
            <w:tcW w:w="3320" w:type="dxa"/>
            <w:vAlign w:val="bottom"/>
            <w:gridSpan w:val="10"/>
          </w:tcPr>
          <w:p>
            <w:pPr>
              <w:spacing w:after="0"/>
              <w:rPr>
                <w:sz w:val="15"/>
                <w:szCs w:val="15"/>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6"/>
                <w:szCs w:val="16"/>
                <w:color w:val="auto"/>
              </w:rPr>
              <w:t>2.3</w:t>
            </w:r>
          </w:p>
        </w:tc>
        <w:tc>
          <w:tcPr>
            <w:tcW w:w="5700" w:type="dxa"/>
            <w:vAlign w:val="bottom"/>
            <w:tcBorders>
              <w:bottom w:val="single" w:sz="8" w:color="0000FF"/>
            </w:tcBorders>
            <w:gridSpan w:val="10"/>
          </w:tcPr>
          <w:p>
            <w:pPr>
              <w:spacing w:after="0"/>
              <w:rPr>
                <w:rFonts w:ascii="Arial" w:cs="Arial" w:eastAsia="Arial" w:hAnsi="Arial"/>
                <w:sz w:val="16"/>
                <w:szCs w:val="16"/>
                <w:color w:val="0000FF"/>
                <w:w w:val="90"/>
              </w:rPr>
            </w:pPr>
            <w:hyperlink r:id="rId14">
              <w:r>
                <w:rPr>
                  <w:rFonts w:ascii="Arial" w:cs="Arial" w:eastAsia="Arial" w:hAnsi="Arial"/>
                  <w:sz w:val="16"/>
                  <w:szCs w:val="16"/>
                  <w:color w:val="0000FF"/>
                  <w:w w:val="90"/>
                </w:rPr>
                <w:t>Purchase and Sale Agreement, dated as of May 5, 2014, by and between NRG Solar PV</w:t>
              </w:r>
            </w:hyperlink>
          </w:p>
        </w:tc>
        <w:tc>
          <w:tcPr>
            <w:tcW w:w="60" w:type="dxa"/>
            <w:vAlign w:val="bottom"/>
            <w:gridSpan w:val="2"/>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2440" w:type="dxa"/>
            <w:vAlign w:val="bottom"/>
            <w:tcBorders>
              <w:bottom w:val="single" w:sz="8" w:color="0000FF"/>
            </w:tcBorders>
            <w:gridSpan w:val="2"/>
          </w:tcPr>
          <w:p>
            <w:pPr>
              <w:spacing w:after="0" w:line="183" w:lineRule="exact"/>
              <w:rPr>
                <w:rFonts w:ascii="Arial" w:cs="Arial" w:eastAsia="Arial" w:hAnsi="Arial"/>
                <w:sz w:val="16"/>
                <w:szCs w:val="16"/>
                <w:color w:val="0000FF"/>
                <w:w w:val="95"/>
              </w:rPr>
            </w:pPr>
            <w:hyperlink r:id="rId14">
              <w:r>
                <w:rPr>
                  <w:rFonts w:ascii="Arial" w:cs="Arial" w:eastAsia="Arial" w:hAnsi="Arial"/>
                  <w:sz w:val="16"/>
                  <w:szCs w:val="16"/>
                  <w:color w:val="0000FF"/>
                  <w:w w:val="95"/>
                </w:rPr>
                <w:t>LLC and NRG Yield Operating LLC.</w:t>
              </w:r>
            </w:hyperlink>
          </w:p>
        </w:tc>
        <w:tc>
          <w:tcPr>
            <w:tcW w:w="3320" w:type="dxa"/>
            <w:vAlign w:val="bottom"/>
            <w:gridSpan w:val="10"/>
          </w:tcPr>
          <w:p>
            <w:pPr>
              <w:spacing w:after="0"/>
              <w:rPr>
                <w:sz w:val="15"/>
                <w:szCs w:val="15"/>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6"/>
                <w:szCs w:val="16"/>
                <w:color w:val="auto"/>
              </w:rPr>
              <w:t>2.4</w:t>
            </w:r>
          </w:p>
        </w:tc>
        <w:tc>
          <w:tcPr>
            <w:tcW w:w="5760" w:type="dxa"/>
            <w:vAlign w:val="bottom"/>
            <w:tcBorders>
              <w:bottom w:val="single" w:sz="8" w:color="0000FF"/>
            </w:tcBorders>
            <w:gridSpan w:val="12"/>
          </w:tcPr>
          <w:p>
            <w:pPr>
              <w:spacing w:after="0"/>
              <w:rPr>
                <w:rFonts w:ascii="Arial" w:cs="Arial" w:eastAsia="Arial" w:hAnsi="Arial"/>
                <w:sz w:val="16"/>
                <w:szCs w:val="16"/>
                <w:color w:val="0000FF"/>
                <w:w w:val="90"/>
              </w:rPr>
            </w:pPr>
            <w:hyperlink r:id="rId15">
              <w:r>
                <w:rPr>
                  <w:rFonts w:ascii="Arial" w:cs="Arial" w:eastAsia="Arial" w:hAnsi="Arial"/>
                  <w:sz w:val="16"/>
                  <w:szCs w:val="16"/>
                  <w:color w:val="0000FF"/>
                  <w:w w:val="90"/>
                </w:rPr>
                <w:t>Purchase and Sale Agreement, dated June 3, 2014, by and among NRG Yield, Inc., NRG</w:t>
              </w:r>
            </w:hyperlink>
          </w:p>
        </w:tc>
      </w:tr>
      <w:tr>
        <w:trPr>
          <w:trHeight w:val="183"/>
        </w:trPr>
        <w:tc>
          <w:tcPr>
            <w:tcW w:w="1020" w:type="dxa"/>
            <w:vAlign w:val="bottom"/>
          </w:tcPr>
          <w:p>
            <w:pPr>
              <w:spacing w:after="0"/>
              <w:rPr>
                <w:sz w:val="15"/>
                <w:szCs w:val="15"/>
                <w:color w:val="auto"/>
              </w:rPr>
            </w:pPr>
          </w:p>
        </w:tc>
        <w:tc>
          <w:tcPr>
            <w:tcW w:w="5760" w:type="dxa"/>
            <w:vAlign w:val="bottom"/>
            <w:gridSpan w:val="12"/>
          </w:tcPr>
          <w:p>
            <w:pPr>
              <w:spacing w:after="0" w:line="183" w:lineRule="exact"/>
              <w:rPr>
                <w:rFonts w:ascii="Arial" w:cs="Arial" w:eastAsia="Arial" w:hAnsi="Arial"/>
                <w:sz w:val="16"/>
                <w:szCs w:val="16"/>
                <w:color w:val="0000FF"/>
                <w:w w:val="94"/>
              </w:rPr>
            </w:pPr>
            <w:hyperlink r:id="rId15">
              <w:r>
                <w:rPr>
                  <w:rFonts w:ascii="Arial" w:cs="Arial" w:eastAsia="Arial" w:hAnsi="Arial"/>
                  <w:sz w:val="16"/>
                  <w:szCs w:val="16"/>
                  <w:color w:val="0000FF"/>
                  <w:w w:val="94"/>
                </w:rPr>
                <w:t>Yield Operating LLC, Terra-Gen Finance Company, LLC, NTD AWAM Holdings, LLC,</w:t>
              </w:r>
            </w:hyperlink>
          </w:p>
        </w:tc>
      </w:tr>
      <w:tr>
        <w:trPr>
          <w:trHeight w:val="183"/>
        </w:trPr>
        <w:tc>
          <w:tcPr>
            <w:tcW w:w="1020" w:type="dxa"/>
            <w:vAlign w:val="bottom"/>
          </w:tcPr>
          <w:p>
            <w:pPr>
              <w:spacing w:after="0"/>
              <w:rPr>
                <w:sz w:val="15"/>
                <w:szCs w:val="15"/>
                <w:color w:val="auto"/>
              </w:rPr>
            </w:pPr>
          </w:p>
        </w:tc>
        <w:tc>
          <w:tcPr>
            <w:tcW w:w="522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5"/>
              </w:rPr>
            </w:pPr>
            <w:hyperlink r:id="rId15">
              <w:r>
                <w:rPr>
                  <w:rFonts w:ascii="Arial" w:cs="Arial" w:eastAsia="Arial" w:hAnsi="Arial"/>
                  <w:sz w:val="16"/>
                  <w:szCs w:val="16"/>
                  <w:color w:val="0000FF"/>
                  <w:w w:val="95"/>
                </w:rPr>
                <w:t>CHIPS Alta Wind X Holding Company, LLC and CHIPS Alta Wind XI Holding</w:t>
              </w:r>
            </w:hyperlink>
          </w:p>
        </w:tc>
        <w:tc>
          <w:tcPr>
            <w:tcW w:w="52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5760" w:type="dxa"/>
            <w:vAlign w:val="bottom"/>
            <w:gridSpan w:val="12"/>
          </w:tcPr>
          <w:p>
            <w:pPr>
              <w:spacing w:after="0" w:line="183" w:lineRule="exact"/>
              <w:rPr>
                <w:rFonts w:ascii="Arial" w:cs="Arial" w:eastAsia="Arial" w:hAnsi="Arial"/>
                <w:sz w:val="16"/>
                <w:szCs w:val="16"/>
                <w:color w:val="0000FF"/>
              </w:rPr>
            </w:pPr>
            <w:hyperlink r:id="rId15">
              <w:r>
                <w:rPr>
                  <w:rFonts w:ascii="Arial" w:cs="Arial" w:eastAsia="Arial" w:hAnsi="Arial"/>
                  <w:sz w:val="16"/>
                  <w:szCs w:val="16"/>
                  <w:color w:val="0000FF"/>
                </w:rPr>
                <w:t>Company, LLC.</w:t>
              </w:r>
            </w:hyperlink>
          </w:p>
        </w:tc>
      </w:tr>
      <w:tr>
        <w:trPr>
          <w:trHeight w:val="20"/>
        </w:trPr>
        <w:tc>
          <w:tcPr>
            <w:tcW w:w="10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r>
              <w:rPr>
                <w:rFonts w:ascii="Arial" w:cs="Arial" w:eastAsia="Arial" w:hAnsi="Arial"/>
                <w:sz w:val="16"/>
                <w:szCs w:val="16"/>
                <w:color w:val="auto"/>
              </w:rPr>
              <w:t>2.5</w:t>
            </w:r>
          </w:p>
        </w:tc>
        <w:tc>
          <w:tcPr>
            <w:tcW w:w="5460" w:type="dxa"/>
            <w:vAlign w:val="bottom"/>
            <w:tcBorders>
              <w:bottom w:val="single" w:sz="8" w:color="0000FF"/>
            </w:tcBorders>
            <w:gridSpan w:val="8"/>
          </w:tcPr>
          <w:p>
            <w:pPr>
              <w:spacing w:after="0"/>
              <w:rPr>
                <w:rFonts w:ascii="Arial" w:cs="Arial" w:eastAsia="Arial" w:hAnsi="Arial"/>
                <w:sz w:val="16"/>
                <w:szCs w:val="16"/>
                <w:color w:val="0000FF"/>
                <w:w w:val="90"/>
              </w:rPr>
            </w:pPr>
            <w:hyperlink r:id="rId16">
              <w:r>
                <w:rPr>
                  <w:rFonts w:ascii="Arial" w:cs="Arial" w:eastAsia="Arial" w:hAnsi="Arial"/>
                  <w:sz w:val="16"/>
                  <w:szCs w:val="16"/>
                  <w:color w:val="0000FF"/>
                  <w:w w:val="90"/>
                </w:rPr>
                <w:t>Purchase and Sale Agreement, dated as of November 4, 2014, by and between NRG</w:t>
              </w:r>
            </w:hyperlink>
          </w:p>
        </w:tc>
        <w:tc>
          <w:tcPr>
            <w:tcW w:w="300" w:type="dxa"/>
            <w:vAlign w:val="bottom"/>
            <w:gridSpan w:val="4"/>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5760" w:type="dxa"/>
            <w:vAlign w:val="bottom"/>
            <w:gridSpan w:val="12"/>
          </w:tcPr>
          <w:p>
            <w:pPr>
              <w:spacing w:after="0" w:line="183" w:lineRule="exact"/>
              <w:rPr>
                <w:rFonts w:ascii="Arial" w:cs="Arial" w:eastAsia="Arial" w:hAnsi="Arial"/>
                <w:sz w:val="16"/>
                <w:szCs w:val="16"/>
                <w:color w:val="0000FF"/>
              </w:rPr>
            </w:pPr>
            <w:hyperlink r:id="rId16">
              <w:r>
                <w:rPr>
                  <w:rFonts w:ascii="Arial" w:cs="Arial" w:eastAsia="Arial" w:hAnsi="Arial"/>
                  <w:sz w:val="16"/>
                  <w:szCs w:val="16"/>
                  <w:color w:val="0000FF"/>
                </w:rPr>
                <w:t>Wind LLC and NRG Yield Operating LLC.</w:t>
              </w:r>
            </w:hyperlink>
          </w:p>
        </w:tc>
      </w:tr>
      <w:tr>
        <w:trPr>
          <w:trHeight w:val="20"/>
        </w:trPr>
        <w:tc>
          <w:tcPr>
            <w:tcW w:w="1020" w:type="dxa"/>
            <w:vAlign w:val="bottom"/>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6"/>
                <w:szCs w:val="16"/>
                <w:color w:val="auto"/>
              </w:rPr>
              <w:t>2.6</w:t>
            </w:r>
          </w:p>
        </w:tc>
        <w:tc>
          <w:tcPr>
            <w:tcW w:w="5460" w:type="dxa"/>
            <w:vAlign w:val="bottom"/>
            <w:tcBorders>
              <w:bottom w:val="single" w:sz="8" w:color="0000FF"/>
            </w:tcBorders>
            <w:gridSpan w:val="8"/>
          </w:tcPr>
          <w:p>
            <w:pPr>
              <w:spacing w:after="0"/>
              <w:rPr>
                <w:rFonts w:ascii="Arial" w:cs="Arial" w:eastAsia="Arial" w:hAnsi="Arial"/>
                <w:sz w:val="16"/>
                <w:szCs w:val="16"/>
                <w:color w:val="0000FF"/>
                <w:w w:val="90"/>
              </w:rPr>
            </w:pPr>
            <w:hyperlink r:id="rId17">
              <w:r>
                <w:rPr>
                  <w:rFonts w:ascii="Arial" w:cs="Arial" w:eastAsia="Arial" w:hAnsi="Arial"/>
                  <w:sz w:val="16"/>
                  <w:szCs w:val="16"/>
                  <w:color w:val="0000FF"/>
                  <w:w w:val="90"/>
                </w:rPr>
                <w:t>Purchase and Sale Agreement, dated as of November 4, 2014, by and between NRG</w:t>
              </w:r>
            </w:hyperlink>
          </w:p>
        </w:tc>
        <w:tc>
          <w:tcPr>
            <w:tcW w:w="300" w:type="dxa"/>
            <w:vAlign w:val="bottom"/>
            <w:gridSpan w:val="4"/>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3520" w:type="dxa"/>
            <w:vAlign w:val="bottom"/>
            <w:tcBorders>
              <w:bottom w:val="single" w:sz="8" w:color="0000FF"/>
            </w:tcBorders>
            <w:gridSpan w:val="4"/>
          </w:tcPr>
          <w:p>
            <w:pPr>
              <w:spacing w:after="0" w:line="183" w:lineRule="exact"/>
              <w:rPr>
                <w:rFonts w:ascii="Arial" w:cs="Arial" w:eastAsia="Arial" w:hAnsi="Arial"/>
                <w:sz w:val="16"/>
                <w:szCs w:val="16"/>
                <w:color w:val="0000FF"/>
                <w:w w:val="95"/>
              </w:rPr>
            </w:pPr>
            <w:hyperlink r:id="rId17">
              <w:r>
                <w:rPr>
                  <w:rFonts w:ascii="Arial" w:cs="Arial" w:eastAsia="Arial" w:hAnsi="Arial"/>
                  <w:sz w:val="16"/>
                  <w:szCs w:val="16"/>
                  <w:color w:val="0000FF"/>
                  <w:w w:val="95"/>
                </w:rPr>
                <w:t>Arroyo Nogales LLC and NRG Yield Operating LLC.</w:t>
              </w:r>
            </w:hyperlink>
          </w:p>
        </w:tc>
        <w:tc>
          <w:tcPr>
            <w:tcW w:w="2240" w:type="dxa"/>
            <w:vAlign w:val="bottom"/>
            <w:gridSpan w:val="8"/>
          </w:tcPr>
          <w:p>
            <w:pPr>
              <w:spacing w:after="0"/>
              <w:rPr>
                <w:sz w:val="15"/>
                <w:szCs w:val="15"/>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6"/>
                <w:szCs w:val="16"/>
                <w:color w:val="auto"/>
              </w:rPr>
              <w:t>2.7*^</w:t>
            </w:r>
          </w:p>
        </w:tc>
        <w:tc>
          <w:tcPr>
            <w:tcW w:w="5760" w:type="dxa"/>
            <w:vAlign w:val="bottom"/>
            <w:gridSpan w:val="12"/>
          </w:tcPr>
          <w:p>
            <w:pPr>
              <w:spacing w:after="0"/>
              <w:rPr>
                <w:rFonts w:ascii="Arial" w:cs="Arial" w:eastAsia="Arial" w:hAnsi="Arial"/>
                <w:sz w:val="16"/>
                <w:szCs w:val="16"/>
                <w:color w:val="0000FF"/>
                <w:w w:val="92"/>
              </w:rPr>
            </w:pPr>
            <w:hyperlink r:id="rId18">
              <w:r>
                <w:rPr>
                  <w:rFonts w:ascii="Arial" w:cs="Arial" w:eastAsia="Arial" w:hAnsi="Arial"/>
                  <w:sz w:val="16"/>
                  <w:szCs w:val="16"/>
                  <w:color w:val="0000FF"/>
                  <w:w w:val="92"/>
                </w:rPr>
                <w:t>Purchase and Sale Agreement, dated as of June 17, 2015, by and between EFS Desert</w:t>
              </w:r>
            </w:hyperlink>
          </w:p>
        </w:tc>
      </w:tr>
      <w:tr>
        <w:trPr>
          <w:trHeight w:val="183"/>
        </w:trPr>
        <w:tc>
          <w:tcPr>
            <w:tcW w:w="1020" w:type="dxa"/>
            <w:vAlign w:val="bottom"/>
          </w:tcPr>
          <w:p>
            <w:pPr>
              <w:spacing w:after="0"/>
              <w:rPr>
                <w:sz w:val="15"/>
                <w:szCs w:val="15"/>
                <w:color w:val="auto"/>
              </w:rPr>
            </w:pPr>
          </w:p>
        </w:tc>
        <w:tc>
          <w:tcPr>
            <w:tcW w:w="5540" w:type="dxa"/>
            <w:vAlign w:val="bottom"/>
            <w:tcBorders>
              <w:top w:val="single" w:sz="8" w:color="0000FF"/>
            </w:tcBorders>
            <w:gridSpan w:val="9"/>
          </w:tcPr>
          <w:p>
            <w:pPr>
              <w:spacing w:after="0" w:line="183" w:lineRule="exact"/>
              <w:rPr>
                <w:rFonts w:ascii="Arial" w:cs="Arial" w:eastAsia="Arial" w:hAnsi="Arial"/>
                <w:sz w:val="16"/>
                <w:szCs w:val="16"/>
                <w:color w:val="0000FF"/>
              </w:rPr>
            </w:pPr>
            <w:hyperlink r:id="rId18">
              <w:r>
                <w:rPr>
                  <w:rFonts w:ascii="Arial" w:cs="Arial" w:eastAsia="Arial" w:hAnsi="Arial"/>
                  <w:sz w:val="16"/>
                  <w:szCs w:val="16"/>
                  <w:color w:val="0000FF"/>
                </w:rPr>
                <w:t>Sun, LLC and NRG Yield Operating LLC.</w:t>
              </w:r>
            </w:hyperlink>
          </w:p>
        </w:tc>
        <w:tc>
          <w:tcPr>
            <w:tcW w:w="220" w:type="dxa"/>
            <w:vAlign w:val="bottom"/>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jc w:val="right"/>
              <w:ind w:right="739"/>
              <w:spacing w:after="0"/>
              <w:rPr>
                <w:sz w:val="20"/>
                <w:szCs w:val="20"/>
                <w:color w:val="auto"/>
              </w:rPr>
            </w:pPr>
            <w:r>
              <w:rPr>
                <w:rFonts w:ascii="Arial" w:cs="Arial" w:eastAsia="Arial" w:hAnsi="Arial"/>
                <w:sz w:val="16"/>
                <w:szCs w:val="16"/>
                <w:color w:val="auto"/>
                <w:w w:val="80"/>
              </w:rPr>
              <w:t>2.8</w:t>
            </w:r>
          </w:p>
        </w:tc>
        <w:tc>
          <w:tcPr>
            <w:tcW w:w="5600" w:type="dxa"/>
            <w:vAlign w:val="bottom"/>
            <w:gridSpan w:val="4"/>
            <w:vMerge w:val="restart"/>
          </w:tcPr>
          <w:p>
            <w:pPr>
              <w:spacing w:after="0"/>
              <w:rPr>
                <w:rFonts w:ascii="Arial" w:cs="Arial" w:eastAsia="Arial" w:hAnsi="Arial"/>
                <w:sz w:val="16"/>
                <w:szCs w:val="16"/>
                <w:color w:val="0000FF"/>
                <w:w w:val="90"/>
              </w:rPr>
            </w:pPr>
            <w:hyperlink r:id="rId19">
              <w:r>
                <w:rPr>
                  <w:rFonts w:ascii="Arial" w:cs="Arial" w:eastAsia="Arial" w:hAnsi="Arial"/>
                  <w:sz w:val="16"/>
                  <w:szCs w:val="16"/>
                  <w:color w:val="0000FF"/>
                  <w:w w:val="90"/>
                </w:rPr>
                <w:t>Purchase and Sale Agreement, dated as of September 17, 2015, by and between NRG</w:t>
              </w:r>
            </w:hyperlink>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5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540" w:type="dxa"/>
            <w:vAlign w:val="bottom"/>
            <w:tcBorders>
              <w:top w:val="single" w:sz="8" w:color="0000FF"/>
            </w:tcBorders>
            <w:gridSpan w:val="3"/>
          </w:tcPr>
          <w:p>
            <w:pPr>
              <w:spacing w:after="0" w:line="183" w:lineRule="exact"/>
              <w:rPr>
                <w:rFonts w:ascii="Arial" w:cs="Arial" w:eastAsia="Arial" w:hAnsi="Arial"/>
                <w:sz w:val="16"/>
                <w:szCs w:val="16"/>
                <w:color w:val="0000FF"/>
              </w:rPr>
            </w:pPr>
            <w:hyperlink r:id="rId19">
              <w:r>
                <w:rPr>
                  <w:rFonts w:ascii="Arial" w:cs="Arial" w:eastAsia="Arial" w:hAnsi="Arial"/>
                  <w:sz w:val="16"/>
                  <w:szCs w:val="16"/>
                  <w:color w:val="0000FF"/>
                </w:rPr>
                <w:t>Energy Gas &amp; Wind Holdings, Inc. and NRG Yield Operating LLC.</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right"/>
              <w:ind w:right="739"/>
              <w:spacing w:after="0"/>
              <w:rPr>
                <w:sz w:val="20"/>
                <w:szCs w:val="20"/>
                <w:color w:val="auto"/>
              </w:rPr>
            </w:pPr>
            <w:r>
              <w:rPr>
                <w:rFonts w:ascii="Arial" w:cs="Arial" w:eastAsia="Arial" w:hAnsi="Arial"/>
                <w:sz w:val="16"/>
                <w:szCs w:val="16"/>
                <w:color w:val="auto"/>
                <w:w w:val="80"/>
              </w:rPr>
              <w:t>2.9</w:t>
            </w:r>
          </w:p>
        </w:tc>
        <w:tc>
          <w:tcPr>
            <w:tcW w:w="3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1020" w:type="dxa"/>
            <w:vAlign w:val="bottom"/>
            <w:vMerge w:val="continue"/>
          </w:tcPr>
          <w:p>
            <w:pPr>
              <w:spacing w:after="0"/>
              <w:rPr>
                <w:sz w:val="24"/>
                <w:szCs w:val="24"/>
                <w:color w:val="auto"/>
              </w:rPr>
            </w:pPr>
          </w:p>
        </w:tc>
        <w:tc>
          <w:tcPr>
            <w:tcW w:w="5600" w:type="dxa"/>
            <w:vAlign w:val="bottom"/>
            <w:gridSpan w:val="4"/>
            <w:vMerge w:val="restart"/>
          </w:tcPr>
          <w:p>
            <w:pPr>
              <w:spacing w:after="0"/>
              <w:rPr>
                <w:rFonts w:ascii="Arial" w:cs="Arial" w:eastAsia="Arial" w:hAnsi="Arial"/>
                <w:sz w:val="16"/>
                <w:szCs w:val="16"/>
                <w:color w:val="0000FF"/>
                <w:w w:val="90"/>
              </w:rPr>
            </w:pPr>
            <w:hyperlink r:id="rId20">
              <w:r>
                <w:rPr>
                  <w:rFonts w:ascii="Arial" w:cs="Arial" w:eastAsia="Arial" w:hAnsi="Arial"/>
                  <w:sz w:val="16"/>
                  <w:szCs w:val="16"/>
                  <w:color w:val="0000FF"/>
                  <w:w w:val="90"/>
                </w:rPr>
                <w:t>Purchase and Sale Agreement, dated as of August 8, 2016, between NRG Solar CVSR</w:t>
              </w:r>
            </w:hyperlink>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600" w:type="dxa"/>
            <w:vAlign w:val="bottom"/>
            <w:tcBorders>
              <w:bottom w:val="single" w:sz="8" w:color="0000FF"/>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00" w:type="dxa"/>
            <w:vAlign w:val="bottom"/>
            <w:gridSpan w:val="4"/>
          </w:tcPr>
          <w:p>
            <w:pPr>
              <w:spacing w:after="0" w:line="183" w:lineRule="exact"/>
              <w:rPr>
                <w:rFonts w:ascii="Arial" w:cs="Arial" w:eastAsia="Arial" w:hAnsi="Arial"/>
                <w:sz w:val="16"/>
                <w:szCs w:val="16"/>
                <w:color w:val="0000FF"/>
              </w:rPr>
            </w:pPr>
            <w:hyperlink r:id="rId20">
              <w:r>
                <w:rPr>
                  <w:rFonts w:ascii="Arial" w:cs="Arial" w:eastAsia="Arial" w:hAnsi="Arial"/>
                  <w:sz w:val="16"/>
                  <w:szCs w:val="16"/>
                  <w:color w:val="0000FF"/>
                </w:rPr>
                <w:t>Holdings 2 LLC and NRG Yield Operating LLC.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ind w:right="60"/>
        <w:spacing w:after="0" w:line="342" w:lineRule="auto"/>
        <w:rPr>
          <w:sz w:val="20"/>
          <w:szCs w:val="20"/>
          <w:color w:val="auto"/>
        </w:rPr>
      </w:pPr>
      <w:r>
        <w:rPr>
          <w:rFonts w:ascii="Arial" w:cs="Arial" w:eastAsia="Arial" w:hAnsi="Arial"/>
          <w:sz w:val="14"/>
          <w:szCs w:val="14"/>
          <w:color w:val="auto"/>
        </w:rPr>
        <w:t>Incorporated herein by reference to Exhibit 2.1 to the Company’s Current Report on Form 8-K filed on May 9, 2014.</w:t>
      </w:r>
    </w:p>
    <w:p>
      <w:pPr>
        <w:ind w:right="60"/>
        <w:spacing w:after="0" w:line="342" w:lineRule="auto"/>
        <w:rPr>
          <w:sz w:val="20"/>
          <w:szCs w:val="20"/>
          <w:color w:val="auto"/>
        </w:rPr>
      </w:pPr>
      <w:r>
        <w:rPr>
          <w:rFonts w:ascii="Arial" w:cs="Arial" w:eastAsia="Arial" w:hAnsi="Arial"/>
          <w:sz w:val="14"/>
          <w:szCs w:val="14"/>
          <w:color w:val="auto"/>
        </w:rPr>
        <w:t>Incorporated herein by reference to Exhibit 2.2 to the Company’s Current Report on Form 8-K filed on May 9, 2014.</w:t>
      </w:r>
    </w:p>
    <w:p>
      <w:pPr>
        <w:ind w:right="60"/>
        <w:spacing w:after="0" w:line="342" w:lineRule="auto"/>
        <w:rPr>
          <w:sz w:val="20"/>
          <w:szCs w:val="20"/>
          <w:color w:val="auto"/>
        </w:rPr>
      </w:pPr>
      <w:r>
        <w:rPr>
          <w:rFonts w:ascii="Arial" w:cs="Arial" w:eastAsia="Arial" w:hAnsi="Arial"/>
          <w:sz w:val="14"/>
          <w:szCs w:val="14"/>
          <w:color w:val="auto"/>
        </w:rPr>
        <w:t>Incorporated herein by reference to Exhibit 2.3 to the Company’s Current Report on Form 8-K filed on May 9, 2014.</w:t>
      </w:r>
    </w:p>
    <w:p>
      <w:pPr>
        <w:ind w:right="60"/>
        <w:spacing w:after="0" w:line="369" w:lineRule="auto"/>
        <w:rPr>
          <w:sz w:val="20"/>
          <w:szCs w:val="20"/>
          <w:color w:val="auto"/>
        </w:rPr>
      </w:pPr>
      <w:r>
        <w:rPr>
          <w:rFonts w:ascii="Arial" w:cs="Arial" w:eastAsia="Arial" w:hAnsi="Arial"/>
          <w:sz w:val="14"/>
          <w:szCs w:val="14"/>
          <w:color w:val="auto"/>
        </w:rPr>
        <w:t>Incorporated herein by reference to Exhibit 10.1 to the Company’s Current Report on Form 8-K filed on June 9, 2014.</w:t>
      </w:r>
    </w:p>
    <w:p>
      <w:pPr>
        <w:spacing w:after="0" w:line="36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2.1 to the Company's Current Report on Form 8-K filed on November 7, 2014.</w:t>
      </w:r>
    </w:p>
    <w:p>
      <w:pPr>
        <w:spacing w:after="0" w:line="2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2.2 to the Company's Current Report on Form 8-K filed on November 7, 2014.</w:t>
      </w:r>
    </w:p>
    <w:p>
      <w:pPr>
        <w:spacing w:after="0" w:line="2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2.1 to the Company's Quarterly Report on Form 10-Q filed on August 4, 2015.</w:t>
      </w:r>
    </w:p>
    <w:p>
      <w:pPr>
        <w:spacing w:after="0" w:line="10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2.1 to the Company's Current Report on Form 8-K filed on September 21, 2015.</w:t>
      </w:r>
    </w:p>
    <w:p>
      <w:pPr>
        <w:spacing w:after="0" w:line="387"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Incorporated herein by reference to Exhibit 2.1 to the Registrant's Current Report on Form 8-K, filed on August 9, 2016.</w:t>
      </w:r>
    </w:p>
    <w:p>
      <w:pPr>
        <w:spacing w:after="0" w:line="91" w:lineRule="exact"/>
        <w:rPr>
          <w:sz w:val="20"/>
          <w:szCs w:val="20"/>
          <w:color w:val="auto"/>
        </w:rPr>
      </w:pPr>
    </w:p>
    <w:p>
      <w:pPr>
        <w:sectPr>
          <w:pgSz w:w="11900" w:h="16838" w:orient="portrait"/>
          <w:cols w:equalWidth="0" w:num="2">
            <w:col w:w="6780" w:space="180"/>
            <w:col w:w="4140"/>
          </w:cols>
          <w:pgMar w:left="360" w:top="553"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579"/>
              <w:spacing w:after="0"/>
              <w:rPr>
                <w:sz w:val="20"/>
                <w:szCs w:val="20"/>
                <w:color w:val="auto"/>
              </w:rPr>
            </w:pPr>
            <w:r>
              <w:rPr>
                <w:rFonts w:ascii="Arial" w:cs="Arial" w:eastAsia="Arial" w:hAnsi="Arial"/>
                <w:sz w:val="16"/>
                <w:szCs w:val="16"/>
                <w:color w:val="auto"/>
                <w:w w:val="90"/>
              </w:rPr>
              <w:t>2.10*</w:t>
            </w:r>
          </w:p>
        </w:tc>
        <w:tc>
          <w:tcPr>
            <w:tcW w:w="5640" w:type="dxa"/>
            <w:vAlign w:val="bottom"/>
            <w:tcBorders>
              <w:bottom w:val="single" w:sz="8" w:color="0000FF"/>
            </w:tcBorders>
            <w:gridSpan w:val="2"/>
          </w:tcPr>
          <w:p>
            <w:pPr>
              <w:spacing w:after="0"/>
              <w:rPr>
                <w:rFonts w:ascii="Arial" w:cs="Arial" w:eastAsia="Arial" w:hAnsi="Arial"/>
                <w:sz w:val="16"/>
                <w:szCs w:val="16"/>
                <w:color w:val="0000FF"/>
                <w:w w:val="89"/>
              </w:rPr>
            </w:pPr>
            <w:hyperlink r:id="rId21">
              <w:r>
                <w:rPr>
                  <w:rFonts w:ascii="Arial" w:cs="Arial" w:eastAsia="Arial" w:hAnsi="Arial"/>
                  <w:sz w:val="16"/>
                  <w:szCs w:val="16"/>
                  <w:color w:val="0000FF"/>
                  <w:w w:val="89"/>
                </w:rPr>
                <w:t>Purchase and Sale Agreement, dated as of February 6, 2018, by and between NRG Gas</w:t>
              </w:r>
            </w:hyperlink>
          </w:p>
        </w:tc>
      </w:tr>
      <w:tr>
        <w:trPr>
          <w:trHeight w:val="183"/>
        </w:trPr>
        <w:tc>
          <w:tcPr>
            <w:tcW w:w="1020" w:type="dxa"/>
            <w:vAlign w:val="bottom"/>
          </w:tcPr>
          <w:p>
            <w:pPr>
              <w:spacing w:after="0"/>
              <w:rPr>
                <w:sz w:val="15"/>
                <w:szCs w:val="15"/>
                <w:color w:val="auto"/>
              </w:rPr>
            </w:pPr>
          </w:p>
        </w:tc>
        <w:tc>
          <w:tcPr>
            <w:tcW w:w="5640" w:type="dxa"/>
            <w:vAlign w:val="bottom"/>
            <w:gridSpan w:val="2"/>
          </w:tcPr>
          <w:p>
            <w:pPr>
              <w:spacing w:after="0" w:line="183" w:lineRule="exact"/>
              <w:rPr>
                <w:rFonts w:ascii="Arial" w:cs="Arial" w:eastAsia="Arial" w:hAnsi="Arial"/>
                <w:sz w:val="16"/>
                <w:szCs w:val="16"/>
                <w:color w:val="0000FF"/>
              </w:rPr>
            </w:pPr>
            <w:hyperlink r:id="rId21">
              <w:r>
                <w:rPr>
                  <w:rFonts w:ascii="Arial" w:cs="Arial" w:eastAsia="Arial" w:hAnsi="Arial"/>
                  <w:sz w:val="16"/>
                  <w:szCs w:val="16"/>
                  <w:color w:val="0000FF"/>
                </w:rPr>
                <w:t>Development Company, LLC and NRG Yield Operating LLC.</w:t>
              </w:r>
            </w:hyperlink>
          </w:p>
        </w:tc>
      </w:tr>
      <w:tr>
        <w:trPr>
          <w:trHeight w:val="20"/>
        </w:trPr>
        <w:tc>
          <w:tcPr>
            <w:tcW w:w="102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Incorporated herein by reference to Exhibit 2.10 to the Registrant's Annual Report on Form 10-K, filed on March 1, 2018.</w:t>
      </w:r>
    </w:p>
    <w:p>
      <w:pPr>
        <w:spacing w:after="0" w:line="91" w:lineRule="exact"/>
        <w:rPr>
          <w:sz w:val="20"/>
          <w:szCs w:val="20"/>
          <w:color w:val="auto"/>
        </w:rPr>
      </w:pPr>
    </w:p>
    <w:p>
      <w:pPr>
        <w:sectPr>
          <w:pgSz w:w="11900" w:h="16838" w:orient="portrait"/>
          <w:cols w:equalWidth="0" w:num="2">
            <w:col w:w="6660" w:space="300"/>
            <w:col w:w="4140"/>
          </w:cols>
          <w:pgMar w:left="360" w:top="553" w:right="4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579"/>
              <w:spacing w:after="0"/>
              <w:rPr>
                <w:sz w:val="20"/>
                <w:szCs w:val="20"/>
                <w:color w:val="auto"/>
              </w:rPr>
            </w:pPr>
            <w:r>
              <w:rPr>
                <w:rFonts w:ascii="Arial" w:cs="Arial" w:eastAsia="Arial" w:hAnsi="Arial"/>
                <w:sz w:val="16"/>
                <w:szCs w:val="16"/>
                <w:color w:val="auto"/>
                <w:w w:val="90"/>
              </w:rPr>
              <w:t>2.11*</w:t>
            </w:r>
          </w:p>
        </w:tc>
        <w:tc>
          <w:tcPr>
            <w:tcW w:w="5720" w:type="dxa"/>
            <w:vAlign w:val="bottom"/>
            <w:tcBorders>
              <w:bottom w:val="single" w:sz="8" w:color="0000FF"/>
            </w:tcBorders>
            <w:gridSpan w:val="2"/>
          </w:tcPr>
          <w:p>
            <w:pPr>
              <w:spacing w:after="0"/>
              <w:rPr>
                <w:rFonts w:ascii="Arial" w:cs="Arial" w:eastAsia="Arial" w:hAnsi="Arial"/>
                <w:sz w:val="16"/>
                <w:szCs w:val="16"/>
                <w:color w:val="0000FF"/>
                <w:w w:val="89"/>
              </w:rPr>
            </w:pPr>
            <w:hyperlink r:id="rId22">
              <w:r>
                <w:rPr>
                  <w:rFonts w:ascii="Arial" w:cs="Arial" w:eastAsia="Arial" w:hAnsi="Arial"/>
                  <w:sz w:val="16"/>
                  <w:szCs w:val="16"/>
                  <w:color w:val="0000FF"/>
                  <w:w w:val="89"/>
                </w:rPr>
                <w:t>Purchase and Sale Agreement, dated as of December 6, 2019, by and between Clearway</w:t>
              </w:r>
            </w:hyperlink>
          </w:p>
        </w:tc>
      </w:tr>
      <w:tr>
        <w:trPr>
          <w:trHeight w:val="183"/>
        </w:trPr>
        <w:tc>
          <w:tcPr>
            <w:tcW w:w="1020" w:type="dxa"/>
            <w:vAlign w:val="bottom"/>
          </w:tcPr>
          <w:p>
            <w:pPr>
              <w:spacing w:after="0"/>
              <w:rPr>
                <w:sz w:val="15"/>
                <w:szCs w:val="15"/>
                <w:color w:val="auto"/>
              </w:rPr>
            </w:pPr>
          </w:p>
        </w:tc>
        <w:tc>
          <w:tcPr>
            <w:tcW w:w="5720" w:type="dxa"/>
            <w:vAlign w:val="bottom"/>
            <w:gridSpan w:val="2"/>
          </w:tcPr>
          <w:p>
            <w:pPr>
              <w:spacing w:after="0" w:line="183" w:lineRule="exact"/>
              <w:rPr>
                <w:rFonts w:ascii="Arial" w:cs="Arial" w:eastAsia="Arial" w:hAnsi="Arial"/>
                <w:sz w:val="16"/>
                <w:szCs w:val="16"/>
                <w:color w:val="0000FF"/>
              </w:rPr>
            </w:pPr>
            <w:hyperlink r:id="rId22">
              <w:r>
                <w:rPr>
                  <w:rFonts w:ascii="Arial" w:cs="Arial" w:eastAsia="Arial" w:hAnsi="Arial"/>
                  <w:sz w:val="16"/>
                  <w:szCs w:val="16"/>
                  <w:color w:val="0000FF"/>
                </w:rPr>
                <w:t>Energy Operating LLC and GIP III Zephyr Carlsbad Holdings, LLC.</w:t>
              </w:r>
            </w:hyperlink>
          </w:p>
        </w:tc>
      </w:tr>
      <w:tr>
        <w:trPr>
          <w:trHeight w:val="20"/>
        </w:trPr>
        <w:tc>
          <w:tcPr>
            <w:tcW w:w="1020" w:type="dxa"/>
            <w:vAlign w:val="bottom"/>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739"/>
              <w:spacing w:after="0"/>
              <w:rPr>
                <w:sz w:val="20"/>
                <w:szCs w:val="20"/>
                <w:color w:val="auto"/>
              </w:rPr>
            </w:pPr>
            <w:r>
              <w:rPr>
                <w:rFonts w:ascii="Arial" w:cs="Arial" w:eastAsia="Arial" w:hAnsi="Arial"/>
                <w:sz w:val="16"/>
                <w:szCs w:val="16"/>
                <w:color w:val="auto"/>
                <w:w w:val="80"/>
              </w:rPr>
              <w:t>3.1</w:t>
            </w:r>
          </w:p>
        </w:tc>
        <w:tc>
          <w:tcPr>
            <w:tcW w:w="5760" w:type="dxa"/>
            <w:vAlign w:val="bottom"/>
            <w:gridSpan w:val="10"/>
          </w:tcPr>
          <w:p>
            <w:pPr>
              <w:spacing w:after="0"/>
              <w:rPr>
                <w:rFonts w:ascii="Arial" w:cs="Arial" w:eastAsia="Arial" w:hAnsi="Arial"/>
                <w:sz w:val="16"/>
                <w:szCs w:val="16"/>
                <w:color w:val="0000FF"/>
              </w:rPr>
            </w:pPr>
            <w:hyperlink r:id="rId23">
              <w:r>
                <w:rPr>
                  <w:rFonts w:ascii="Arial" w:cs="Arial" w:eastAsia="Arial" w:hAnsi="Arial"/>
                  <w:sz w:val="16"/>
                  <w:szCs w:val="16"/>
                  <w:color w:val="0000FF"/>
                </w:rPr>
                <w:t>Restated Certificate of Incorporation of NRG Yield, Inc., dated as of May 2, 2016.</w:t>
              </w:r>
            </w:hyperlink>
          </w:p>
        </w:tc>
      </w:tr>
      <w:tr>
        <w:trPr>
          <w:trHeight w:val="20"/>
        </w:trPr>
        <w:tc>
          <w:tcPr>
            <w:tcW w:w="10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42"/>
        </w:trPr>
        <w:tc>
          <w:tcPr>
            <w:tcW w:w="1020" w:type="dxa"/>
            <w:vAlign w:val="bottom"/>
          </w:tcPr>
          <w:p>
            <w:pPr>
              <w:jc w:val="right"/>
              <w:ind w:right="739"/>
              <w:spacing w:after="0"/>
              <w:rPr>
                <w:sz w:val="20"/>
                <w:szCs w:val="20"/>
                <w:color w:val="auto"/>
              </w:rPr>
            </w:pPr>
            <w:r>
              <w:rPr>
                <w:rFonts w:ascii="Arial" w:cs="Arial" w:eastAsia="Arial" w:hAnsi="Arial"/>
                <w:sz w:val="16"/>
                <w:szCs w:val="16"/>
                <w:color w:val="auto"/>
                <w:w w:val="80"/>
              </w:rPr>
              <w:t>3.2</w:t>
            </w:r>
          </w:p>
        </w:tc>
        <w:tc>
          <w:tcPr>
            <w:tcW w:w="5760" w:type="dxa"/>
            <w:vAlign w:val="bottom"/>
            <w:gridSpan w:val="10"/>
          </w:tcPr>
          <w:p>
            <w:pPr>
              <w:spacing w:after="0"/>
              <w:rPr>
                <w:rFonts w:ascii="Arial" w:cs="Arial" w:eastAsia="Arial" w:hAnsi="Arial"/>
                <w:sz w:val="16"/>
                <w:szCs w:val="16"/>
                <w:color w:val="0000FF"/>
                <w:w w:val="98"/>
              </w:rPr>
            </w:pPr>
            <w:hyperlink r:id="rId24">
              <w:r>
                <w:rPr>
                  <w:rFonts w:ascii="Arial" w:cs="Arial" w:eastAsia="Arial" w:hAnsi="Arial"/>
                  <w:sz w:val="16"/>
                  <w:szCs w:val="16"/>
                  <w:color w:val="0000FF"/>
                  <w:w w:val="98"/>
                </w:rPr>
                <w:t>Certificate of Amendment for the Restated Certificate of Incorporation of Clearway</w:t>
              </w:r>
            </w:hyperlink>
          </w:p>
        </w:tc>
      </w:tr>
      <w:tr>
        <w:trPr>
          <w:trHeight w:val="182"/>
        </w:trPr>
        <w:tc>
          <w:tcPr>
            <w:tcW w:w="1020" w:type="dxa"/>
            <w:vAlign w:val="bottom"/>
          </w:tcPr>
          <w:p>
            <w:pPr>
              <w:spacing w:after="0"/>
              <w:rPr>
                <w:sz w:val="15"/>
                <w:szCs w:val="15"/>
                <w:color w:val="auto"/>
              </w:rPr>
            </w:pPr>
          </w:p>
        </w:tc>
        <w:tc>
          <w:tcPr>
            <w:tcW w:w="238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0"/>
              </w:rPr>
            </w:pPr>
            <w:hyperlink r:id="rId24">
              <w:r>
                <w:rPr>
                  <w:rFonts w:ascii="Arial" w:cs="Arial" w:eastAsia="Arial" w:hAnsi="Arial"/>
                  <w:sz w:val="16"/>
                  <w:szCs w:val="16"/>
                  <w:color w:val="0000FF"/>
                  <w:w w:val="90"/>
                </w:rPr>
                <w:t>Energy, Inc., dated August 31, 2018.</w:t>
              </w:r>
            </w:hyperlink>
          </w:p>
        </w:tc>
        <w:tc>
          <w:tcPr>
            <w:tcW w:w="3040" w:type="dxa"/>
            <w:vAlign w:val="bottom"/>
            <w:tcBorders>
              <w:top w:val="single" w:sz="8" w:color="0000FF"/>
            </w:tcBorders>
            <w:gridSpan w:val="5"/>
          </w:tcPr>
          <w:p>
            <w:pPr>
              <w:spacing w:after="0"/>
              <w:rPr>
                <w:sz w:val="15"/>
                <w:szCs w:val="15"/>
                <w:color w:val="auto"/>
              </w:rPr>
            </w:pPr>
          </w:p>
        </w:tc>
        <w:tc>
          <w:tcPr>
            <w:tcW w:w="340" w:type="dxa"/>
            <w:vAlign w:val="bottom"/>
            <w:gridSpan w:val="3"/>
          </w:tcPr>
          <w:p>
            <w:pPr>
              <w:spacing w:after="0"/>
              <w:rPr>
                <w:sz w:val="15"/>
                <w:szCs w:val="15"/>
                <w:color w:val="auto"/>
              </w:rPr>
            </w:pPr>
          </w:p>
        </w:tc>
      </w:tr>
      <w:tr>
        <w:trPr>
          <w:trHeight w:val="439"/>
        </w:trPr>
        <w:tc>
          <w:tcPr>
            <w:tcW w:w="1020" w:type="dxa"/>
            <w:vAlign w:val="bottom"/>
          </w:tcPr>
          <w:p>
            <w:pPr>
              <w:jc w:val="right"/>
              <w:ind w:right="739"/>
              <w:spacing w:after="0"/>
              <w:rPr>
                <w:sz w:val="20"/>
                <w:szCs w:val="20"/>
                <w:color w:val="auto"/>
              </w:rPr>
            </w:pPr>
            <w:r>
              <w:rPr>
                <w:rFonts w:ascii="Arial" w:cs="Arial" w:eastAsia="Arial" w:hAnsi="Arial"/>
                <w:sz w:val="16"/>
                <w:szCs w:val="16"/>
                <w:color w:val="auto"/>
                <w:w w:val="80"/>
              </w:rPr>
              <w:t>3.3</w:t>
            </w:r>
          </w:p>
        </w:tc>
        <w:tc>
          <w:tcPr>
            <w:tcW w:w="5760" w:type="dxa"/>
            <w:vAlign w:val="bottom"/>
            <w:tcBorders>
              <w:bottom w:val="single" w:sz="8" w:color="0000FF"/>
            </w:tcBorders>
            <w:gridSpan w:val="10"/>
          </w:tcPr>
          <w:p>
            <w:pPr>
              <w:spacing w:after="0"/>
              <w:rPr>
                <w:rFonts w:ascii="Arial" w:cs="Arial" w:eastAsia="Arial" w:hAnsi="Arial"/>
                <w:sz w:val="16"/>
                <w:szCs w:val="16"/>
                <w:color w:val="0000FF"/>
                <w:w w:val="91"/>
              </w:rPr>
            </w:pPr>
            <w:hyperlink r:id="rId25">
              <w:r>
                <w:rPr>
                  <w:rFonts w:ascii="Arial" w:cs="Arial" w:eastAsia="Arial" w:hAnsi="Arial"/>
                  <w:sz w:val="16"/>
                  <w:szCs w:val="16"/>
                  <w:color w:val="0000FF"/>
                  <w:w w:val="91"/>
                </w:rPr>
                <w:t>Fourth Amended and Restated Bylaws of Clearway Energy, Inc., dated August 31, 2018.</w:t>
              </w:r>
            </w:hyperlink>
          </w:p>
        </w:tc>
      </w:tr>
      <w:tr>
        <w:trPr>
          <w:trHeight w:val="641"/>
        </w:trPr>
        <w:tc>
          <w:tcPr>
            <w:tcW w:w="1020" w:type="dxa"/>
            <w:vAlign w:val="bottom"/>
          </w:tcPr>
          <w:p>
            <w:pPr>
              <w:jc w:val="right"/>
              <w:ind w:right="739"/>
              <w:spacing w:after="0"/>
              <w:rPr>
                <w:sz w:val="20"/>
                <w:szCs w:val="20"/>
                <w:color w:val="auto"/>
              </w:rPr>
            </w:pPr>
            <w:r>
              <w:rPr>
                <w:rFonts w:ascii="Arial" w:cs="Arial" w:eastAsia="Arial" w:hAnsi="Arial"/>
                <w:sz w:val="16"/>
                <w:szCs w:val="16"/>
                <w:color w:val="auto"/>
                <w:w w:val="80"/>
              </w:rPr>
              <w:t>4.1</w:t>
            </w:r>
          </w:p>
        </w:tc>
        <w:tc>
          <w:tcPr>
            <w:tcW w:w="5520" w:type="dxa"/>
            <w:vAlign w:val="bottom"/>
            <w:tcBorders>
              <w:bottom w:val="single" w:sz="8" w:color="0000FF"/>
            </w:tcBorders>
            <w:gridSpan w:val="9"/>
          </w:tcPr>
          <w:p>
            <w:pPr>
              <w:spacing w:after="0"/>
              <w:rPr>
                <w:rFonts w:ascii="Arial" w:cs="Arial" w:eastAsia="Arial" w:hAnsi="Arial"/>
                <w:sz w:val="16"/>
                <w:szCs w:val="16"/>
                <w:color w:val="0000FF"/>
                <w:w w:val="93"/>
              </w:rPr>
            </w:pPr>
            <w:hyperlink r:id="rId26">
              <w:r>
                <w:rPr>
                  <w:rFonts w:ascii="Arial" w:cs="Arial" w:eastAsia="Arial" w:hAnsi="Arial"/>
                  <w:sz w:val="16"/>
                  <w:szCs w:val="16"/>
                  <w:color w:val="0000FF"/>
                  <w:w w:val="93"/>
                </w:rPr>
                <w:t>Fourth Amended and Restated Limited Liability Company Agreement of NRG Yield</w:t>
              </w:r>
            </w:hyperlink>
          </w:p>
        </w:tc>
        <w:tc>
          <w:tcPr>
            <w:tcW w:w="240" w:type="dxa"/>
            <w:vAlign w:val="bottom"/>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5760" w:type="dxa"/>
            <w:vAlign w:val="bottom"/>
            <w:gridSpan w:val="10"/>
          </w:tcPr>
          <w:p>
            <w:pPr>
              <w:spacing w:after="0" w:line="183" w:lineRule="exact"/>
              <w:rPr>
                <w:rFonts w:ascii="Arial" w:cs="Arial" w:eastAsia="Arial" w:hAnsi="Arial"/>
                <w:sz w:val="16"/>
                <w:szCs w:val="16"/>
                <w:color w:val="0000FF"/>
              </w:rPr>
            </w:pPr>
            <w:hyperlink r:id="rId26">
              <w:r>
                <w:rPr>
                  <w:rFonts w:ascii="Arial" w:cs="Arial" w:eastAsia="Arial" w:hAnsi="Arial"/>
                  <w:sz w:val="16"/>
                  <w:szCs w:val="16"/>
                  <w:color w:val="0000FF"/>
                </w:rPr>
                <w:t>LLC, dated as of August 31, 2018, by and between NRG Yield, Inc. and Zephyr</w:t>
              </w:r>
            </w:hyperlink>
          </w:p>
        </w:tc>
      </w:tr>
      <w:tr>
        <w:trPr>
          <w:trHeight w:val="183"/>
        </w:trPr>
        <w:tc>
          <w:tcPr>
            <w:tcW w:w="1020" w:type="dxa"/>
            <w:vAlign w:val="bottom"/>
          </w:tcPr>
          <w:p>
            <w:pPr>
              <w:spacing w:after="0"/>
              <w:rPr>
                <w:sz w:val="15"/>
                <w:szCs w:val="15"/>
                <w:color w:val="auto"/>
              </w:rPr>
            </w:pPr>
          </w:p>
        </w:tc>
        <w:tc>
          <w:tcPr>
            <w:tcW w:w="118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1"/>
              </w:rPr>
            </w:pPr>
            <w:hyperlink r:id="rId26">
              <w:r>
                <w:rPr>
                  <w:rFonts w:ascii="Arial" w:cs="Arial" w:eastAsia="Arial" w:hAnsi="Arial"/>
                  <w:sz w:val="16"/>
                  <w:szCs w:val="16"/>
                  <w:color w:val="0000FF"/>
                  <w:w w:val="91"/>
                </w:rPr>
                <w:t>Renewables LLC.</w:t>
              </w:r>
            </w:hyperlink>
          </w:p>
        </w:tc>
        <w:tc>
          <w:tcPr>
            <w:tcW w:w="4000" w:type="dxa"/>
            <w:vAlign w:val="bottom"/>
            <w:tcBorders>
              <w:top w:val="single" w:sz="8" w:color="0000FF"/>
            </w:tcBorders>
            <w:gridSpan w:val="4"/>
          </w:tcPr>
          <w:p>
            <w:pPr>
              <w:spacing w:after="0"/>
              <w:rPr>
                <w:sz w:val="15"/>
                <w:szCs w:val="15"/>
                <w:color w:val="auto"/>
              </w:rPr>
            </w:pPr>
          </w:p>
        </w:tc>
        <w:tc>
          <w:tcPr>
            <w:tcW w:w="580" w:type="dxa"/>
            <w:vAlign w:val="bottom"/>
            <w:gridSpan w:val="5"/>
          </w:tcPr>
          <w:p>
            <w:pPr>
              <w:spacing w:after="0"/>
              <w:rPr>
                <w:sz w:val="15"/>
                <w:szCs w:val="15"/>
                <w:color w:val="auto"/>
              </w:rPr>
            </w:pPr>
          </w:p>
        </w:tc>
      </w:tr>
      <w:tr>
        <w:trPr>
          <w:trHeight w:val="398"/>
        </w:trPr>
        <w:tc>
          <w:tcPr>
            <w:tcW w:w="1020" w:type="dxa"/>
            <w:vAlign w:val="bottom"/>
          </w:tcPr>
          <w:p>
            <w:pPr>
              <w:jc w:val="right"/>
              <w:ind w:right="739"/>
              <w:spacing w:after="0"/>
              <w:rPr>
                <w:sz w:val="20"/>
                <w:szCs w:val="20"/>
                <w:color w:val="auto"/>
              </w:rPr>
            </w:pPr>
            <w:r>
              <w:rPr>
                <w:rFonts w:ascii="Arial" w:cs="Arial" w:eastAsia="Arial" w:hAnsi="Arial"/>
                <w:sz w:val="16"/>
                <w:szCs w:val="16"/>
                <w:color w:val="auto"/>
                <w:w w:val="80"/>
              </w:rPr>
              <w:t>4.2</w:t>
            </w:r>
          </w:p>
        </w:tc>
        <w:tc>
          <w:tcPr>
            <w:tcW w:w="5760" w:type="dxa"/>
            <w:vAlign w:val="bottom"/>
            <w:tcBorders>
              <w:bottom w:val="single" w:sz="8" w:color="0000FF"/>
            </w:tcBorders>
            <w:gridSpan w:val="10"/>
          </w:tcPr>
          <w:p>
            <w:pPr>
              <w:spacing w:after="0"/>
              <w:rPr>
                <w:rFonts w:ascii="Arial" w:cs="Arial" w:eastAsia="Arial" w:hAnsi="Arial"/>
                <w:sz w:val="16"/>
                <w:szCs w:val="16"/>
                <w:color w:val="0000FF"/>
                <w:w w:val="92"/>
              </w:rPr>
            </w:pPr>
            <w:hyperlink r:id="rId27">
              <w:r>
                <w:rPr>
                  <w:rFonts w:ascii="Arial" w:cs="Arial" w:eastAsia="Arial" w:hAnsi="Arial"/>
                  <w:sz w:val="16"/>
                  <w:szCs w:val="16"/>
                  <w:color w:val="0000FF"/>
                  <w:w w:val="92"/>
                </w:rPr>
                <w:t>Indenture, dated February 11, 2014, among NRG Yield, Inc., NRG Yield Operating LLC</w:t>
              </w:r>
            </w:hyperlink>
          </w:p>
        </w:tc>
      </w:tr>
      <w:tr>
        <w:trPr>
          <w:trHeight w:val="183"/>
        </w:trPr>
        <w:tc>
          <w:tcPr>
            <w:tcW w:w="1020" w:type="dxa"/>
            <w:vAlign w:val="bottom"/>
          </w:tcPr>
          <w:p>
            <w:pPr>
              <w:spacing w:after="0"/>
              <w:rPr>
                <w:sz w:val="15"/>
                <w:szCs w:val="15"/>
                <w:color w:val="auto"/>
              </w:rPr>
            </w:pPr>
          </w:p>
        </w:tc>
        <w:tc>
          <w:tcPr>
            <w:tcW w:w="5760" w:type="dxa"/>
            <w:vAlign w:val="bottom"/>
            <w:gridSpan w:val="10"/>
          </w:tcPr>
          <w:p>
            <w:pPr>
              <w:spacing w:after="0" w:line="183" w:lineRule="exact"/>
              <w:rPr>
                <w:rFonts w:ascii="Arial" w:cs="Arial" w:eastAsia="Arial" w:hAnsi="Arial"/>
                <w:sz w:val="16"/>
                <w:szCs w:val="16"/>
                <w:color w:val="0000FF"/>
                <w:w w:val="97"/>
              </w:rPr>
            </w:pPr>
            <w:hyperlink r:id="rId27">
              <w:r>
                <w:rPr>
                  <w:rFonts w:ascii="Arial" w:cs="Arial" w:eastAsia="Arial" w:hAnsi="Arial"/>
                  <w:sz w:val="16"/>
                  <w:szCs w:val="16"/>
                  <w:color w:val="0000FF"/>
                  <w:w w:val="97"/>
                </w:rPr>
                <w:t>and NRG Yield LLC, as Guarantors, and Wilmington Trust, National Association, as</w:t>
              </w:r>
            </w:hyperlink>
          </w:p>
        </w:tc>
      </w:tr>
      <w:tr>
        <w:trPr>
          <w:trHeight w:val="183"/>
        </w:trPr>
        <w:tc>
          <w:tcPr>
            <w:tcW w:w="1020" w:type="dxa"/>
            <w:vAlign w:val="bottom"/>
          </w:tcPr>
          <w:p>
            <w:pPr>
              <w:spacing w:after="0"/>
              <w:rPr>
                <w:sz w:val="15"/>
                <w:szCs w:val="15"/>
                <w:color w:val="auto"/>
              </w:rPr>
            </w:pPr>
          </w:p>
        </w:tc>
        <w:tc>
          <w:tcPr>
            <w:tcW w:w="5500" w:type="dxa"/>
            <w:vAlign w:val="bottom"/>
            <w:tcBorders>
              <w:top w:val="single" w:sz="8" w:color="0000FF"/>
            </w:tcBorders>
            <w:gridSpan w:val="8"/>
          </w:tcPr>
          <w:p>
            <w:pPr>
              <w:spacing w:after="0" w:line="183" w:lineRule="exact"/>
              <w:rPr>
                <w:rFonts w:ascii="Arial" w:cs="Arial" w:eastAsia="Arial" w:hAnsi="Arial"/>
                <w:sz w:val="16"/>
                <w:szCs w:val="16"/>
                <w:color w:val="0000FF"/>
              </w:rPr>
            </w:pPr>
            <w:hyperlink r:id="rId27">
              <w:r>
                <w:rPr>
                  <w:rFonts w:ascii="Arial" w:cs="Arial" w:eastAsia="Arial" w:hAnsi="Arial"/>
                  <w:sz w:val="16"/>
                  <w:szCs w:val="16"/>
                  <w:color w:val="0000FF"/>
                </w:rPr>
                <w:t>trustee, re: the Company’s 3.50% Convertible Senior Notes due 2019.</w:t>
              </w:r>
            </w:hyperlink>
          </w:p>
        </w:tc>
        <w:tc>
          <w:tcPr>
            <w:tcW w:w="260" w:type="dxa"/>
            <w:vAlign w:val="bottom"/>
            <w:gridSpan w:val="2"/>
          </w:tcPr>
          <w:p>
            <w:pPr>
              <w:spacing w:after="0"/>
              <w:rPr>
                <w:sz w:val="15"/>
                <w:szCs w:val="15"/>
                <w:color w:val="auto"/>
              </w:rPr>
            </w:pPr>
          </w:p>
        </w:tc>
      </w:tr>
      <w:tr>
        <w:trPr>
          <w:trHeight w:val="236"/>
        </w:trPr>
        <w:tc>
          <w:tcPr>
            <w:tcW w:w="1020" w:type="dxa"/>
            <w:vAlign w:val="bottom"/>
          </w:tcPr>
          <w:p>
            <w:pPr>
              <w:jc w:val="right"/>
              <w:ind w:right="739"/>
              <w:spacing w:after="0"/>
              <w:rPr>
                <w:sz w:val="20"/>
                <w:szCs w:val="20"/>
                <w:color w:val="auto"/>
              </w:rPr>
            </w:pPr>
            <w:r>
              <w:rPr>
                <w:rFonts w:ascii="Arial" w:cs="Arial" w:eastAsia="Arial" w:hAnsi="Arial"/>
                <w:sz w:val="16"/>
                <w:szCs w:val="16"/>
                <w:color w:val="auto"/>
                <w:w w:val="80"/>
              </w:rPr>
              <w:t>4.3</w:t>
            </w:r>
          </w:p>
        </w:tc>
        <w:tc>
          <w:tcPr>
            <w:tcW w:w="330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2"/>
              </w:rPr>
            </w:pPr>
            <w:hyperlink r:id="rId27">
              <w:r>
                <w:rPr>
                  <w:rFonts w:ascii="Arial" w:cs="Arial" w:eastAsia="Arial" w:hAnsi="Arial"/>
                  <w:sz w:val="16"/>
                  <w:szCs w:val="16"/>
                  <w:color w:val="0000FF"/>
                  <w:w w:val="92"/>
                </w:rPr>
                <w:t>Form of 3.50% Convertible Senior Note due 2019.</w:t>
              </w:r>
            </w:hyperlink>
          </w:p>
        </w:tc>
        <w:tc>
          <w:tcPr>
            <w:tcW w:w="1220" w:type="dxa"/>
            <w:vAlign w:val="bottom"/>
            <w:tcBorders>
              <w:top w:val="single" w:sz="8" w:color="0000FF"/>
            </w:tcBorders>
          </w:tcPr>
          <w:p>
            <w:pPr>
              <w:spacing w:after="0"/>
              <w:rPr>
                <w:sz w:val="20"/>
                <w:szCs w:val="20"/>
                <w:color w:val="auto"/>
              </w:rPr>
            </w:pPr>
          </w:p>
        </w:tc>
        <w:tc>
          <w:tcPr>
            <w:tcW w:w="1240" w:type="dxa"/>
            <w:vAlign w:val="bottom"/>
            <w:gridSpan w:val="6"/>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2.1 to the Registrant's Current Report on Form 8-K, filed on December 9, 2019.</w:t>
      </w:r>
    </w:p>
    <w:p>
      <w:pPr>
        <w:spacing w:after="0" w:line="200" w:lineRule="exact"/>
        <w:rPr>
          <w:sz w:val="20"/>
          <w:szCs w:val="20"/>
          <w:color w:val="auto"/>
        </w:rPr>
      </w:pPr>
    </w:p>
    <w:p>
      <w:pPr>
        <w:spacing w:after="0" w:line="268"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Incorporated herein by reference to Exhibit 3.1 to the Company's Quarterly Report on Form 10-Q filed on May 5, 2016.</w:t>
      </w:r>
    </w:p>
    <w:p>
      <w:pPr>
        <w:spacing w:after="0" w:line="2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3.1 to the Company's Current Report on Form 8-K filed on September 5, 2018.</w:t>
      </w:r>
    </w:p>
    <w:p>
      <w:pPr>
        <w:spacing w:after="0" w:line="2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3.2 to the Company's Current Report on Form 8-K filed on September 5, 2018.</w:t>
      </w:r>
    </w:p>
    <w:p>
      <w:pPr>
        <w:spacing w:after="0" w:line="103"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10.6 to the Company's Current Report on Form 8-K filed on September 5, 2018.</w:t>
      </w:r>
    </w:p>
    <w:p>
      <w:pPr>
        <w:spacing w:after="0" w:line="103"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February 11, 2014.</w:t>
      </w:r>
    </w:p>
    <w:p>
      <w:pPr>
        <w:spacing w:after="0" w:line="2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February 11, 2014.</w:t>
      </w:r>
    </w:p>
    <w:p>
      <w:pPr>
        <w:spacing w:after="0" w:line="200" w:lineRule="exact"/>
        <w:rPr>
          <w:sz w:val="20"/>
          <w:szCs w:val="20"/>
          <w:color w:val="auto"/>
        </w:rPr>
      </w:pPr>
    </w:p>
    <w:p>
      <w:pPr>
        <w:sectPr>
          <w:pgSz w:w="11900" w:h="16838" w:orient="portrait"/>
          <w:cols w:equalWidth="0" w:num="2">
            <w:col w:w="6780" w:space="180"/>
            <w:col w:w="4140"/>
          </w:cols>
          <w:pgMar w:left="360" w:top="553" w:right="439" w:bottom="1440" w:gutter="0" w:footer="0" w:header="0"/>
          <w:type w:val="continuous"/>
        </w:sectPr>
      </w:pP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00"/>
          </w:cols>
          <w:pgMar w:left="360" w:top="553" w:right="4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Arial" w:cs="Arial" w:eastAsia="Arial" w:hAnsi="Arial"/>
                <w:sz w:val="16"/>
                <w:szCs w:val="16"/>
                <w:color w:val="auto"/>
              </w:rPr>
              <w:t>4.4</w:t>
            </w:r>
          </w:p>
        </w:tc>
        <w:tc>
          <w:tcPr>
            <w:tcW w:w="5740" w:type="dxa"/>
            <w:vAlign w:val="bottom"/>
            <w:gridSpan w:val="18"/>
          </w:tcPr>
          <w:p>
            <w:pPr>
              <w:spacing w:after="0"/>
              <w:rPr>
                <w:rFonts w:ascii="Arial" w:cs="Arial" w:eastAsia="Arial" w:hAnsi="Arial"/>
                <w:sz w:val="16"/>
                <w:szCs w:val="16"/>
                <w:color w:val="0000FF"/>
                <w:w w:val="97"/>
              </w:rPr>
            </w:pPr>
            <w:hyperlink r:id="rId28">
              <w:r>
                <w:rPr>
                  <w:rFonts w:ascii="Arial" w:cs="Arial" w:eastAsia="Arial" w:hAnsi="Arial"/>
                  <w:sz w:val="16"/>
                  <w:szCs w:val="16"/>
                  <w:color w:val="0000FF"/>
                  <w:w w:val="97"/>
                </w:rPr>
                <w:t>Indenture, dated August 5, 2014, among NRG Yield Operating LLC, the guarantors</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tcBorders>
              <w:top w:val="single" w:sz="8" w:color="0000FF"/>
              <w:bottom w:val="single" w:sz="8" w:color="0000FF"/>
            </w:tcBorders>
            <w:gridSpan w:val="7"/>
          </w:tcPr>
          <w:p>
            <w:pPr>
              <w:spacing w:after="0" w:line="183" w:lineRule="exact"/>
              <w:rPr>
                <w:rFonts w:ascii="Arial" w:cs="Arial" w:eastAsia="Arial" w:hAnsi="Arial"/>
                <w:sz w:val="16"/>
                <w:szCs w:val="16"/>
                <w:color w:val="0000FF"/>
                <w:w w:val="91"/>
              </w:rPr>
            </w:pPr>
            <w:hyperlink r:id="rId28">
              <w:r>
                <w:rPr>
                  <w:rFonts w:ascii="Arial" w:cs="Arial" w:eastAsia="Arial" w:hAnsi="Arial"/>
                  <w:sz w:val="16"/>
                  <w:szCs w:val="16"/>
                  <w:color w:val="0000FF"/>
                  <w:w w:val="91"/>
                </w:rPr>
                <w:t>named therein and Law Debenture Trust Company of New York, as trustee.</w:t>
              </w:r>
            </w:hyperlink>
          </w:p>
        </w:tc>
        <w:tc>
          <w:tcPr>
            <w:tcW w:w="520" w:type="dxa"/>
            <w:vAlign w:val="bottom"/>
            <w:tcBorders>
              <w:top w:val="single" w:sz="8" w:color="0000FF"/>
            </w:tcBorders>
            <w:gridSpan w:val="3"/>
          </w:tcPr>
          <w:p>
            <w:pPr>
              <w:spacing w:after="0"/>
              <w:rPr>
                <w:sz w:val="15"/>
                <w:szCs w:val="15"/>
                <w:color w:val="auto"/>
              </w:rPr>
            </w:pPr>
          </w:p>
        </w:tc>
        <w:tc>
          <w:tcPr>
            <w:tcW w:w="3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6"/>
                <w:szCs w:val="16"/>
                <w:color w:val="auto"/>
              </w:rPr>
              <w:t>4.5</w:t>
            </w:r>
          </w:p>
        </w:tc>
        <w:tc>
          <w:tcPr>
            <w:tcW w:w="5740" w:type="dxa"/>
            <w:vAlign w:val="bottom"/>
            <w:gridSpan w:val="18"/>
          </w:tcPr>
          <w:p>
            <w:pPr>
              <w:spacing w:after="0"/>
              <w:rPr>
                <w:rFonts w:ascii="Arial" w:cs="Arial" w:eastAsia="Arial" w:hAnsi="Arial"/>
                <w:sz w:val="16"/>
                <w:szCs w:val="16"/>
                <w:color w:val="0000FF"/>
              </w:rPr>
            </w:pPr>
            <w:hyperlink r:id="rId28">
              <w:r>
                <w:rPr>
                  <w:rFonts w:ascii="Arial" w:cs="Arial" w:eastAsia="Arial" w:hAnsi="Arial"/>
                  <w:sz w:val="16"/>
                  <w:szCs w:val="16"/>
                  <w:color w:val="0000FF"/>
                </w:rPr>
                <w:t>Form of 5.375% Senior Note due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020" w:type="dxa"/>
            <w:vAlign w:val="bottom"/>
          </w:tcPr>
          <w:p>
            <w:pPr>
              <w:spacing w:after="0"/>
              <w:rPr>
                <w:sz w:val="20"/>
                <w:szCs w:val="20"/>
                <w:color w:val="auto"/>
              </w:rPr>
            </w:pPr>
            <w:r>
              <w:rPr>
                <w:rFonts w:ascii="Arial" w:cs="Arial" w:eastAsia="Arial" w:hAnsi="Arial"/>
                <w:sz w:val="16"/>
                <w:szCs w:val="16"/>
                <w:color w:val="auto"/>
              </w:rPr>
              <w:t>4.6</w:t>
            </w:r>
          </w:p>
        </w:tc>
        <w:tc>
          <w:tcPr>
            <w:tcW w:w="5740" w:type="dxa"/>
            <w:vAlign w:val="bottom"/>
            <w:gridSpan w:val="18"/>
          </w:tcPr>
          <w:p>
            <w:pPr>
              <w:spacing w:after="0"/>
              <w:rPr>
                <w:rFonts w:ascii="Arial" w:cs="Arial" w:eastAsia="Arial" w:hAnsi="Arial"/>
                <w:sz w:val="16"/>
                <w:szCs w:val="16"/>
                <w:color w:val="0000FF"/>
                <w:w w:val="96"/>
              </w:rPr>
            </w:pPr>
            <w:hyperlink r:id="rId29">
              <w:r>
                <w:rPr>
                  <w:rFonts w:ascii="Arial" w:cs="Arial" w:eastAsia="Arial" w:hAnsi="Arial"/>
                  <w:sz w:val="16"/>
                  <w:szCs w:val="16"/>
                  <w:color w:val="0000FF"/>
                  <w:w w:val="96"/>
                </w:rPr>
                <w:t>Registration Rights Agreement, dated August 5, 2014, among NRG Yield Operating</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460" w:type="dxa"/>
            <w:vAlign w:val="bottom"/>
            <w:tcBorders>
              <w:top w:val="single" w:sz="8" w:color="0000FF"/>
            </w:tcBorders>
            <w:gridSpan w:val="11"/>
          </w:tcPr>
          <w:p>
            <w:pPr>
              <w:spacing w:after="0" w:line="183" w:lineRule="exact"/>
              <w:rPr>
                <w:rFonts w:ascii="Arial" w:cs="Arial" w:eastAsia="Arial" w:hAnsi="Arial"/>
                <w:sz w:val="16"/>
                <w:szCs w:val="16"/>
                <w:color w:val="0000FF"/>
                <w:w w:val="99"/>
              </w:rPr>
            </w:pPr>
            <w:hyperlink r:id="rId29">
              <w:r>
                <w:rPr>
                  <w:rFonts w:ascii="Arial" w:cs="Arial" w:eastAsia="Arial" w:hAnsi="Arial"/>
                  <w:sz w:val="16"/>
                  <w:szCs w:val="16"/>
                  <w:color w:val="0000FF"/>
                  <w:w w:val="99"/>
                </w:rPr>
                <w:t>LLC, the guarantors named therein and Merrill Lynch, Pierce, Fenner &amp; Smith</w:t>
              </w:r>
            </w:hyperlink>
          </w:p>
        </w:tc>
        <w:tc>
          <w:tcPr>
            <w:tcW w:w="2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360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0"/>
              </w:rPr>
            </w:pPr>
            <w:hyperlink r:id="rId29">
              <w:r>
                <w:rPr>
                  <w:rFonts w:ascii="Arial" w:cs="Arial" w:eastAsia="Arial" w:hAnsi="Arial"/>
                  <w:sz w:val="16"/>
                  <w:szCs w:val="16"/>
                  <w:color w:val="0000FF"/>
                  <w:w w:val="90"/>
                </w:rPr>
                <w:t>Incorporated, as representative of the initial purchasers.</w:t>
              </w:r>
            </w:hyperlink>
          </w:p>
        </w:tc>
        <w:tc>
          <w:tcPr>
            <w:tcW w:w="1500" w:type="dxa"/>
            <w:vAlign w:val="bottom"/>
            <w:tcBorders>
              <w:top w:val="single" w:sz="8" w:color="0000FF"/>
            </w:tcBorders>
            <w:gridSpan w:val="2"/>
          </w:tcPr>
          <w:p>
            <w:pPr>
              <w:spacing w:after="0"/>
              <w:rPr>
                <w:sz w:val="15"/>
                <w:szCs w:val="15"/>
                <w:color w:val="auto"/>
              </w:rPr>
            </w:pPr>
          </w:p>
        </w:tc>
        <w:tc>
          <w:tcPr>
            <w:tcW w:w="6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6"/>
                <w:szCs w:val="16"/>
                <w:color w:val="auto"/>
              </w:rPr>
              <w:t>4.7</w:t>
            </w:r>
          </w:p>
        </w:tc>
        <w:tc>
          <w:tcPr>
            <w:tcW w:w="5600" w:type="dxa"/>
            <w:vAlign w:val="bottom"/>
            <w:tcBorders>
              <w:bottom w:val="single" w:sz="8" w:color="0000FF"/>
            </w:tcBorders>
            <w:gridSpan w:val="15"/>
          </w:tcPr>
          <w:p>
            <w:pPr>
              <w:spacing w:after="0"/>
              <w:rPr>
                <w:rFonts w:ascii="Arial" w:cs="Arial" w:eastAsia="Arial" w:hAnsi="Arial"/>
                <w:sz w:val="16"/>
                <w:szCs w:val="16"/>
                <w:color w:val="0000FF"/>
                <w:w w:val="91"/>
              </w:rPr>
            </w:pPr>
            <w:hyperlink r:id="rId30">
              <w:r>
                <w:rPr>
                  <w:rFonts w:ascii="Arial" w:cs="Arial" w:eastAsia="Arial" w:hAnsi="Arial"/>
                  <w:sz w:val="16"/>
                  <w:szCs w:val="16"/>
                  <w:color w:val="0000FF"/>
                  <w:w w:val="91"/>
                </w:rPr>
                <w:t>Supplemental Indenture, dated as of November 7, 2014, among NRG Yield Operating</w:t>
              </w:r>
            </w:hyperlink>
          </w:p>
        </w:tc>
        <w:tc>
          <w:tcPr>
            <w:tcW w:w="1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58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30">
              <w:r>
                <w:rPr>
                  <w:rFonts w:ascii="Arial" w:cs="Arial" w:eastAsia="Arial" w:hAnsi="Arial"/>
                  <w:sz w:val="16"/>
                  <w:szCs w:val="16"/>
                  <w:color w:val="0000FF"/>
                  <w:w w:val="92"/>
                </w:rPr>
                <w:t>LLC, the guarantors named therein and Law Debenture Trust Company of New York.</w:t>
              </w:r>
            </w:hyperlink>
          </w:p>
        </w:tc>
        <w:tc>
          <w:tcPr>
            <w:tcW w:w="1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6"/>
                <w:szCs w:val="16"/>
                <w:color w:val="auto"/>
              </w:rPr>
              <w:t>4.8</w:t>
            </w:r>
          </w:p>
        </w:tc>
        <w:tc>
          <w:tcPr>
            <w:tcW w:w="5560" w:type="dxa"/>
            <w:vAlign w:val="bottom"/>
            <w:tcBorders>
              <w:bottom w:val="single" w:sz="8" w:color="0000FF"/>
            </w:tcBorders>
            <w:gridSpan w:val="13"/>
          </w:tcPr>
          <w:p>
            <w:pPr>
              <w:spacing w:after="0"/>
              <w:rPr>
                <w:rFonts w:ascii="Arial" w:cs="Arial" w:eastAsia="Arial" w:hAnsi="Arial"/>
                <w:sz w:val="16"/>
                <w:szCs w:val="16"/>
                <w:color w:val="0000FF"/>
                <w:w w:val="91"/>
              </w:rPr>
            </w:pPr>
            <w:hyperlink r:id="rId31">
              <w:r>
                <w:rPr>
                  <w:rFonts w:ascii="Arial" w:cs="Arial" w:eastAsia="Arial" w:hAnsi="Arial"/>
                  <w:sz w:val="16"/>
                  <w:szCs w:val="16"/>
                  <w:color w:val="0000FF"/>
                  <w:w w:val="91"/>
                </w:rPr>
                <w:t>Supplemental Indenture, dated as of February 25, 2015, among NRG Yield Operating</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558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31">
              <w:r>
                <w:rPr>
                  <w:rFonts w:ascii="Arial" w:cs="Arial" w:eastAsia="Arial" w:hAnsi="Arial"/>
                  <w:sz w:val="16"/>
                  <w:szCs w:val="16"/>
                  <w:color w:val="0000FF"/>
                  <w:w w:val="92"/>
                </w:rPr>
                <w:t>LLC, the guarantors named therein and Law Debenture Trust Company of New York.</w:t>
              </w:r>
            </w:hyperlink>
          </w:p>
        </w:tc>
        <w:tc>
          <w:tcPr>
            <w:tcW w:w="1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636"/>
        </w:trPr>
        <w:tc>
          <w:tcPr>
            <w:tcW w:w="1020" w:type="dxa"/>
            <w:vAlign w:val="bottom"/>
          </w:tcPr>
          <w:p>
            <w:pPr>
              <w:spacing w:after="0"/>
              <w:rPr>
                <w:sz w:val="20"/>
                <w:szCs w:val="20"/>
                <w:color w:val="auto"/>
              </w:rPr>
            </w:pPr>
            <w:r>
              <w:rPr>
                <w:rFonts w:ascii="Arial" w:cs="Arial" w:eastAsia="Arial" w:hAnsi="Arial"/>
                <w:sz w:val="16"/>
                <w:szCs w:val="16"/>
                <w:color w:val="auto"/>
              </w:rPr>
              <w:t>4.9</w:t>
            </w:r>
          </w:p>
        </w:tc>
        <w:tc>
          <w:tcPr>
            <w:tcW w:w="5720" w:type="dxa"/>
            <w:vAlign w:val="bottom"/>
            <w:gridSpan w:val="17"/>
            <w:vMerge w:val="restart"/>
          </w:tcPr>
          <w:p>
            <w:pPr>
              <w:spacing w:after="0"/>
              <w:rPr>
                <w:rFonts w:ascii="Arial" w:cs="Arial" w:eastAsia="Arial" w:hAnsi="Arial"/>
                <w:sz w:val="16"/>
                <w:szCs w:val="16"/>
                <w:color w:val="0000FF"/>
                <w:w w:val="92"/>
              </w:rPr>
            </w:pPr>
            <w:hyperlink r:id="rId32">
              <w:r>
                <w:rPr>
                  <w:rFonts w:ascii="Arial" w:cs="Arial" w:eastAsia="Arial" w:hAnsi="Arial"/>
                  <w:sz w:val="16"/>
                  <w:szCs w:val="16"/>
                  <w:color w:val="0000FF"/>
                  <w:w w:val="92"/>
                </w:rPr>
                <w:t>Third Supplemental Indenture, dated as of April 10, 2015, among NRG Yield Operating</w:t>
              </w:r>
            </w:hyperlink>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720" w:type="dxa"/>
            <w:vAlign w:val="bottom"/>
            <w:tcBorders>
              <w:bottom w:val="single" w:sz="8" w:color="0000FF"/>
            </w:tcBorders>
            <w:gridSpan w:val="17"/>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40" w:type="dxa"/>
            <w:vAlign w:val="bottom"/>
            <w:gridSpan w:val="18"/>
          </w:tcPr>
          <w:p>
            <w:pPr>
              <w:spacing w:after="0" w:line="183" w:lineRule="exact"/>
              <w:rPr>
                <w:rFonts w:ascii="Arial" w:cs="Arial" w:eastAsia="Arial" w:hAnsi="Arial"/>
                <w:sz w:val="16"/>
                <w:szCs w:val="16"/>
                <w:color w:val="0000FF"/>
                <w:w w:val="96"/>
              </w:rPr>
            </w:pPr>
            <w:hyperlink r:id="rId32">
              <w:r>
                <w:rPr>
                  <w:rFonts w:ascii="Arial" w:cs="Arial" w:eastAsia="Arial" w:hAnsi="Arial"/>
                  <w:sz w:val="16"/>
                  <w:szCs w:val="16"/>
                  <w:color w:val="0000FF"/>
                  <w:w w:val="96"/>
                </w:rPr>
                <w:t>LLC, NRG Yield LLC, the other guarantors named therein and Law Debenture Trust</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5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3"/>
              </w:rPr>
            </w:pPr>
            <w:hyperlink r:id="rId32">
              <w:r>
                <w:rPr>
                  <w:rFonts w:ascii="Arial" w:cs="Arial" w:eastAsia="Arial" w:hAnsi="Arial"/>
                  <w:sz w:val="16"/>
                  <w:szCs w:val="16"/>
                  <w:color w:val="0000FF"/>
                  <w:w w:val="93"/>
                </w:rPr>
                <w:t>Company of New York.</w:t>
              </w:r>
            </w:hyperlink>
          </w:p>
        </w:tc>
        <w:tc>
          <w:tcPr>
            <w:tcW w:w="3940" w:type="dxa"/>
            <w:vAlign w:val="bottom"/>
            <w:tcBorders>
              <w:top w:val="single" w:sz="8" w:color="0000FF"/>
            </w:tcBorders>
            <w:gridSpan w:val="10"/>
          </w:tcPr>
          <w:p>
            <w:pPr>
              <w:spacing w:after="0"/>
              <w:rPr>
                <w:sz w:val="15"/>
                <w:szCs w:val="15"/>
                <w:color w:val="auto"/>
              </w:rPr>
            </w:pPr>
          </w:p>
        </w:tc>
        <w:tc>
          <w:tcPr>
            <w:tcW w:w="2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1020" w:type="dxa"/>
            <w:vAlign w:val="bottom"/>
          </w:tcPr>
          <w:p>
            <w:pPr>
              <w:spacing w:after="0"/>
              <w:rPr>
                <w:sz w:val="20"/>
                <w:szCs w:val="20"/>
                <w:color w:val="auto"/>
              </w:rPr>
            </w:pPr>
            <w:r>
              <w:rPr>
                <w:rFonts w:ascii="Arial" w:cs="Arial" w:eastAsia="Arial" w:hAnsi="Arial"/>
                <w:sz w:val="16"/>
                <w:szCs w:val="16"/>
                <w:color w:val="auto"/>
              </w:rPr>
              <w:t>4.10</w:t>
            </w:r>
          </w:p>
        </w:tc>
        <w:tc>
          <w:tcPr>
            <w:tcW w:w="5660" w:type="dxa"/>
            <w:vAlign w:val="bottom"/>
            <w:gridSpan w:val="16"/>
            <w:vMerge w:val="restart"/>
          </w:tcPr>
          <w:p>
            <w:pPr>
              <w:spacing w:after="0"/>
              <w:rPr>
                <w:rFonts w:ascii="Arial" w:cs="Arial" w:eastAsia="Arial" w:hAnsi="Arial"/>
                <w:sz w:val="16"/>
                <w:szCs w:val="16"/>
                <w:color w:val="0000FF"/>
                <w:w w:val="91"/>
              </w:rPr>
            </w:pPr>
            <w:hyperlink r:id="rId33">
              <w:r>
                <w:rPr>
                  <w:rFonts w:ascii="Arial" w:cs="Arial" w:eastAsia="Arial" w:hAnsi="Arial"/>
                  <w:sz w:val="16"/>
                  <w:szCs w:val="16"/>
                  <w:color w:val="0000FF"/>
                  <w:w w:val="91"/>
                </w:rPr>
                <w:t>Fourth Supplemental Indenture, dated as of May 8, 2015, among NRG Yield Operating</w:t>
              </w:r>
            </w:hyperlink>
          </w:p>
        </w:tc>
        <w:tc>
          <w:tcPr>
            <w:tcW w:w="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020" w:type="dxa"/>
            <w:vAlign w:val="bottom"/>
          </w:tcPr>
          <w:p>
            <w:pPr>
              <w:spacing w:after="0"/>
              <w:rPr>
                <w:sz w:val="4"/>
                <w:szCs w:val="4"/>
                <w:color w:val="auto"/>
              </w:rPr>
            </w:pPr>
          </w:p>
        </w:tc>
        <w:tc>
          <w:tcPr>
            <w:tcW w:w="5660" w:type="dxa"/>
            <w:vAlign w:val="bottom"/>
            <w:tcBorders>
              <w:bottom w:val="single" w:sz="8" w:color="0000FF"/>
            </w:tcBorders>
            <w:gridSpan w:val="16"/>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58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33">
              <w:r>
                <w:rPr>
                  <w:rFonts w:ascii="Arial" w:cs="Arial" w:eastAsia="Arial" w:hAnsi="Arial"/>
                  <w:sz w:val="16"/>
                  <w:szCs w:val="16"/>
                  <w:color w:val="0000FF"/>
                  <w:w w:val="92"/>
                </w:rPr>
                <w:t>LLC, the guarantors named therein and Law Debenture Trust Company of New York.</w:t>
              </w:r>
            </w:hyperlink>
          </w:p>
        </w:tc>
        <w:tc>
          <w:tcPr>
            <w:tcW w:w="1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1020" w:type="dxa"/>
            <w:vAlign w:val="bottom"/>
          </w:tcPr>
          <w:p>
            <w:pPr>
              <w:spacing w:after="0"/>
              <w:rPr>
                <w:sz w:val="20"/>
                <w:szCs w:val="20"/>
                <w:color w:val="auto"/>
              </w:rPr>
            </w:pPr>
            <w:r>
              <w:rPr>
                <w:rFonts w:ascii="Arial" w:cs="Arial" w:eastAsia="Arial" w:hAnsi="Arial"/>
                <w:sz w:val="16"/>
                <w:szCs w:val="16"/>
                <w:color w:val="auto"/>
              </w:rPr>
              <w:t>4.11</w:t>
            </w:r>
          </w:p>
        </w:tc>
        <w:tc>
          <w:tcPr>
            <w:tcW w:w="5740" w:type="dxa"/>
            <w:vAlign w:val="bottom"/>
            <w:gridSpan w:val="18"/>
            <w:vMerge w:val="restart"/>
          </w:tcPr>
          <w:p>
            <w:pPr>
              <w:spacing w:after="0"/>
              <w:rPr>
                <w:rFonts w:ascii="Arial" w:cs="Arial" w:eastAsia="Arial" w:hAnsi="Arial"/>
                <w:sz w:val="16"/>
                <w:szCs w:val="16"/>
                <w:color w:val="0000FF"/>
                <w:w w:val="92"/>
              </w:rPr>
            </w:pPr>
            <w:hyperlink r:id="rId34">
              <w:r>
                <w:rPr>
                  <w:rFonts w:ascii="Arial" w:cs="Arial" w:eastAsia="Arial" w:hAnsi="Arial"/>
                  <w:sz w:val="16"/>
                  <w:szCs w:val="16"/>
                  <w:color w:val="0000FF"/>
                  <w:w w:val="92"/>
                </w:rPr>
                <w:t>Indenture, dated June 29, 2015, among NRG Yield, Inc., NRG Yield Operating LLC and</w:t>
              </w:r>
            </w:hyperlink>
          </w:p>
        </w:tc>
        <w:tc>
          <w:tcPr>
            <w:tcW w:w="0" w:type="dxa"/>
            <w:vAlign w:val="bottom"/>
          </w:tcPr>
          <w:p>
            <w:pPr>
              <w:spacing w:after="0"/>
              <w:rPr>
                <w:sz w:val="1"/>
                <w:szCs w:val="1"/>
                <w:color w:val="auto"/>
              </w:rPr>
            </w:pPr>
          </w:p>
        </w:tc>
      </w:tr>
      <w:tr>
        <w:trPr>
          <w:trHeight w:val="51"/>
        </w:trPr>
        <w:tc>
          <w:tcPr>
            <w:tcW w:w="1020" w:type="dxa"/>
            <w:vAlign w:val="bottom"/>
          </w:tcPr>
          <w:p>
            <w:pPr>
              <w:spacing w:after="0"/>
              <w:rPr>
                <w:sz w:val="4"/>
                <w:szCs w:val="4"/>
                <w:color w:val="auto"/>
              </w:rPr>
            </w:pPr>
          </w:p>
        </w:tc>
        <w:tc>
          <w:tcPr>
            <w:tcW w:w="5740" w:type="dxa"/>
            <w:vAlign w:val="bottom"/>
            <w:tcBorders>
              <w:bottom w:val="single" w:sz="8" w:color="0000FF"/>
            </w:tcBorders>
            <w:gridSpan w:val="1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40" w:type="dxa"/>
            <w:vAlign w:val="bottom"/>
            <w:gridSpan w:val="18"/>
          </w:tcPr>
          <w:p>
            <w:pPr>
              <w:spacing w:after="0" w:line="183" w:lineRule="exact"/>
              <w:rPr>
                <w:rFonts w:ascii="Arial" w:cs="Arial" w:eastAsia="Arial" w:hAnsi="Arial"/>
                <w:sz w:val="16"/>
                <w:szCs w:val="16"/>
                <w:color w:val="0000FF"/>
              </w:rPr>
            </w:pPr>
            <w:hyperlink r:id="rId34">
              <w:r>
                <w:rPr>
                  <w:rFonts w:ascii="Arial" w:cs="Arial" w:eastAsia="Arial" w:hAnsi="Arial"/>
                  <w:sz w:val="16"/>
                  <w:szCs w:val="16"/>
                  <w:color w:val="0000FF"/>
                </w:rPr>
                <w:t>NRG Yield LLC, as Guarantors, and Wilmington Trust, National Association, as</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220" w:type="dxa"/>
            <w:vAlign w:val="bottom"/>
            <w:tcBorders>
              <w:top w:val="single" w:sz="8" w:color="0000FF"/>
            </w:tcBorders>
            <w:gridSpan w:val="9"/>
          </w:tcPr>
          <w:p>
            <w:pPr>
              <w:spacing w:after="0" w:line="183" w:lineRule="exact"/>
              <w:rPr>
                <w:rFonts w:ascii="Arial" w:cs="Arial" w:eastAsia="Arial" w:hAnsi="Arial"/>
                <w:sz w:val="16"/>
                <w:szCs w:val="16"/>
                <w:color w:val="0000FF"/>
              </w:rPr>
            </w:pPr>
            <w:hyperlink r:id="rId34">
              <w:r>
                <w:rPr>
                  <w:rFonts w:ascii="Arial" w:cs="Arial" w:eastAsia="Arial" w:hAnsi="Arial"/>
                  <w:sz w:val="16"/>
                  <w:szCs w:val="16"/>
                  <w:color w:val="0000FF"/>
                </w:rPr>
                <w:t>Trustee.</w:t>
              </w:r>
            </w:hyperlink>
          </w:p>
        </w:tc>
        <w:tc>
          <w:tcPr>
            <w:tcW w:w="5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4.12</w:t>
            </w:r>
          </w:p>
        </w:tc>
        <w:tc>
          <w:tcPr>
            <w:tcW w:w="5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020" w:type="dxa"/>
            <w:vAlign w:val="bottom"/>
            <w:vMerge w:val="continue"/>
          </w:tcPr>
          <w:p>
            <w:pPr>
              <w:spacing w:after="0"/>
              <w:rPr>
                <w:sz w:val="24"/>
                <w:szCs w:val="24"/>
                <w:color w:val="auto"/>
              </w:rPr>
            </w:pPr>
          </w:p>
        </w:tc>
        <w:tc>
          <w:tcPr>
            <w:tcW w:w="5740" w:type="dxa"/>
            <w:vAlign w:val="bottom"/>
            <w:gridSpan w:val="18"/>
            <w:vMerge w:val="restart"/>
          </w:tcPr>
          <w:p>
            <w:pPr>
              <w:spacing w:after="0"/>
              <w:rPr>
                <w:rFonts w:ascii="Arial" w:cs="Arial" w:eastAsia="Arial" w:hAnsi="Arial"/>
                <w:sz w:val="16"/>
                <w:szCs w:val="16"/>
                <w:color w:val="0000FF"/>
              </w:rPr>
            </w:pPr>
            <w:hyperlink r:id="rId34">
              <w:r>
                <w:rPr>
                  <w:rFonts w:ascii="Arial" w:cs="Arial" w:eastAsia="Arial" w:hAnsi="Arial"/>
                  <w:sz w:val="16"/>
                  <w:szCs w:val="16"/>
                  <w:color w:val="0000FF"/>
                </w:rPr>
                <w:t>Form of 3.25% Convertible Senior Note due 2020.</w:t>
              </w:r>
            </w:hyperlink>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5740" w:type="dxa"/>
            <w:vAlign w:val="bottom"/>
            <w:gridSpan w:val="1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1"/>
        </w:trPr>
        <w:tc>
          <w:tcPr>
            <w:tcW w:w="1020" w:type="dxa"/>
            <w:vAlign w:val="bottom"/>
          </w:tcPr>
          <w:p>
            <w:pPr>
              <w:spacing w:after="0"/>
              <w:rPr>
                <w:sz w:val="20"/>
                <w:szCs w:val="20"/>
                <w:color w:val="auto"/>
              </w:rPr>
            </w:pPr>
            <w:r>
              <w:rPr>
                <w:rFonts w:ascii="Arial" w:cs="Arial" w:eastAsia="Arial" w:hAnsi="Arial"/>
                <w:sz w:val="16"/>
                <w:szCs w:val="16"/>
                <w:color w:val="auto"/>
              </w:rPr>
              <w:t>4.13</w:t>
            </w:r>
          </w:p>
        </w:tc>
        <w:tc>
          <w:tcPr>
            <w:tcW w:w="3280" w:type="dxa"/>
            <w:vAlign w:val="bottom"/>
            <w:tcBorders>
              <w:top w:val="single" w:sz="8" w:color="0000FF"/>
            </w:tcBorders>
            <w:gridSpan w:val="5"/>
          </w:tcPr>
          <w:p>
            <w:pPr>
              <w:spacing w:after="0"/>
              <w:rPr>
                <w:rFonts w:ascii="Arial" w:cs="Arial" w:eastAsia="Arial" w:hAnsi="Arial"/>
                <w:sz w:val="16"/>
                <w:szCs w:val="16"/>
                <w:color w:val="0000FF"/>
              </w:rPr>
            </w:pPr>
            <w:hyperlink r:id="rId35">
              <w:r>
                <w:rPr>
                  <w:rFonts w:ascii="Arial" w:cs="Arial" w:eastAsia="Arial" w:hAnsi="Arial"/>
                  <w:sz w:val="16"/>
                  <w:szCs w:val="16"/>
                  <w:color w:val="0000FF"/>
                </w:rPr>
                <w:t>Specimen Class A Common Stock Certificate.</w:t>
              </w:r>
            </w:hyperlink>
          </w:p>
        </w:tc>
        <w:tc>
          <w:tcPr>
            <w:tcW w:w="2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803"/>
        </w:trPr>
        <w:tc>
          <w:tcPr>
            <w:tcW w:w="1020" w:type="dxa"/>
            <w:vAlign w:val="bottom"/>
          </w:tcPr>
          <w:p>
            <w:pPr>
              <w:spacing w:after="0"/>
              <w:rPr>
                <w:sz w:val="20"/>
                <w:szCs w:val="20"/>
                <w:color w:val="auto"/>
              </w:rPr>
            </w:pPr>
            <w:r>
              <w:rPr>
                <w:rFonts w:ascii="Arial" w:cs="Arial" w:eastAsia="Arial" w:hAnsi="Arial"/>
                <w:sz w:val="16"/>
                <w:szCs w:val="16"/>
                <w:color w:val="auto"/>
              </w:rPr>
              <w:t>4.14</w:t>
            </w:r>
          </w:p>
        </w:tc>
        <w:tc>
          <w:tcPr>
            <w:tcW w:w="300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1"/>
              </w:rPr>
            </w:pPr>
            <w:hyperlink r:id="rId36">
              <w:r>
                <w:rPr>
                  <w:rFonts w:ascii="Arial" w:cs="Arial" w:eastAsia="Arial" w:hAnsi="Arial"/>
                  <w:sz w:val="16"/>
                  <w:szCs w:val="16"/>
                  <w:color w:val="0000FF"/>
                  <w:w w:val="91"/>
                </w:rPr>
                <w:t>Specimen Class C Common Stock Certificate.</w:t>
              </w:r>
            </w:hyperlink>
          </w:p>
        </w:tc>
        <w:tc>
          <w:tcPr>
            <w:tcW w:w="27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4.15</w:t>
            </w:r>
          </w:p>
        </w:tc>
        <w:tc>
          <w:tcPr>
            <w:tcW w:w="5720" w:type="dxa"/>
            <w:vAlign w:val="bottom"/>
            <w:gridSpan w:val="15"/>
            <w:vMerge w:val="restart"/>
          </w:tcPr>
          <w:p>
            <w:pPr>
              <w:spacing w:after="0"/>
              <w:rPr>
                <w:rFonts w:ascii="Arial" w:cs="Arial" w:eastAsia="Arial" w:hAnsi="Arial"/>
                <w:sz w:val="16"/>
                <w:szCs w:val="16"/>
                <w:color w:val="0000FF"/>
                <w:w w:val="95"/>
              </w:rPr>
            </w:pPr>
            <w:hyperlink r:id="rId37">
              <w:r>
                <w:rPr>
                  <w:rFonts w:ascii="Arial" w:cs="Arial" w:eastAsia="Arial" w:hAnsi="Arial"/>
                  <w:sz w:val="16"/>
                  <w:szCs w:val="16"/>
                  <w:color w:val="0000FF"/>
                  <w:w w:val="95"/>
                </w:rPr>
                <w:t>Indenture, dated August 18, 2016, among NRG Yield Operating LLC, the guarantors</w:t>
              </w:r>
            </w:hyperlink>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572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500" w:type="dxa"/>
            <w:vAlign w:val="bottom"/>
            <w:tcBorders>
              <w:top w:val="single" w:sz="8" w:color="0000FF"/>
            </w:tcBorders>
            <w:gridSpan w:val="11"/>
          </w:tcPr>
          <w:p>
            <w:pPr>
              <w:spacing w:after="0" w:line="183" w:lineRule="exact"/>
              <w:rPr>
                <w:rFonts w:ascii="Arial" w:cs="Arial" w:eastAsia="Arial" w:hAnsi="Arial"/>
                <w:sz w:val="16"/>
                <w:szCs w:val="16"/>
                <w:color w:val="0000FF"/>
              </w:rPr>
            </w:pPr>
            <w:hyperlink r:id="rId37">
              <w:r>
                <w:rPr>
                  <w:rFonts w:ascii="Arial" w:cs="Arial" w:eastAsia="Arial" w:hAnsi="Arial"/>
                  <w:sz w:val="16"/>
                  <w:szCs w:val="16"/>
                  <w:color w:val="0000FF"/>
                </w:rPr>
                <w:t>named therein and Law Debenture Trust Company of New York.</w:t>
              </w:r>
            </w:hyperlink>
          </w:p>
        </w:tc>
        <w:tc>
          <w:tcPr>
            <w:tcW w:w="2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555"/>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4.16</w:t>
            </w:r>
          </w:p>
        </w:tc>
        <w:tc>
          <w:tcPr>
            <w:tcW w:w="4200" w:type="dxa"/>
            <w:vAlign w:val="bottom"/>
            <w:tcBorders>
              <w:top w:val="single" w:sz="8" w:color="0000FF"/>
            </w:tcBorders>
            <w:gridSpan w:val="4"/>
            <w:vMerge w:val="restart"/>
          </w:tcPr>
          <w:p>
            <w:pPr>
              <w:spacing w:after="0"/>
              <w:rPr>
                <w:rFonts w:ascii="Arial" w:cs="Arial" w:eastAsia="Arial" w:hAnsi="Arial"/>
                <w:sz w:val="16"/>
                <w:szCs w:val="16"/>
                <w:color w:val="0000FF"/>
              </w:rPr>
            </w:pPr>
            <w:hyperlink r:id="rId37">
              <w:r>
                <w:rPr>
                  <w:rFonts w:ascii="Arial" w:cs="Arial" w:eastAsia="Arial" w:hAnsi="Arial"/>
                  <w:sz w:val="16"/>
                  <w:szCs w:val="16"/>
                  <w:color w:val="0000FF"/>
                </w:rPr>
                <w:t>Form of 5.000% Senior Note due 2026.</w:t>
              </w:r>
            </w:hyperlink>
          </w:p>
        </w:tc>
        <w:tc>
          <w:tcPr>
            <w:tcW w:w="1520" w:type="dxa"/>
            <w:vAlign w:val="bottom"/>
            <w:gridSpan w:val="11"/>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4200" w:type="dxa"/>
            <w:vAlign w:val="bottom"/>
            <w:gridSpan w:val="4"/>
            <w:vMerge w:val="continue"/>
          </w:tcPr>
          <w:p>
            <w:pPr>
              <w:spacing w:after="0"/>
              <w:rPr>
                <w:sz w:val="4"/>
                <w:szCs w:val="4"/>
                <w:color w:val="auto"/>
              </w:rPr>
            </w:pPr>
          </w:p>
        </w:tc>
        <w:tc>
          <w:tcPr>
            <w:tcW w:w="152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right"/>
              <w:ind w:right="659"/>
              <w:spacing w:after="0"/>
              <w:rPr>
                <w:sz w:val="20"/>
                <w:szCs w:val="20"/>
                <w:color w:val="auto"/>
              </w:rPr>
            </w:pPr>
            <w:r>
              <w:rPr>
                <w:rFonts w:ascii="Arial" w:cs="Arial" w:eastAsia="Arial" w:hAnsi="Arial"/>
                <w:sz w:val="16"/>
                <w:szCs w:val="16"/>
                <w:color w:val="auto"/>
                <w:w w:val="83"/>
              </w:rPr>
              <w:t>4.17</w:t>
            </w:r>
          </w:p>
        </w:tc>
        <w:tc>
          <w:tcPr>
            <w:tcW w:w="1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1020" w:type="dxa"/>
            <w:vAlign w:val="bottom"/>
            <w:vMerge w:val="continue"/>
          </w:tcPr>
          <w:p>
            <w:pPr>
              <w:spacing w:after="0"/>
              <w:rPr>
                <w:sz w:val="24"/>
                <w:szCs w:val="24"/>
                <w:color w:val="auto"/>
              </w:rPr>
            </w:pPr>
          </w:p>
        </w:tc>
        <w:tc>
          <w:tcPr>
            <w:tcW w:w="5720" w:type="dxa"/>
            <w:vAlign w:val="bottom"/>
            <w:gridSpan w:val="15"/>
            <w:vMerge w:val="restart"/>
          </w:tcPr>
          <w:p>
            <w:pPr>
              <w:spacing w:after="0"/>
              <w:rPr>
                <w:rFonts w:ascii="Arial" w:cs="Arial" w:eastAsia="Arial" w:hAnsi="Arial"/>
                <w:sz w:val="16"/>
                <w:szCs w:val="16"/>
                <w:color w:val="0000FF"/>
                <w:w w:val="94"/>
              </w:rPr>
            </w:pPr>
            <w:hyperlink r:id="rId38">
              <w:r>
                <w:rPr>
                  <w:rFonts w:ascii="Arial" w:cs="Arial" w:eastAsia="Arial" w:hAnsi="Arial"/>
                  <w:sz w:val="16"/>
                  <w:szCs w:val="16"/>
                  <w:color w:val="0000FF"/>
                  <w:w w:val="94"/>
                </w:rPr>
                <w:t>Registration Rights Agreement, dated August 18, 2016, among NRG Yield Operating</w:t>
              </w:r>
            </w:hyperlink>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572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720" w:type="dxa"/>
            <w:vAlign w:val="bottom"/>
            <w:tcBorders>
              <w:bottom w:val="single" w:sz="8" w:color="0000FF"/>
            </w:tcBorders>
            <w:gridSpan w:val="15"/>
          </w:tcPr>
          <w:p>
            <w:pPr>
              <w:spacing w:after="0" w:line="183" w:lineRule="exact"/>
              <w:rPr>
                <w:rFonts w:ascii="Arial" w:cs="Arial" w:eastAsia="Arial" w:hAnsi="Arial"/>
                <w:sz w:val="16"/>
                <w:szCs w:val="16"/>
                <w:color w:val="0000FF"/>
                <w:w w:val="90"/>
              </w:rPr>
            </w:pPr>
            <w:hyperlink r:id="rId38">
              <w:r>
                <w:rPr>
                  <w:rFonts w:ascii="Arial" w:cs="Arial" w:eastAsia="Arial" w:hAnsi="Arial"/>
                  <w:sz w:val="16"/>
                  <w:szCs w:val="16"/>
                  <w:color w:val="0000FF"/>
                  <w:w w:val="90"/>
                </w:rPr>
                <w:t>LLC, the guarantors named therein and J.P. Morgan Securities LLC, as representative of</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38">
              <w:r>
                <w:rPr>
                  <w:rFonts w:ascii="Arial" w:cs="Arial" w:eastAsia="Arial" w:hAnsi="Arial"/>
                  <w:sz w:val="16"/>
                  <w:szCs w:val="16"/>
                  <w:color w:val="0000FF"/>
                  <w:w w:val="91"/>
                </w:rPr>
                <w:t>the initial purchasers.</w:t>
              </w:r>
            </w:hyperlink>
          </w:p>
        </w:tc>
        <w:tc>
          <w:tcPr>
            <w:tcW w:w="432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4.18</w:t>
            </w:r>
          </w:p>
        </w:tc>
        <w:tc>
          <w:tcPr>
            <w:tcW w:w="5140" w:type="dxa"/>
            <w:vAlign w:val="bottom"/>
            <w:gridSpan w:val="7"/>
            <w:vMerge w:val="restart"/>
          </w:tcPr>
          <w:p>
            <w:pPr>
              <w:spacing w:after="0"/>
              <w:rPr>
                <w:rFonts w:ascii="Arial" w:cs="Arial" w:eastAsia="Arial" w:hAnsi="Arial"/>
                <w:sz w:val="16"/>
                <w:szCs w:val="16"/>
                <w:color w:val="0000FF"/>
                <w:w w:val="91"/>
              </w:rPr>
            </w:pPr>
            <w:hyperlink r:id="rId39">
              <w:r>
                <w:rPr>
                  <w:rFonts w:ascii="Arial" w:cs="Arial" w:eastAsia="Arial" w:hAnsi="Arial"/>
                  <w:sz w:val="16"/>
                  <w:szCs w:val="16"/>
                  <w:color w:val="0000FF"/>
                  <w:w w:val="91"/>
                </w:rPr>
                <w:t>Fifth Supplemental Indenture, dated as of January 29, 2018, among NRG Yield</w:t>
              </w:r>
            </w:hyperlink>
          </w:p>
        </w:tc>
        <w:tc>
          <w:tcPr>
            <w:tcW w:w="580" w:type="dxa"/>
            <w:vAlign w:val="bottom"/>
            <w:gridSpan w:val="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140" w:type="dxa"/>
            <w:vAlign w:val="bottom"/>
            <w:tcBorders>
              <w:bottom w:val="single" w:sz="8" w:color="0000FF"/>
            </w:tcBorders>
            <w:gridSpan w:val="7"/>
            <w:vMerge w:val="continue"/>
          </w:tcPr>
          <w:p>
            <w:pPr>
              <w:spacing w:after="0"/>
              <w:rPr>
                <w:sz w:val="4"/>
                <w:szCs w:val="4"/>
                <w:color w:val="auto"/>
              </w:rPr>
            </w:pPr>
          </w:p>
        </w:tc>
        <w:tc>
          <w:tcPr>
            <w:tcW w:w="5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180" w:type="dxa"/>
            <w:vAlign w:val="bottom"/>
            <w:tcBorders>
              <w:bottom w:val="single" w:sz="8" w:color="0000FF"/>
            </w:tcBorders>
            <w:gridSpan w:val="8"/>
          </w:tcPr>
          <w:p>
            <w:pPr>
              <w:spacing w:after="0" w:line="183" w:lineRule="exact"/>
              <w:rPr>
                <w:rFonts w:ascii="Arial" w:cs="Arial" w:eastAsia="Arial" w:hAnsi="Arial"/>
                <w:sz w:val="16"/>
                <w:szCs w:val="16"/>
                <w:color w:val="0000FF"/>
                <w:w w:val="91"/>
              </w:rPr>
            </w:pPr>
            <w:hyperlink r:id="rId39">
              <w:r>
                <w:rPr>
                  <w:rFonts w:ascii="Arial" w:cs="Arial" w:eastAsia="Arial" w:hAnsi="Arial"/>
                  <w:sz w:val="16"/>
                  <w:szCs w:val="16"/>
                  <w:color w:val="0000FF"/>
                  <w:w w:val="91"/>
                </w:rPr>
                <w:t>Operating LLC, the guarantors named therein and Delaware Trust Company (as</w:t>
              </w:r>
            </w:hyperlink>
          </w:p>
        </w:tc>
        <w:tc>
          <w:tcPr>
            <w:tcW w:w="5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4540" w:type="dxa"/>
            <w:vAlign w:val="bottom"/>
            <w:tcBorders>
              <w:bottom w:val="single" w:sz="8" w:color="0000FF"/>
            </w:tcBorders>
            <w:gridSpan w:val="5"/>
          </w:tcPr>
          <w:p>
            <w:pPr>
              <w:spacing w:after="0" w:line="183" w:lineRule="exact"/>
              <w:rPr>
                <w:rFonts w:ascii="Arial" w:cs="Arial" w:eastAsia="Arial" w:hAnsi="Arial"/>
                <w:sz w:val="16"/>
                <w:szCs w:val="16"/>
                <w:color w:val="0000FF"/>
                <w:w w:val="91"/>
              </w:rPr>
            </w:pPr>
            <w:hyperlink r:id="rId39">
              <w:r>
                <w:rPr>
                  <w:rFonts w:ascii="Arial" w:cs="Arial" w:eastAsia="Arial" w:hAnsi="Arial"/>
                  <w:sz w:val="16"/>
                  <w:szCs w:val="16"/>
                  <w:color w:val="0000FF"/>
                  <w:w w:val="91"/>
                </w:rPr>
                <w:t>successor in interest to Law Debenture Trust Company of New York).</w:t>
              </w:r>
            </w:hyperlink>
          </w:p>
        </w:tc>
        <w:tc>
          <w:tcPr>
            <w:tcW w:w="118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716"/>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4.19</w:t>
            </w:r>
          </w:p>
        </w:tc>
        <w:tc>
          <w:tcPr>
            <w:tcW w:w="5480" w:type="dxa"/>
            <w:vAlign w:val="bottom"/>
            <w:gridSpan w:val="10"/>
            <w:vMerge w:val="restart"/>
          </w:tcPr>
          <w:p>
            <w:pPr>
              <w:spacing w:after="0"/>
              <w:rPr>
                <w:rFonts w:ascii="Arial" w:cs="Arial" w:eastAsia="Arial" w:hAnsi="Arial"/>
                <w:sz w:val="16"/>
                <w:szCs w:val="16"/>
                <w:color w:val="0000FF"/>
                <w:w w:val="91"/>
              </w:rPr>
            </w:pPr>
            <w:hyperlink r:id="rId40">
              <w:r>
                <w:rPr>
                  <w:rFonts w:ascii="Arial" w:cs="Arial" w:eastAsia="Arial" w:hAnsi="Arial"/>
                  <w:sz w:val="16"/>
                  <w:szCs w:val="16"/>
                  <w:color w:val="0000FF"/>
                  <w:w w:val="91"/>
                </w:rPr>
                <w:t>Supplemental Indenture, dated as of January 29, 2018, among NRG Yield Operating</w:t>
              </w:r>
            </w:hyperlink>
          </w:p>
        </w:tc>
        <w:tc>
          <w:tcPr>
            <w:tcW w:w="24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480" w:type="dxa"/>
            <w:vAlign w:val="bottom"/>
            <w:tcBorders>
              <w:bottom w:val="single" w:sz="8" w:color="0000FF"/>
            </w:tcBorders>
            <w:gridSpan w:val="10"/>
            <w:vMerge w:val="continue"/>
          </w:tcPr>
          <w:p>
            <w:pPr>
              <w:spacing w:after="0"/>
              <w:rPr>
                <w:sz w:val="4"/>
                <w:szCs w:val="4"/>
                <w:color w:val="auto"/>
              </w:rPr>
            </w:pPr>
          </w:p>
        </w:tc>
        <w:tc>
          <w:tcPr>
            <w:tcW w:w="2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560" w:type="dxa"/>
            <w:vAlign w:val="bottom"/>
            <w:tcBorders>
              <w:bottom w:val="single" w:sz="8" w:color="0000FF"/>
            </w:tcBorders>
            <w:gridSpan w:val="13"/>
          </w:tcPr>
          <w:p>
            <w:pPr>
              <w:spacing w:after="0" w:line="183" w:lineRule="exact"/>
              <w:rPr>
                <w:rFonts w:ascii="Arial" w:cs="Arial" w:eastAsia="Arial" w:hAnsi="Arial"/>
                <w:sz w:val="16"/>
                <w:szCs w:val="16"/>
                <w:color w:val="0000FF"/>
                <w:w w:val="90"/>
              </w:rPr>
            </w:pPr>
            <w:hyperlink r:id="rId40">
              <w:r>
                <w:rPr>
                  <w:rFonts w:ascii="Arial" w:cs="Arial" w:eastAsia="Arial" w:hAnsi="Arial"/>
                  <w:sz w:val="16"/>
                  <w:szCs w:val="16"/>
                  <w:color w:val="0000FF"/>
                  <w:w w:val="90"/>
                </w:rPr>
                <w:t>LLC, the guarantors named therein and the Delaware Trust Company (as successor in</w:t>
              </w:r>
            </w:hyperlink>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20" w:type="dxa"/>
            <w:vAlign w:val="bottom"/>
            <w:gridSpan w:val="15"/>
          </w:tcPr>
          <w:p>
            <w:pPr>
              <w:spacing w:after="0" w:line="183" w:lineRule="exact"/>
              <w:rPr>
                <w:rFonts w:ascii="Arial" w:cs="Arial" w:eastAsia="Arial" w:hAnsi="Arial"/>
                <w:sz w:val="16"/>
                <w:szCs w:val="16"/>
                <w:color w:val="0000FF"/>
              </w:rPr>
            </w:pPr>
            <w:hyperlink r:id="rId40">
              <w:r>
                <w:rPr>
                  <w:rFonts w:ascii="Arial" w:cs="Arial" w:eastAsia="Arial" w:hAnsi="Arial"/>
                  <w:sz w:val="16"/>
                  <w:szCs w:val="16"/>
                  <w:color w:val="0000FF"/>
                </w:rPr>
                <w:t>interest to Law Debenture Trust Company of New York).</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right"/>
              <w:ind w:right="659"/>
              <w:spacing w:after="0"/>
              <w:rPr>
                <w:sz w:val="20"/>
                <w:szCs w:val="20"/>
                <w:color w:val="auto"/>
              </w:rPr>
            </w:pPr>
            <w:r>
              <w:rPr>
                <w:rFonts w:ascii="Arial" w:cs="Arial" w:eastAsia="Arial" w:hAnsi="Arial"/>
                <w:sz w:val="16"/>
                <w:szCs w:val="16"/>
                <w:color w:val="auto"/>
                <w:w w:val="83"/>
              </w:rPr>
              <w:t>4.20</w:t>
            </w:r>
          </w:p>
        </w:tc>
        <w:tc>
          <w:tcPr>
            <w:tcW w:w="1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020" w:type="dxa"/>
            <w:vAlign w:val="bottom"/>
            <w:vMerge w:val="continue"/>
          </w:tcPr>
          <w:p>
            <w:pPr>
              <w:spacing w:after="0"/>
              <w:rPr>
                <w:sz w:val="24"/>
                <w:szCs w:val="24"/>
                <w:color w:val="auto"/>
              </w:rPr>
            </w:pPr>
          </w:p>
        </w:tc>
        <w:tc>
          <w:tcPr>
            <w:tcW w:w="5720" w:type="dxa"/>
            <w:vAlign w:val="bottom"/>
            <w:gridSpan w:val="15"/>
            <w:vMerge w:val="restart"/>
          </w:tcPr>
          <w:p>
            <w:pPr>
              <w:spacing w:after="0"/>
              <w:rPr>
                <w:rFonts w:ascii="Arial" w:cs="Arial" w:eastAsia="Arial" w:hAnsi="Arial"/>
                <w:sz w:val="16"/>
                <w:szCs w:val="16"/>
                <w:color w:val="0000FF"/>
                <w:w w:val="92"/>
              </w:rPr>
            </w:pPr>
            <w:hyperlink r:id="rId41">
              <w:r>
                <w:rPr>
                  <w:rFonts w:ascii="Arial" w:cs="Arial" w:eastAsia="Arial" w:hAnsi="Arial"/>
                  <w:sz w:val="16"/>
                  <w:szCs w:val="16"/>
                  <w:color w:val="0000FF"/>
                  <w:w w:val="92"/>
                </w:rPr>
                <w:t>Sixth Supplemental Indenture, dated as of June 12, 2018, among NRG Yield Operating</w:t>
              </w:r>
            </w:hyperlink>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572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320" w:type="dxa"/>
            <w:vAlign w:val="bottom"/>
            <w:tcBorders>
              <w:top w:val="single" w:sz="8" w:color="0000FF"/>
              <w:bottom w:val="single" w:sz="8" w:color="0000FF"/>
            </w:tcBorders>
            <w:gridSpan w:val="9"/>
          </w:tcPr>
          <w:p>
            <w:pPr>
              <w:spacing w:after="0" w:line="183" w:lineRule="exact"/>
              <w:rPr>
                <w:rFonts w:ascii="Arial" w:cs="Arial" w:eastAsia="Arial" w:hAnsi="Arial"/>
                <w:sz w:val="16"/>
                <w:szCs w:val="16"/>
                <w:color w:val="0000FF"/>
                <w:w w:val="90"/>
              </w:rPr>
            </w:pPr>
            <w:hyperlink r:id="rId41">
              <w:r>
                <w:rPr>
                  <w:rFonts w:ascii="Arial" w:cs="Arial" w:eastAsia="Arial" w:hAnsi="Arial"/>
                  <w:sz w:val="16"/>
                  <w:szCs w:val="16"/>
                  <w:color w:val="0000FF"/>
                  <w:w w:val="90"/>
                </w:rPr>
                <w:t>LLC, the guarantors named therein and Delaware Trust Company (as successor in</w:t>
              </w:r>
            </w:hyperlink>
          </w:p>
        </w:tc>
        <w:tc>
          <w:tcPr>
            <w:tcW w:w="320" w:type="dxa"/>
            <w:vAlign w:val="bottom"/>
            <w:tcBorders>
              <w:top w:val="single" w:sz="8" w:color="0000FF"/>
            </w:tcBorders>
            <w:gridSpan w:val="5"/>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20" w:type="dxa"/>
            <w:vAlign w:val="bottom"/>
            <w:gridSpan w:val="15"/>
          </w:tcPr>
          <w:p>
            <w:pPr>
              <w:spacing w:after="0" w:line="183" w:lineRule="exact"/>
              <w:rPr>
                <w:rFonts w:ascii="Arial" w:cs="Arial" w:eastAsia="Arial" w:hAnsi="Arial"/>
                <w:sz w:val="16"/>
                <w:szCs w:val="16"/>
                <w:color w:val="0000FF"/>
              </w:rPr>
            </w:pPr>
            <w:hyperlink r:id="rId41">
              <w:r>
                <w:rPr>
                  <w:rFonts w:ascii="Arial" w:cs="Arial" w:eastAsia="Arial" w:hAnsi="Arial"/>
                  <w:sz w:val="16"/>
                  <w:szCs w:val="16"/>
                  <w:color w:val="0000FF"/>
                </w:rPr>
                <w:t>interest to Law Debenture Trust Company of New York).</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4.21</w:t>
            </w:r>
          </w:p>
        </w:tc>
        <w:tc>
          <w:tcPr>
            <w:tcW w:w="5100" w:type="dxa"/>
            <w:vAlign w:val="bottom"/>
            <w:tcBorders>
              <w:bottom w:val="single" w:sz="8" w:color="0000FF"/>
            </w:tcBorders>
            <w:gridSpan w:val="6"/>
          </w:tcPr>
          <w:p>
            <w:pPr>
              <w:spacing w:after="0"/>
              <w:rPr>
                <w:rFonts w:ascii="Arial" w:cs="Arial" w:eastAsia="Arial" w:hAnsi="Arial"/>
                <w:sz w:val="16"/>
                <w:szCs w:val="16"/>
                <w:color w:val="0000FF"/>
                <w:w w:val="90"/>
              </w:rPr>
            </w:pPr>
            <w:hyperlink r:id="rId42">
              <w:r>
                <w:rPr>
                  <w:rFonts w:ascii="Arial" w:cs="Arial" w:eastAsia="Arial" w:hAnsi="Arial"/>
                  <w:sz w:val="16"/>
                  <w:szCs w:val="16"/>
                  <w:color w:val="0000FF"/>
                  <w:w w:val="90"/>
                </w:rPr>
                <w:t>Second Supplemental Indenture, dated as of June 12, 2018, among NRG Yield</w:t>
              </w:r>
            </w:hyperlink>
          </w:p>
        </w:tc>
        <w:tc>
          <w:tcPr>
            <w:tcW w:w="6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180" w:type="dxa"/>
            <w:vAlign w:val="bottom"/>
            <w:tcBorders>
              <w:bottom w:val="single" w:sz="8" w:color="0000FF"/>
            </w:tcBorders>
            <w:gridSpan w:val="8"/>
          </w:tcPr>
          <w:p>
            <w:pPr>
              <w:spacing w:after="0" w:line="183" w:lineRule="exact"/>
              <w:rPr>
                <w:rFonts w:ascii="Arial" w:cs="Arial" w:eastAsia="Arial" w:hAnsi="Arial"/>
                <w:sz w:val="16"/>
                <w:szCs w:val="16"/>
                <w:color w:val="0000FF"/>
                <w:w w:val="91"/>
              </w:rPr>
            </w:pPr>
            <w:hyperlink r:id="rId42">
              <w:r>
                <w:rPr>
                  <w:rFonts w:ascii="Arial" w:cs="Arial" w:eastAsia="Arial" w:hAnsi="Arial"/>
                  <w:sz w:val="16"/>
                  <w:szCs w:val="16"/>
                  <w:color w:val="0000FF"/>
                  <w:w w:val="91"/>
                </w:rPr>
                <w:t>Operating LLC, the guarantors named therein and Delaware Trust Company (as</w:t>
              </w:r>
            </w:hyperlink>
          </w:p>
        </w:tc>
        <w:tc>
          <w:tcPr>
            <w:tcW w:w="5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4540" w:type="dxa"/>
            <w:vAlign w:val="bottom"/>
            <w:tcBorders>
              <w:bottom w:val="single" w:sz="8" w:color="0000FF"/>
            </w:tcBorders>
            <w:gridSpan w:val="5"/>
          </w:tcPr>
          <w:p>
            <w:pPr>
              <w:spacing w:after="0" w:line="183" w:lineRule="exact"/>
              <w:rPr>
                <w:rFonts w:ascii="Arial" w:cs="Arial" w:eastAsia="Arial" w:hAnsi="Arial"/>
                <w:sz w:val="16"/>
                <w:szCs w:val="16"/>
                <w:color w:val="0000FF"/>
                <w:w w:val="91"/>
              </w:rPr>
            </w:pPr>
            <w:hyperlink r:id="rId42">
              <w:r>
                <w:rPr>
                  <w:rFonts w:ascii="Arial" w:cs="Arial" w:eastAsia="Arial" w:hAnsi="Arial"/>
                  <w:sz w:val="16"/>
                  <w:szCs w:val="16"/>
                  <w:color w:val="0000FF"/>
                  <w:w w:val="91"/>
                </w:rPr>
                <w:t>successor in interest to Law Debenture Trust Company of New York).</w:t>
              </w:r>
            </w:hyperlink>
          </w:p>
        </w:tc>
        <w:tc>
          <w:tcPr>
            <w:tcW w:w="118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36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August 5, 2014.</w:t>
      </w:r>
    </w:p>
    <w:p>
      <w:pPr>
        <w:spacing w:after="0" w:line="22"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August 5, 2014.</w:t>
      </w:r>
    </w:p>
    <w:p>
      <w:pPr>
        <w:spacing w:after="0" w:line="22"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Incorporated herein by reference to Exhibit 4.3 to the Company's Current Report on Form 8-K filed on August 5, 2014.</w:t>
      </w:r>
    </w:p>
    <w:p>
      <w:pPr>
        <w:spacing w:after="0" w:line="2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November 13, 2014.</w:t>
      </w:r>
    </w:p>
    <w:p>
      <w:pPr>
        <w:spacing w:after="0" w:line="103"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February 27, 2015.</w:t>
      </w:r>
    </w:p>
    <w:p>
      <w:pPr>
        <w:spacing w:after="0" w:line="184"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Incorporated herein by reference to Exhibit 4.1 to the Company's Current Report on Form 8-K filed on April 16, 2015.</w:t>
      </w:r>
    </w:p>
    <w:p>
      <w:pPr>
        <w:spacing w:after="0" w:line="352" w:lineRule="exact"/>
        <w:rPr>
          <w:sz w:val="20"/>
          <w:szCs w:val="20"/>
          <w:color w:val="auto"/>
        </w:rPr>
      </w:pPr>
    </w:p>
    <w:p>
      <w:pPr>
        <w:ind w:right="12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May 8, 2015.</w:t>
      </w:r>
    </w:p>
    <w:p>
      <w:pPr>
        <w:spacing w:after="0" w:line="126"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June 29, 2015.</w:t>
      </w:r>
    </w:p>
    <w:p>
      <w:pPr>
        <w:spacing w:after="0" w:line="328" w:lineRule="exact"/>
        <w:rPr>
          <w:sz w:val="20"/>
          <w:szCs w:val="20"/>
          <w:color w:val="auto"/>
        </w:rPr>
      </w:pPr>
    </w:p>
    <w:p>
      <w:pPr>
        <w:ind w:right="40"/>
        <w:spacing w:after="0" w:line="352" w:lineRule="auto"/>
        <w:rPr>
          <w:sz w:val="20"/>
          <w:szCs w:val="20"/>
          <w:color w:val="auto"/>
        </w:rPr>
      </w:pPr>
      <w:r>
        <w:rPr>
          <w:rFonts w:ascii="Arial" w:cs="Arial" w:eastAsia="Arial" w:hAnsi="Arial"/>
          <w:sz w:val="14"/>
          <w:szCs w:val="14"/>
          <w:color w:val="auto"/>
        </w:rPr>
        <w:t>Incorporated herein by reference to Exhibit 4.2 to the Company's Current Report on Form 8-K filed on June 29, 2015</w:t>
      </w:r>
      <w:r>
        <w:rPr>
          <w:rFonts w:ascii="Arial" w:cs="Arial" w:eastAsia="Arial" w:hAnsi="Arial"/>
          <w:sz w:val="18"/>
          <w:szCs w:val="18"/>
          <w:color w:val="auto"/>
        </w:rPr>
        <w:t>.</w:t>
      </w:r>
    </w:p>
    <w:p>
      <w:pPr>
        <w:spacing w:after="0" w:line="12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4.13 to the Company's Annual Report on Form 10-K filed on February 28, 2019.</w:t>
      </w:r>
    </w:p>
    <w:p>
      <w:pPr>
        <w:spacing w:after="0" w:line="184"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4.14 to the Company's Annual Report on Form 10-K filed on February 28, 2019.</w:t>
      </w:r>
    </w:p>
    <w:p>
      <w:pPr>
        <w:spacing w:after="0" w:line="200" w:lineRule="exact"/>
        <w:rPr>
          <w:sz w:val="20"/>
          <w:szCs w:val="20"/>
          <w:color w:val="auto"/>
        </w:rPr>
      </w:pPr>
    </w:p>
    <w:p>
      <w:pPr>
        <w:spacing w:after="0" w:line="349"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Incorporated herein by reference to Exhibit 4.1 to the Registrant's Current Report on Form 8-K, filed on August 18, 2016.</w:t>
      </w:r>
    </w:p>
    <w:p>
      <w:pPr>
        <w:spacing w:after="0" w:line="184"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Incorporated herein by reference to Exhibit 4.2 to the Registrant's Current Report on Form 8-K, filed on August 18, 2016.</w:t>
      </w:r>
    </w:p>
    <w:p>
      <w:pPr>
        <w:spacing w:after="0" w:line="184"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Incorporated herein by reference to Exhibit 4.3 to the Registrant's Current Report on Form 8-K, filed on August 18, 2016.</w:t>
      </w:r>
    </w:p>
    <w:p>
      <w:pPr>
        <w:spacing w:after="0" w:line="18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4.1 to Clearway Energy LLC's Current Report on Form 8-K, filed on January 31, 2018.</w:t>
      </w:r>
    </w:p>
    <w:p>
      <w:pPr>
        <w:spacing w:after="0" w:line="200" w:lineRule="exact"/>
        <w:rPr>
          <w:sz w:val="20"/>
          <w:szCs w:val="20"/>
          <w:color w:val="auto"/>
        </w:rPr>
      </w:pPr>
    </w:p>
    <w:p>
      <w:pPr>
        <w:spacing w:after="0" w:line="34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4.2 to Clearway Energy LLC's Current Report on Form 8-K, filed on January 31, 2018.</w:t>
      </w:r>
    </w:p>
    <w:p>
      <w:pPr>
        <w:spacing w:after="0" w:line="184"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June 12, 2018.</w:t>
      </w:r>
    </w:p>
    <w:p>
      <w:pPr>
        <w:spacing w:after="0" w:line="200" w:lineRule="exact"/>
        <w:rPr>
          <w:sz w:val="20"/>
          <w:szCs w:val="20"/>
          <w:color w:val="auto"/>
        </w:rPr>
      </w:pPr>
    </w:p>
    <w:p>
      <w:pPr>
        <w:spacing w:after="0" w:line="290"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June 12, 2018.</w:t>
      </w:r>
    </w:p>
    <w:p>
      <w:pPr>
        <w:spacing w:after="0" w:line="214" w:lineRule="exact"/>
        <w:rPr>
          <w:sz w:val="20"/>
          <w:szCs w:val="20"/>
          <w:color w:val="auto"/>
        </w:rPr>
      </w:pPr>
    </w:p>
    <w:p>
      <w:pPr>
        <w:sectPr>
          <w:pgSz w:w="11900" w:h="16838" w:orient="portrait"/>
          <w:cols w:equalWidth="0" w:num="2">
            <w:col w:w="6760" w:space="200"/>
            <w:col w:w="4200"/>
          </w:cols>
          <w:pgMar w:left="360" w:top="712" w:right="379" w:bottom="352"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60"/>
          </w:cols>
          <w:pgMar w:left="360" w:top="712" w:right="379" w:bottom="352"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auto"/>
        </w:rPr>
        <w:t>4.22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4.23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4.27</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460"/>
        <w:spacing w:after="0" w:line="335" w:lineRule="auto"/>
        <w:rPr>
          <w:rFonts w:ascii="Arial" w:cs="Arial" w:eastAsia="Arial" w:hAnsi="Arial"/>
          <w:sz w:val="14"/>
          <w:szCs w:val="14"/>
          <w:u w:val="single" w:color="auto"/>
          <w:color w:val="0000FF"/>
        </w:rPr>
      </w:pPr>
      <w:hyperlink r:id="rId43">
        <w:r>
          <w:rPr>
            <w:rFonts w:ascii="Arial" w:cs="Arial" w:eastAsia="Arial" w:hAnsi="Arial"/>
            <w:sz w:val="14"/>
            <w:szCs w:val="14"/>
            <w:u w:val="single" w:color="auto"/>
            <w:color w:val="0000FF"/>
          </w:rPr>
          <w:t>Seventh Supplemental Indenture, dated as of July 17, 2018, among NRG Yield</w:t>
        </w:r>
      </w:hyperlink>
      <w:r>
        <w:rPr>
          <w:rFonts w:ascii="Arial" w:cs="Arial" w:eastAsia="Arial" w:hAnsi="Arial"/>
          <w:sz w:val="14"/>
          <w:szCs w:val="14"/>
          <w:u w:val="single" w:color="auto"/>
          <w:color w:val="0000FF"/>
        </w:rPr>
        <w:t xml:space="preserve"> </w:t>
      </w:r>
      <w:hyperlink r:id="rId43">
        <w:r>
          <w:rPr>
            <w:rFonts w:ascii="Arial" w:cs="Arial" w:eastAsia="Arial" w:hAnsi="Arial"/>
            <w:sz w:val="14"/>
            <w:szCs w:val="14"/>
            <w:u w:val="single" w:color="auto"/>
            <w:color w:val="0000FF"/>
          </w:rPr>
          <w:t>Operating LLC, the guarantors named therein and Delaware Trust Company (as</w:t>
        </w:r>
      </w:hyperlink>
      <w:r>
        <w:rPr>
          <w:rFonts w:ascii="Arial" w:cs="Arial" w:eastAsia="Arial" w:hAnsi="Arial"/>
          <w:sz w:val="14"/>
          <w:szCs w:val="14"/>
          <w:u w:val="single" w:color="auto"/>
          <w:color w:val="0000FF"/>
        </w:rPr>
        <w:t xml:space="preserve"> </w:t>
      </w:r>
      <w:hyperlink r:id="rId43">
        <w:r>
          <w:rPr>
            <w:rFonts w:ascii="Arial" w:cs="Arial" w:eastAsia="Arial" w:hAnsi="Arial"/>
            <w:sz w:val="14"/>
            <w:szCs w:val="14"/>
            <w:u w:val="single" w:color="auto"/>
            <w:color w:val="0000FF"/>
          </w:rPr>
          <w:t>successor in interest to Law Debenture Trust Company of New York).</w:t>
        </w:r>
      </w:hyperlink>
    </w:p>
    <w:p>
      <w:pPr>
        <w:spacing w:after="0" w:line="200" w:lineRule="exact"/>
        <w:rPr>
          <w:rFonts w:ascii="Arial" w:cs="Arial" w:eastAsia="Arial" w:hAnsi="Arial"/>
          <w:sz w:val="14"/>
          <w:szCs w:val="14"/>
          <w:u w:val="single" w:color="auto"/>
          <w:color w:val="0000FF"/>
        </w:rPr>
      </w:pPr>
    </w:p>
    <w:p>
      <w:pPr>
        <w:spacing w:after="0" w:line="314" w:lineRule="exact"/>
        <w:rPr>
          <w:rFonts w:ascii="Arial" w:cs="Arial" w:eastAsia="Arial" w:hAnsi="Arial"/>
          <w:sz w:val="14"/>
          <w:szCs w:val="14"/>
          <w:u w:val="single" w:color="auto"/>
          <w:color w:val="0000FF"/>
        </w:rPr>
      </w:pPr>
    </w:p>
    <w:p>
      <w:pPr>
        <w:spacing w:after="0" w:line="278" w:lineRule="auto"/>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Third Supplemental Indenture, dated as of July 17, 2018, among NRG Yield Operating</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LLC, the guarantors named therein and Delaware Trust Company (as successor in</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interest to Law Debenture Trust Company of New York).</w:t>
        </w:r>
      </w:hyperlink>
    </w:p>
    <w:p>
      <w:pPr>
        <w:spacing w:after="0" w:line="184" w:lineRule="exact"/>
        <w:rPr>
          <w:rFonts w:ascii="Arial" w:cs="Arial" w:eastAsia="Arial" w:hAnsi="Arial"/>
          <w:sz w:val="16"/>
          <w:szCs w:val="16"/>
          <w:u w:val="single" w:color="auto"/>
          <w:color w:val="0000FF"/>
        </w:rPr>
      </w:pPr>
    </w:p>
    <w:p>
      <w:pPr>
        <w:jc w:val="both"/>
        <w:ind w:right="420"/>
        <w:spacing w:after="0" w:line="335" w:lineRule="auto"/>
        <w:rPr>
          <w:rFonts w:ascii="Arial" w:cs="Arial" w:eastAsia="Arial" w:hAnsi="Arial"/>
          <w:sz w:val="14"/>
          <w:szCs w:val="14"/>
          <w:u w:val="single" w:color="auto"/>
          <w:color w:val="0000FF"/>
        </w:rPr>
      </w:pPr>
      <w:hyperlink r:id="rId45">
        <w:r>
          <w:rPr>
            <w:rFonts w:ascii="Arial" w:cs="Arial" w:eastAsia="Arial" w:hAnsi="Arial"/>
            <w:sz w:val="14"/>
            <w:szCs w:val="14"/>
            <w:u w:val="single" w:color="auto"/>
            <w:color w:val="0000FF"/>
          </w:rPr>
          <w:t>Eighth Supplemental Indenture, dated as of August 30, 2018, among NRG Yield</w:t>
        </w:r>
      </w:hyperlink>
      <w:r>
        <w:rPr>
          <w:rFonts w:ascii="Arial" w:cs="Arial" w:eastAsia="Arial" w:hAnsi="Arial"/>
          <w:sz w:val="14"/>
          <w:szCs w:val="14"/>
          <w:u w:val="single" w:color="auto"/>
          <w:color w:val="0000FF"/>
        </w:rPr>
        <w:t xml:space="preserve"> </w:t>
      </w:r>
      <w:hyperlink r:id="rId45">
        <w:r>
          <w:rPr>
            <w:rFonts w:ascii="Arial" w:cs="Arial" w:eastAsia="Arial" w:hAnsi="Arial"/>
            <w:sz w:val="14"/>
            <w:szCs w:val="14"/>
            <w:u w:val="single" w:color="auto"/>
            <w:color w:val="0000FF"/>
          </w:rPr>
          <w:t>Operating LLC, the guarantors named therein and Delaware Trust Company (as</w:t>
        </w:r>
      </w:hyperlink>
      <w:r>
        <w:rPr>
          <w:rFonts w:ascii="Arial" w:cs="Arial" w:eastAsia="Arial" w:hAnsi="Arial"/>
          <w:sz w:val="14"/>
          <w:szCs w:val="14"/>
          <w:u w:val="single" w:color="auto"/>
          <w:color w:val="0000FF"/>
        </w:rPr>
        <w:t xml:space="preserve"> </w:t>
      </w:r>
      <w:hyperlink r:id="rId45">
        <w:r>
          <w:rPr>
            <w:rFonts w:ascii="Arial" w:cs="Arial" w:eastAsia="Arial" w:hAnsi="Arial"/>
            <w:sz w:val="14"/>
            <w:szCs w:val="14"/>
            <w:u w:val="single" w:color="auto"/>
            <w:color w:val="0000FF"/>
          </w:rPr>
          <w:t>successor in interest to Law Debenture Trust Company of New York).</w:t>
        </w:r>
      </w:hyperlink>
    </w:p>
    <w:p>
      <w:pPr>
        <w:spacing w:after="0" w:line="200" w:lineRule="exact"/>
        <w:rPr>
          <w:rFonts w:ascii="Arial" w:cs="Arial" w:eastAsia="Arial" w:hAnsi="Arial"/>
          <w:sz w:val="14"/>
          <w:szCs w:val="14"/>
          <w:u w:val="single" w:color="auto"/>
          <w:color w:val="0000FF"/>
        </w:rPr>
      </w:pPr>
    </w:p>
    <w:p>
      <w:pPr>
        <w:spacing w:after="0" w:line="314" w:lineRule="exact"/>
        <w:rPr>
          <w:rFonts w:ascii="Arial" w:cs="Arial" w:eastAsia="Arial" w:hAnsi="Arial"/>
          <w:sz w:val="14"/>
          <w:szCs w:val="14"/>
          <w:u w:val="single" w:color="auto"/>
          <w:color w:val="0000FF"/>
        </w:rPr>
      </w:pPr>
    </w:p>
    <w:p>
      <w:pPr>
        <w:jc w:val="both"/>
        <w:ind w:right="420"/>
        <w:spacing w:after="0" w:line="335" w:lineRule="auto"/>
        <w:rPr>
          <w:rFonts w:ascii="Arial" w:cs="Arial" w:eastAsia="Arial" w:hAnsi="Arial"/>
          <w:sz w:val="14"/>
          <w:szCs w:val="14"/>
          <w:u w:val="single" w:color="auto"/>
          <w:color w:val="0000FF"/>
        </w:rPr>
      </w:pPr>
      <w:hyperlink r:id="rId46">
        <w:r>
          <w:rPr>
            <w:rFonts w:ascii="Arial" w:cs="Arial" w:eastAsia="Arial" w:hAnsi="Arial"/>
            <w:sz w:val="14"/>
            <w:szCs w:val="14"/>
            <w:u w:val="single" w:color="auto"/>
            <w:color w:val="0000FF"/>
          </w:rPr>
          <w:t>Fourth Supplemental Indenture, dated as of August 30, 2018, among NRG Yield</w:t>
        </w:r>
      </w:hyperlink>
      <w:r>
        <w:rPr>
          <w:rFonts w:ascii="Arial" w:cs="Arial" w:eastAsia="Arial" w:hAnsi="Arial"/>
          <w:sz w:val="14"/>
          <w:szCs w:val="14"/>
          <w:u w:val="single" w:color="auto"/>
          <w:color w:val="0000FF"/>
        </w:rPr>
        <w:t xml:space="preserve"> </w:t>
      </w:r>
      <w:hyperlink r:id="rId46">
        <w:r>
          <w:rPr>
            <w:rFonts w:ascii="Arial" w:cs="Arial" w:eastAsia="Arial" w:hAnsi="Arial"/>
            <w:sz w:val="14"/>
            <w:szCs w:val="14"/>
            <w:u w:val="single" w:color="auto"/>
            <w:color w:val="0000FF"/>
          </w:rPr>
          <w:t>Operating LLC, the guarantors named therein and Delaware Trust Company (as</w:t>
        </w:r>
      </w:hyperlink>
      <w:r>
        <w:rPr>
          <w:rFonts w:ascii="Arial" w:cs="Arial" w:eastAsia="Arial" w:hAnsi="Arial"/>
          <w:sz w:val="14"/>
          <w:szCs w:val="14"/>
          <w:u w:val="single" w:color="auto"/>
          <w:color w:val="0000FF"/>
        </w:rPr>
        <w:t xml:space="preserve"> </w:t>
      </w:r>
      <w:hyperlink r:id="rId46">
        <w:r>
          <w:rPr>
            <w:rFonts w:ascii="Arial" w:cs="Arial" w:eastAsia="Arial" w:hAnsi="Arial"/>
            <w:sz w:val="14"/>
            <w:szCs w:val="14"/>
            <w:u w:val="single" w:color="auto"/>
            <w:color w:val="0000FF"/>
          </w:rPr>
          <w:t>successor in interest to Law Debenture Trust Company of New York).</w:t>
        </w:r>
      </w:hyperlink>
    </w:p>
    <w:p>
      <w:pPr>
        <w:spacing w:after="0" w:line="200" w:lineRule="exact"/>
        <w:rPr>
          <w:rFonts w:ascii="Arial" w:cs="Arial" w:eastAsia="Arial" w:hAnsi="Arial"/>
          <w:sz w:val="14"/>
          <w:szCs w:val="14"/>
          <w:u w:val="single" w:color="auto"/>
          <w:color w:val="0000FF"/>
        </w:rPr>
      </w:pPr>
    </w:p>
    <w:p>
      <w:pPr>
        <w:spacing w:after="0" w:line="314" w:lineRule="exact"/>
        <w:rPr>
          <w:rFonts w:ascii="Arial" w:cs="Arial" w:eastAsia="Arial" w:hAnsi="Arial"/>
          <w:sz w:val="14"/>
          <w:szCs w:val="14"/>
          <w:u w:val="single" w:color="auto"/>
          <w:color w:val="0000FF"/>
        </w:rPr>
      </w:pPr>
    </w:p>
    <w:p>
      <w:pPr>
        <w:ind w:right="500"/>
        <w:spacing w:after="0" w:line="328" w:lineRule="auto"/>
        <w:rPr>
          <w:rFonts w:ascii="Arial" w:cs="Arial" w:eastAsia="Arial" w:hAnsi="Arial"/>
          <w:sz w:val="15"/>
          <w:szCs w:val="15"/>
          <w:u w:val="single" w:color="auto"/>
          <w:color w:val="0000FF"/>
        </w:rPr>
      </w:pPr>
      <w:hyperlink r:id="rId47">
        <w:r>
          <w:rPr>
            <w:rFonts w:ascii="Arial" w:cs="Arial" w:eastAsia="Arial" w:hAnsi="Arial"/>
            <w:sz w:val="15"/>
            <w:szCs w:val="15"/>
            <w:u w:val="single" w:color="auto"/>
            <w:color w:val="0000FF"/>
          </w:rPr>
          <w:t>Indenture, dated October 1, 2018, among Clearway Energy Operating LLC, the</w:t>
        </w:r>
      </w:hyperlink>
      <w:r>
        <w:rPr>
          <w:rFonts w:ascii="Arial" w:cs="Arial" w:eastAsia="Arial" w:hAnsi="Arial"/>
          <w:sz w:val="15"/>
          <w:szCs w:val="15"/>
          <w:u w:val="single" w:color="auto"/>
          <w:color w:val="0000FF"/>
        </w:rPr>
        <w:t xml:space="preserve"> </w:t>
      </w:r>
      <w:hyperlink r:id="rId47">
        <w:r>
          <w:rPr>
            <w:rFonts w:ascii="Arial" w:cs="Arial" w:eastAsia="Arial" w:hAnsi="Arial"/>
            <w:sz w:val="15"/>
            <w:szCs w:val="15"/>
            <w:u w:val="single" w:color="auto"/>
            <w:color w:val="0000FF"/>
          </w:rPr>
          <w:t>guarantors named therein and Delaware Trust Company, as trustee.</w:t>
        </w:r>
      </w:hyperlink>
    </w:p>
    <w:p>
      <w:pPr>
        <w:spacing w:after="0" w:line="352" w:lineRule="exact"/>
        <w:rPr>
          <w:sz w:val="20"/>
          <w:szCs w:val="20"/>
          <w:color w:val="auto"/>
        </w:rPr>
      </w:pPr>
    </w:p>
    <w:p>
      <w:pPr>
        <w:spacing w:after="0"/>
        <w:rPr>
          <w:rFonts w:ascii="Arial" w:cs="Arial" w:eastAsia="Arial" w:hAnsi="Arial"/>
          <w:sz w:val="16"/>
          <w:szCs w:val="16"/>
          <w:u w:val="single" w:color="auto"/>
          <w:color w:val="0000FF"/>
        </w:rPr>
      </w:pPr>
      <w:hyperlink r:id="rId48">
        <w:r>
          <w:rPr>
            <w:rFonts w:ascii="Arial" w:cs="Arial" w:eastAsia="Arial" w:hAnsi="Arial"/>
            <w:sz w:val="16"/>
            <w:szCs w:val="16"/>
            <w:u w:val="single" w:color="auto"/>
            <w:color w:val="0000FF"/>
          </w:rPr>
          <w:t>Form of 5.750% Senior Notes due 2025.</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4.3 to the Company's Quarterly Report on Form 10-Q filed on August 2, 2018.</w:t>
      </w:r>
    </w:p>
    <w:p>
      <w:pPr>
        <w:spacing w:after="0" w:line="200" w:lineRule="exact"/>
        <w:rPr>
          <w:sz w:val="20"/>
          <w:szCs w:val="20"/>
          <w:color w:val="auto"/>
        </w:rPr>
      </w:pPr>
    </w:p>
    <w:p>
      <w:pPr>
        <w:spacing w:after="0" w:line="34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4.4 to the Company's Quarterly Report on Form 10-Q filed on August 2, 2018.</w:t>
      </w:r>
    </w:p>
    <w:p>
      <w:pPr>
        <w:spacing w:after="0" w:line="18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September 6, 2018.</w:t>
      </w:r>
    </w:p>
    <w:p>
      <w:pPr>
        <w:spacing w:after="0" w:line="200" w:lineRule="exact"/>
        <w:rPr>
          <w:sz w:val="20"/>
          <w:szCs w:val="20"/>
          <w:color w:val="auto"/>
        </w:rPr>
      </w:pPr>
    </w:p>
    <w:p>
      <w:pPr>
        <w:spacing w:after="0" w:line="34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September 6, 2018.</w:t>
      </w:r>
    </w:p>
    <w:p>
      <w:pPr>
        <w:spacing w:after="0" w:line="200" w:lineRule="exact"/>
        <w:rPr>
          <w:sz w:val="20"/>
          <w:szCs w:val="20"/>
          <w:color w:val="auto"/>
        </w:rPr>
      </w:pPr>
    </w:p>
    <w:p>
      <w:pPr>
        <w:spacing w:after="0" w:line="349"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October 2, 2018.</w:t>
      </w:r>
    </w:p>
    <w:p>
      <w:pPr>
        <w:spacing w:after="0" w:line="184"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October 2, 2018.</w:t>
      </w:r>
    </w:p>
    <w:p>
      <w:pPr>
        <w:spacing w:after="0" w:line="103" w:lineRule="exact"/>
        <w:rPr>
          <w:sz w:val="20"/>
          <w:szCs w:val="20"/>
          <w:color w:val="auto"/>
        </w:rPr>
      </w:pPr>
    </w:p>
    <w:p>
      <w:pPr>
        <w:sectPr>
          <w:pgSz w:w="11900" w:h="16838" w:orient="portrait"/>
          <w:cols w:equalWidth="0" w:num="3">
            <w:col w:w="300" w:space="720"/>
            <w:col w:w="5640" w:space="300"/>
            <w:col w:w="4140"/>
          </w:cols>
          <w:pgMar w:left="360" w:top="724" w:right="439" w:bottom="249" w:gutter="0" w:footer="0" w:header="0"/>
        </w:sectPr>
      </w:pPr>
    </w:p>
    <w:p>
      <w:pPr>
        <w:spacing w:after="0"/>
        <w:rPr>
          <w:sz w:val="20"/>
          <w:szCs w:val="20"/>
          <w:color w:val="auto"/>
        </w:rPr>
      </w:pPr>
      <w:r>
        <w:rPr>
          <w:rFonts w:ascii="Arial" w:cs="Arial" w:eastAsia="Arial" w:hAnsi="Arial"/>
          <w:sz w:val="14"/>
          <w:szCs w:val="14"/>
          <w:color w:val="auto"/>
        </w:rPr>
        <w:t>4.28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4.29</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4.30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320"/>
        <w:spacing w:after="0" w:line="278" w:lineRule="auto"/>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Registration Rights Agreement, dated October 1, 2018, among Clearway Energy</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Operating LLC, the guarantors named therein and RBC Capital Markets, LLC, as</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representative of the initial purchasers.</w:t>
        </w:r>
      </w:hyperlink>
    </w:p>
    <w:p>
      <w:pPr>
        <w:spacing w:after="0" w:line="184" w:lineRule="exact"/>
        <w:rPr>
          <w:rFonts w:ascii="Arial" w:cs="Arial" w:eastAsia="Arial" w:hAnsi="Arial"/>
          <w:sz w:val="16"/>
          <w:szCs w:val="16"/>
          <w:u w:val="single" w:color="auto"/>
          <w:color w:val="0000FF"/>
        </w:rPr>
      </w:pPr>
    </w:p>
    <w:p>
      <w:pPr>
        <w:spacing w:after="0" w:line="305" w:lineRule="auto"/>
        <w:rPr>
          <w:rFonts w:ascii="Arial" w:cs="Arial" w:eastAsia="Arial" w:hAnsi="Arial"/>
          <w:sz w:val="15"/>
          <w:szCs w:val="15"/>
          <w:u w:val="single" w:color="auto"/>
          <w:color w:val="0000FF"/>
        </w:rPr>
      </w:pPr>
      <w:hyperlink r:id="rId50">
        <w:r>
          <w:rPr>
            <w:rFonts w:ascii="Arial" w:cs="Arial" w:eastAsia="Arial" w:hAnsi="Arial"/>
            <w:sz w:val="15"/>
            <w:szCs w:val="15"/>
            <w:u w:val="single" w:color="auto"/>
            <w:color w:val="0000FF"/>
          </w:rPr>
          <w:t>Ninth Supplemental Indenture, dated as of October 25, 2018, among Clearway Energy</w:t>
        </w:r>
      </w:hyperlink>
      <w:r>
        <w:rPr>
          <w:rFonts w:ascii="Arial" w:cs="Arial" w:eastAsia="Arial" w:hAnsi="Arial"/>
          <w:sz w:val="15"/>
          <w:szCs w:val="15"/>
          <w:u w:val="single" w:color="auto"/>
          <w:color w:val="0000FF"/>
        </w:rPr>
        <w:t xml:space="preserve"> </w:t>
      </w:r>
      <w:hyperlink r:id="rId50">
        <w:r>
          <w:rPr>
            <w:rFonts w:ascii="Arial" w:cs="Arial" w:eastAsia="Arial" w:hAnsi="Arial"/>
            <w:sz w:val="15"/>
            <w:szCs w:val="15"/>
            <w:u w:val="single" w:color="auto"/>
            <w:color w:val="0000FF"/>
          </w:rPr>
          <w:t>Operating LLC, the guarantors named therein and Delaware Trust Company (as</w:t>
        </w:r>
      </w:hyperlink>
      <w:r>
        <w:rPr>
          <w:rFonts w:ascii="Arial" w:cs="Arial" w:eastAsia="Arial" w:hAnsi="Arial"/>
          <w:sz w:val="15"/>
          <w:szCs w:val="15"/>
          <w:u w:val="single" w:color="auto"/>
          <w:color w:val="0000FF"/>
        </w:rPr>
        <w:t xml:space="preserve"> </w:t>
      </w:r>
      <w:hyperlink r:id="rId50">
        <w:r>
          <w:rPr>
            <w:rFonts w:ascii="Arial" w:cs="Arial" w:eastAsia="Arial" w:hAnsi="Arial"/>
            <w:sz w:val="15"/>
            <w:szCs w:val="15"/>
            <w:u w:val="single" w:color="auto"/>
            <w:color w:val="0000FF"/>
          </w:rPr>
          <w:t>successor in interest to Law Debenture Trust Company of New York).</w:t>
        </w:r>
      </w:hyperlink>
    </w:p>
    <w:p>
      <w:pPr>
        <w:spacing w:after="0" w:line="166" w:lineRule="exact"/>
        <w:rPr>
          <w:rFonts w:ascii="Arial" w:cs="Arial" w:eastAsia="Arial" w:hAnsi="Arial"/>
          <w:sz w:val="15"/>
          <w:szCs w:val="15"/>
          <w:u w:val="single" w:color="auto"/>
          <w:color w:val="0000FF"/>
        </w:rPr>
      </w:pPr>
    </w:p>
    <w:p>
      <w:pPr>
        <w:ind w:right="60"/>
        <w:spacing w:after="0" w:line="335" w:lineRule="auto"/>
        <w:rPr>
          <w:rFonts w:ascii="Arial" w:cs="Arial" w:eastAsia="Arial" w:hAnsi="Arial"/>
          <w:sz w:val="14"/>
          <w:szCs w:val="14"/>
          <w:u w:val="single" w:color="auto"/>
          <w:color w:val="0000FF"/>
        </w:rPr>
      </w:pPr>
      <w:hyperlink r:id="rId51">
        <w:r>
          <w:rPr>
            <w:rFonts w:ascii="Arial" w:cs="Arial" w:eastAsia="Arial" w:hAnsi="Arial"/>
            <w:sz w:val="14"/>
            <w:szCs w:val="14"/>
            <w:u w:val="single" w:color="auto"/>
            <w:color w:val="0000FF"/>
          </w:rPr>
          <w:t>Fifth Supplemental Indenture, dated as of October 25, 2018, among Clearway Energy</w:t>
        </w:r>
      </w:hyperlink>
      <w:r>
        <w:rPr>
          <w:rFonts w:ascii="Arial" w:cs="Arial" w:eastAsia="Arial" w:hAnsi="Arial"/>
          <w:sz w:val="14"/>
          <w:szCs w:val="14"/>
          <w:u w:val="single" w:color="auto"/>
          <w:color w:val="0000FF"/>
        </w:rPr>
        <w:t xml:space="preserve"> </w:t>
      </w:r>
      <w:hyperlink r:id="rId51">
        <w:r>
          <w:rPr>
            <w:rFonts w:ascii="Arial" w:cs="Arial" w:eastAsia="Arial" w:hAnsi="Arial"/>
            <w:sz w:val="14"/>
            <w:szCs w:val="14"/>
            <w:u w:val="single" w:color="auto"/>
            <w:color w:val="0000FF"/>
          </w:rPr>
          <w:t>Operating LLC, the guarantors named therein and Delaware Trust Company (as</w:t>
        </w:r>
      </w:hyperlink>
      <w:r>
        <w:rPr>
          <w:rFonts w:ascii="Arial" w:cs="Arial" w:eastAsia="Arial" w:hAnsi="Arial"/>
          <w:sz w:val="14"/>
          <w:szCs w:val="14"/>
          <w:u w:val="single" w:color="auto"/>
          <w:color w:val="0000FF"/>
        </w:rPr>
        <w:t xml:space="preserve"> </w:t>
      </w:r>
      <w:hyperlink r:id="rId51">
        <w:r>
          <w:rPr>
            <w:rFonts w:ascii="Arial" w:cs="Arial" w:eastAsia="Arial" w:hAnsi="Arial"/>
            <w:sz w:val="14"/>
            <w:szCs w:val="14"/>
            <w:u w:val="single" w:color="auto"/>
            <w:color w:val="0000FF"/>
          </w:rPr>
          <w:t>successor in interest to Law Debenture Trust Company of New York).</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ind w:right="240"/>
        <w:spacing w:after="0" w:line="278" w:lineRule="auto"/>
        <w:rPr>
          <w:sz w:val="20"/>
          <w:szCs w:val="20"/>
          <w:color w:val="auto"/>
        </w:rPr>
      </w:pPr>
      <w:r>
        <w:rPr>
          <w:rFonts w:ascii="Arial" w:cs="Arial" w:eastAsia="Arial" w:hAnsi="Arial"/>
          <w:sz w:val="16"/>
          <w:szCs w:val="16"/>
          <w:color w:val="auto"/>
        </w:rPr>
        <w:t>Incorporated herein by reference to Exhibit 4.3 to the Company's Current Report on Form 8-K filed on October 2, 2018.</w:t>
      </w:r>
    </w:p>
    <w:p>
      <w:pPr>
        <w:spacing w:after="0" w:line="184" w:lineRule="exact"/>
        <w:rPr>
          <w:rFonts w:ascii="Arial" w:cs="Arial" w:eastAsia="Arial" w:hAnsi="Arial"/>
          <w:sz w:val="14"/>
          <w:szCs w:val="14"/>
          <w:u w:val="single" w:color="auto"/>
          <w:color w:val="0000FF"/>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October 31, 2018.</w:t>
      </w:r>
    </w:p>
    <w:p>
      <w:pPr>
        <w:spacing w:after="0" w:line="265" w:lineRule="exact"/>
        <w:rPr>
          <w:rFonts w:ascii="Arial" w:cs="Arial" w:eastAsia="Arial" w:hAnsi="Arial"/>
          <w:sz w:val="14"/>
          <w:szCs w:val="14"/>
          <w:u w:val="single" w:color="auto"/>
          <w:color w:val="0000FF"/>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October 31, 2018.</w:t>
      </w:r>
    </w:p>
    <w:p>
      <w:pPr>
        <w:spacing w:after="0" w:line="234" w:lineRule="exact"/>
        <w:rPr>
          <w:rFonts w:ascii="Arial" w:cs="Arial" w:eastAsia="Arial" w:hAnsi="Arial"/>
          <w:sz w:val="14"/>
          <w:szCs w:val="14"/>
          <w:u w:val="single" w:color="auto"/>
          <w:color w:val="0000FF"/>
        </w:rPr>
      </w:pPr>
    </w:p>
    <w:p>
      <w:pPr>
        <w:sectPr>
          <w:pgSz w:w="11900" w:h="16838" w:orient="portrait"/>
          <w:cols w:equalWidth="0" w:num="3">
            <w:col w:w="300" w:space="720"/>
            <w:col w:w="5600" w:space="340"/>
            <w:col w:w="4140"/>
          </w:cols>
          <w:pgMar w:left="360" w:top="724" w:right="439" w:bottom="249" w:gutter="0" w:footer="0" w:header="0"/>
          <w:type w:val="continuous"/>
        </w:sectPr>
      </w:pPr>
    </w:p>
    <w:p>
      <w:pPr>
        <w:spacing w:after="0" w:line="71" w:lineRule="exact"/>
        <w:rPr>
          <w:rFonts w:ascii="Arial" w:cs="Arial" w:eastAsia="Arial" w:hAnsi="Arial"/>
          <w:sz w:val="14"/>
          <w:szCs w:val="14"/>
          <w:u w:val="single" w:color="auto"/>
          <w:color w:val="0000FF"/>
        </w:rPr>
      </w:pPr>
    </w:p>
    <w:tbl>
      <w:tblPr>
        <w:tblLayout w:type="fixed"/>
        <w:tblInd w:w="0" w:type="dxa"/>
        <w:tblCellMar>
          <w:top w:w="0" w:type="dxa"/>
          <w:left w:w="0" w:type="dxa"/>
          <w:bottom w:w="0" w:type="dxa"/>
          <w:right w:w="0" w:type="dxa"/>
        </w:tblCellMar>
      </w:tblPr>
      <w:tr>
        <w:trPr>
          <w:trHeight w:val="206"/>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4.31</w:t>
            </w:r>
          </w:p>
        </w:tc>
        <w:tc>
          <w:tcPr>
            <w:tcW w:w="5540" w:type="dxa"/>
            <w:vAlign w:val="bottom"/>
            <w:gridSpan w:val="2"/>
            <w:vMerge w:val="restart"/>
          </w:tcPr>
          <w:p>
            <w:pPr>
              <w:spacing w:after="0"/>
              <w:rPr>
                <w:rFonts w:ascii="Arial" w:cs="Arial" w:eastAsia="Arial" w:hAnsi="Arial"/>
                <w:sz w:val="16"/>
                <w:szCs w:val="16"/>
                <w:color w:val="0000FF"/>
                <w:w w:val="91"/>
              </w:rPr>
            </w:pPr>
            <w:hyperlink r:id="rId52">
              <w:r>
                <w:rPr>
                  <w:rFonts w:ascii="Arial" w:cs="Arial" w:eastAsia="Arial" w:hAnsi="Arial"/>
                  <w:sz w:val="16"/>
                  <w:szCs w:val="16"/>
                  <w:color w:val="0000FF"/>
                  <w:w w:val="91"/>
                </w:rPr>
                <w:t>First Supplemental Indenture, dated as of October 25, 2018, among Clearway Energy</w:t>
              </w:r>
            </w:hyperlink>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540" w:type="dxa"/>
            <w:vAlign w:val="bottom"/>
            <w:tcBorders>
              <w:bottom w:val="single" w:sz="8" w:color="0000FF"/>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498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52">
              <w:r>
                <w:rPr>
                  <w:rFonts w:ascii="Arial" w:cs="Arial" w:eastAsia="Arial" w:hAnsi="Arial"/>
                  <w:sz w:val="16"/>
                  <w:szCs w:val="16"/>
                  <w:color w:val="0000FF"/>
                  <w:w w:val="91"/>
                </w:rPr>
                <w:t>Operating LLC, the guarantors named therein and Delaware Trust Company.</w:t>
              </w:r>
            </w:hyperlink>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4.3 to the Company's Current Report on Form 8-K filed on October 31, 2018.</w:t>
      </w:r>
    </w:p>
    <w:p>
      <w:pPr>
        <w:spacing w:after="0" w:line="200" w:lineRule="exact"/>
        <w:rPr>
          <w:sz w:val="20"/>
          <w:szCs w:val="20"/>
          <w:color w:val="auto"/>
        </w:rPr>
      </w:pPr>
    </w:p>
    <w:p>
      <w:pPr>
        <w:sectPr>
          <w:pgSz w:w="11900" w:h="16838" w:orient="portrait"/>
          <w:cols w:equalWidth="0" w:num="2">
            <w:col w:w="6560" w:space="400"/>
            <w:col w:w="4140"/>
          </w:cols>
          <w:pgMar w:left="360" w:top="724" w:right="439" w:bottom="249" w:gutter="0" w:footer="0" w:header="0"/>
          <w:type w:val="continuous"/>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4.32</w:t>
            </w:r>
          </w:p>
        </w:tc>
        <w:tc>
          <w:tcPr>
            <w:tcW w:w="5780" w:type="dxa"/>
            <w:vAlign w:val="bottom"/>
            <w:gridSpan w:val="9"/>
          </w:tcPr>
          <w:p>
            <w:pPr>
              <w:spacing w:after="0"/>
              <w:rPr>
                <w:rFonts w:ascii="Arial" w:cs="Arial" w:eastAsia="Arial" w:hAnsi="Arial"/>
                <w:sz w:val="16"/>
                <w:szCs w:val="16"/>
                <w:color w:val="0000FF"/>
                <w:w w:val="92"/>
              </w:rPr>
            </w:pPr>
            <w:hyperlink r:id="rId53">
              <w:r>
                <w:rPr>
                  <w:rFonts w:ascii="Arial" w:cs="Arial" w:eastAsia="Arial" w:hAnsi="Arial"/>
                  <w:sz w:val="16"/>
                  <w:szCs w:val="16"/>
                  <w:color w:val="0000FF"/>
                  <w:w w:val="92"/>
                </w:rPr>
                <w:t>Tenth Supplemental Indenture, dated as of December 7, 2018, among Clearway Energy</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18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91"/>
              </w:rPr>
            </w:pPr>
            <w:hyperlink r:id="rId53">
              <w:r>
                <w:rPr>
                  <w:rFonts w:ascii="Arial" w:cs="Arial" w:eastAsia="Arial" w:hAnsi="Arial"/>
                  <w:sz w:val="16"/>
                  <w:szCs w:val="16"/>
                  <w:color w:val="0000FF"/>
                  <w:w w:val="91"/>
                </w:rPr>
                <w:t>Operating LLC, the guarantors named therein and Delaware Trust Company (as</w:t>
              </w:r>
            </w:hyperlink>
          </w:p>
        </w:tc>
        <w:tc>
          <w:tcPr>
            <w:tcW w:w="480" w:type="dxa"/>
            <w:vAlign w:val="bottom"/>
            <w:tcBorders>
              <w:top w:val="single" w:sz="8" w:color="0000FF"/>
            </w:tcBorders>
            <w:gridSpan w:val="4"/>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454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53">
              <w:r>
                <w:rPr>
                  <w:rFonts w:ascii="Arial" w:cs="Arial" w:eastAsia="Arial" w:hAnsi="Arial"/>
                  <w:sz w:val="16"/>
                  <w:szCs w:val="16"/>
                  <w:color w:val="0000FF"/>
                  <w:w w:val="91"/>
                </w:rPr>
                <w:t>successor in interest to Law Debenture Trust Company of New York).</w:t>
              </w:r>
            </w:hyperlink>
          </w:p>
        </w:tc>
        <w:tc>
          <w:tcPr>
            <w:tcW w:w="12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4.33</w:t>
            </w:r>
          </w:p>
        </w:tc>
        <w:tc>
          <w:tcPr>
            <w:tcW w:w="5640" w:type="dxa"/>
            <w:vAlign w:val="bottom"/>
            <w:gridSpan w:val="6"/>
            <w:vMerge w:val="restart"/>
          </w:tcPr>
          <w:p>
            <w:pPr>
              <w:spacing w:after="0"/>
              <w:rPr>
                <w:rFonts w:ascii="Arial" w:cs="Arial" w:eastAsia="Arial" w:hAnsi="Arial"/>
                <w:sz w:val="16"/>
                <w:szCs w:val="16"/>
                <w:color w:val="0000FF"/>
                <w:w w:val="90"/>
              </w:rPr>
            </w:pPr>
            <w:hyperlink r:id="rId54">
              <w:r>
                <w:rPr>
                  <w:rFonts w:ascii="Arial" w:cs="Arial" w:eastAsia="Arial" w:hAnsi="Arial"/>
                  <w:sz w:val="16"/>
                  <w:szCs w:val="16"/>
                  <w:color w:val="0000FF"/>
                  <w:w w:val="90"/>
                </w:rPr>
                <w:t>Sixth Supplemental Indenture, dated as of December 7, 2018, among Clearway Energy</w:t>
              </w:r>
            </w:hyperlink>
          </w:p>
        </w:tc>
        <w:tc>
          <w:tcPr>
            <w:tcW w:w="14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020" w:type="dxa"/>
            <w:vAlign w:val="bottom"/>
          </w:tcPr>
          <w:p>
            <w:pPr>
              <w:spacing w:after="0"/>
              <w:rPr>
                <w:sz w:val="4"/>
                <w:szCs w:val="4"/>
                <w:color w:val="auto"/>
              </w:rPr>
            </w:pPr>
          </w:p>
        </w:tc>
        <w:tc>
          <w:tcPr>
            <w:tcW w:w="5640" w:type="dxa"/>
            <w:vAlign w:val="bottom"/>
            <w:tcBorders>
              <w:bottom w:val="single" w:sz="8" w:color="0000FF"/>
            </w:tcBorders>
            <w:gridSpan w:val="6"/>
            <w:vMerge w:val="continue"/>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180" w:type="dxa"/>
            <w:vAlign w:val="bottom"/>
            <w:tcBorders>
              <w:bottom w:val="single" w:sz="8" w:color="0000FF"/>
            </w:tcBorders>
            <w:gridSpan w:val="3"/>
          </w:tcPr>
          <w:p>
            <w:pPr>
              <w:spacing w:after="0" w:line="183" w:lineRule="exact"/>
              <w:rPr>
                <w:rFonts w:ascii="Arial" w:cs="Arial" w:eastAsia="Arial" w:hAnsi="Arial"/>
                <w:sz w:val="16"/>
                <w:szCs w:val="16"/>
                <w:color w:val="0000FF"/>
                <w:w w:val="91"/>
              </w:rPr>
            </w:pPr>
            <w:hyperlink r:id="rId54">
              <w:r>
                <w:rPr>
                  <w:rFonts w:ascii="Arial" w:cs="Arial" w:eastAsia="Arial" w:hAnsi="Arial"/>
                  <w:sz w:val="16"/>
                  <w:szCs w:val="16"/>
                  <w:color w:val="0000FF"/>
                  <w:w w:val="91"/>
                </w:rPr>
                <w:t>Operating LLC, the guarantors named therein and Delaware Trust Company (as</w:t>
              </w:r>
            </w:hyperlink>
          </w:p>
        </w:tc>
        <w:tc>
          <w:tcPr>
            <w:tcW w:w="6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454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54">
              <w:r>
                <w:rPr>
                  <w:rFonts w:ascii="Arial" w:cs="Arial" w:eastAsia="Arial" w:hAnsi="Arial"/>
                  <w:sz w:val="16"/>
                  <w:szCs w:val="16"/>
                  <w:color w:val="0000FF"/>
                  <w:w w:val="91"/>
                </w:rPr>
                <w:t>successor in interest to Law Debenture Trust Company of New York).</w:t>
              </w:r>
            </w:hyperlink>
          </w:p>
        </w:tc>
        <w:tc>
          <w:tcPr>
            <w:tcW w:w="12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4.34</w:t>
            </w:r>
          </w:p>
        </w:tc>
        <w:tc>
          <w:tcPr>
            <w:tcW w:w="5780" w:type="dxa"/>
            <w:vAlign w:val="bottom"/>
            <w:gridSpan w:val="9"/>
            <w:vMerge w:val="restart"/>
          </w:tcPr>
          <w:p>
            <w:pPr>
              <w:spacing w:after="0"/>
              <w:rPr>
                <w:rFonts w:ascii="Arial" w:cs="Arial" w:eastAsia="Arial" w:hAnsi="Arial"/>
                <w:sz w:val="16"/>
                <w:szCs w:val="16"/>
                <w:color w:val="0000FF"/>
                <w:w w:val="90"/>
              </w:rPr>
            </w:pPr>
            <w:hyperlink r:id="rId55">
              <w:r>
                <w:rPr>
                  <w:rFonts w:ascii="Arial" w:cs="Arial" w:eastAsia="Arial" w:hAnsi="Arial"/>
                  <w:sz w:val="16"/>
                  <w:szCs w:val="16"/>
                  <w:color w:val="0000FF"/>
                  <w:w w:val="90"/>
                </w:rPr>
                <w:t>Second Supplemental Indenture, dated as of December 7, 2018, among Clearway Energy</w:t>
              </w:r>
            </w:hyperlink>
          </w:p>
        </w:tc>
        <w:tc>
          <w:tcPr>
            <w:tcW w:w="0" w:type="dxa"/>
            <w:vAlign w:val="bottom"/>
          </w:tcPr>
          <w:p>
            <w:pPr>
              <w:spacing w:after="0"/>
              <w:rPr>
                <w:sz w:val="1"/>
                <w:szCs w:val="1"/>
                <w:color w:val="auto"/>
              </w:rPr>
            </w:pPr>
          </w:p>
        </w:tc>
      </w:tr>
      <w:tr>
        <w:trPr>
          <w:trHeight w:val="51"/>
        </w:trPr>
        <w:tc>
          <w:tcPr>
            <w:tcW w:w="1020" w:type="dxa"/>
            <w:vAlign w:val="bottom"/>
          </w:tcPr>
          <w:p>
            <w:pPr>
              <w:spacing w:after="0"/>
              <w:rPr>
                <w:sz w:val="4"/>
                <w:szCs w:val="4"/>
                <w:color w:val="auto"/>
              </w:rPr>
            </w:pPr>
          </w:p>
        </w:tc>
        <w:tc>
          <w:tcPr>
            <w:tcW w:w="5780" w:type="dxa"/>
            <w:vAlign w:val="bottom"/>
            <w:tcBorders>
              <w:bottom w:val="single" w:sz="8" w:color="0000FF"/>
            </w:tcBorders>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4980" w:type="dxa"/>
            <w:vAlign w:val="bottom"/>
            <w:tcBorders>
              <w:bottom w:val="single" w:sz="8" w:color="0000FF"/>
            </w:tcBorders>
            <w:gridSpan w:val="2"/>
          </w:tcPr>
          <w:p>
            <w:pPr>
              <w:spacing w:after="0" w:line="183" w:lineRule="exact"/>
              <w:rPr>
                <w:rFonts w:ascii="Arial" w:cs="Arial" w:eastAsia="Arial" w:hAnsi="Arial"/>
                <w:sz w:val="16"/>
                <w:szCs w:val="16"/>
                <w:color w:val="0000FF"/>
                <w:w w:val="91"/>
              </w:rPr>
            </w:pPr>
            <w:hyperlink r:id="rId55">
              <w:r>
                <w:rPr>
                  <w:rFonts w:ascii="Arial" w:cs="Arial" w:eastAsia="Arial" w:hAnsi="Arial"/>
                  <w:sz w:val="16"/>
                  <w:szCs w:val="16"/>
                  <w:color w:val="0000FF"/>
                  <w:w w:val="91"/>
                </w:rPr>
                <w:t>Operating LLC, the guarantors named therein and Delaware Trust Company.</w:t>
              </w:r>
            </w:hyperlink>
          </w:p>
        </w:tc>
        <w:tc>
          <w:tcPr>
            <w:tcW w:w="8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919"/>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4.35</w:t>
            </w:r>
          </w:p>
        </w:tc>
        <w:tc>
          <w:tcPr>
            <w:tcW w:w="5280" w:type="dxa"/>
            <w:vAlign w:val="bottom"/>
            <w:gridSpan w:val="4"/>
            <w:vMerge w:val="restart"/>
          </w:tcPr>
          <w:p>
            <w:pPr>
              <w:spacing w:after="0"/>
              <w:rPr>
                <w:rFonts w:ascii="Arial" w:cs="Arial" w:eastAsia="Arial" w:hAnsi="Arial"/>
                <w:sz w:val="16"/>
                <w:szCs w:val="16"/>
                <w:color w:val="0000FF"/>
                <w:w w:val="90"/>
              </w:rPr>
            </w:pPr>
            <w:hyperlink r:id="rId56">
              <w:r>
                <w:rPr>
                  <w:rFonts w:ascii="Arial" w:cs="Arial" w:eastAsia="Arial" w:hAnsi="Arial"/>
                  <w:sz w:val="16"/>
                  <w:szCs w:val="16"/>
                  <w:color w:val="0000FF"/>
                  <w:w w:val="90"/>
                </w:rPr>
                <w:t>Eleventh Supplement Indenture, dated as of September 6, 2019, among Clearway</w:t>
              </w:r>
            </w:hyperlink>
          </w:p>
        </w:tc>
        <w:tc>
          <w:tcPr>
            <w:tcW w:w="50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020" w:type="dxa"/>
            <w:vAlign w:val="bottom"/>
          </w:tcPr>
          <w:p>
            <w:pPr>
              <w:spacing w:after="0"/>
              <w:rPr>
                <w:sz w:val="4"/>
                <w:szCs w:val="4"/>
                <w:color w:val="auto"/>
              </w:rPr>
            </w:pPr>
          </w:p>
        </w:tc>
        <w:tc>
          <w:tcPr>
            <w:tcW w:w="5280" w:type="dxa"/>
            <w:vAlign w:val="bottom"/>
            <w:tcBorders>
              <w:bottom w:val="single" w:sz="8" w:color="0000FF"/>
            </w:tcBorders>
            <w:gridSpan w:val="4"/>
            <w:vMerge w:val="continue"/>
          </w:tcPr>
          <w:p>
            <w:pPr>
              <w:spacing w:after="0"/>
              <w:rPr>
                <w:sz w:val="4"/>
                <w:szCs w:val="4"/>
                <w:color w:val="auto"/>
              </w:rPr>
            </w:pPr>
          </w:p>
        </w:tc>
        <w:tc>
          <w:tcPr>
            <w:tcW w:w="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80" w:type="dxa"/>
            <w:vAlign w:val="bottom"/>
            <w:tcBorders>
              <w:bottom w:val="single" w:sz="8" w:color="0000FF"/>
            </w:tcBorders>
            <w:gridSpan w:val="8"/>
          </w:tcPr>
          <w:p>
            <w:pPr>
              <w:spacing w:after="0" w:line="183" w:lineRule="exact"/>
              <w:rPr>
                <w:rFonts w:ascii="Arial" w:cs="Arial" w:eastAsia="Arial" w:hAnsi="Arial"/>
                <w:sz w:val="16"/>
                <w:szCs w:val="16"/>
                <w:color w:val="0000FF"/>
                <w:w w:val="91"/>
              </w:rPr>
            </w:pPr>
            <w:hyperlink r:id="rId56">
              <w:r>
                <w:rPr>
                  <w:rFonts w:ascii="Arial" w:cs="Arial" w:eastAsia="Arial" w:hAnsi="Arial"/>
                  <w:sz w:val="16"/>
                  <w:szCs w:val="16"/>
                  <w:color w:val="0000FF"/>
                  <w:w w:val="91"/>
                </w:rPr>
                <w:t>Energy Operating LLC, the guarantors named therein and Delaware Trust Company (as</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454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56">
              <w:r>
                <w:rPr>
                  <w:rFonts w:ascii="Arial" w:cs="Arial" w:eastAsia="Arial" w:hAnsi="Arial"/>
                  <w:sz w:val="16"/>
                  <w:szCs w:val="16"/>
                  <w:color w:val="0000FF"/>
                  <w:w w:val="91"/>
                </w:rPr>
                <w:t>successor in interest to Law Debenture Trust Company of New York).</w:t>
              </w:r>
            </w:hyperlink>
          </w:p>
        </w:tc>
        <w:tc>
          <w:tcPr>
            <w:tcW w:w="12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4.36</w:t>
            </w:r>
          </w:p>
        </w:tc>
        <w:tc>
          <w:tcPr>
            <w:tcW w:w="5780" w:type="dxa"/>
            <w:vAlign w:val="bottom"/>
            <w:gridSpan w:val="9"/>
          </w:tcPr>
          <w:p>
            <w:pPr>
              <w:spacing w:after="0"/>
              <w:rPr>
                <w:rFonts w:ascii="Arial" w:cs="Arial" w:eastAsia="Arial" w:hAnsi="Arial"/>
                <w:sz w:val="16"/>
                <w:szCs w:val="16"/>
                <w:color w:val="0000FF"/>
                <w:w w:val="97"/>
              </w:rPr>
            </w:pPr>
            <w:hyperlink r:id="rId57">
              <w:r>
                <w:rPr>
                  <w:rFonts w:ascii="Arial" w:cs="Arial" w:eastAsia="Arial" w:hAnsi="Arial"/>
                  <w:sz w:val="16"/>
                  <w:szCs w:val="16"/>
                  <w:color w:val="0000FF"/>
                  <w:w w:val="97"/>
                </w:rPr>
                <w:t>Seventh Supplemental Indenture, dated as of September 6, 2019, among Clearway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340" w:type="dxa"/>
            <w:vAlign w:val="bottom"/>
            <w:gridSpan w:val="5"/>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680" w:type="dxa"/>
            <w:vAlign w:val="bottom"/>
            <w:tcBorders>
              <w:bottom w:val="single" w:sz="8" w:color="0000FF"/>
            </w:tcBorders>
            <w:gridSpan w:val="8"/>
          </w:tcPr>
          <w:p>
            <w:pPr>
              <w:spacing w:after="0" w:line="183" w:lineRule="exact"/>
              <w:rPr>
                <w:rFonts w:ascii="Arial" w:cs="Arial" w:eastAsia="Arial" w:hAnsi="Arial"/>
                <w:sz w:val="16"/>
                <w:szCs w:val="16"/>
                <w:color w:val="0000FF"/>
                <w:w w:val="91"/>
              </w:rPr>
            </w:pPr>
            <w:hyperlink r:id="rId57">
              <w:r>
                <w:rPr>
                  <w:rFonts w:ascii="Arial" w:cs="Arial" w:eastAsia="Arial" w:hAnsi="Arial"/>
                  <w:sz w:val="16"/>
                  <w:szCs w:val="16"/>
                  <w:color w:val="0000FF"/>
                  <w:w w:val="91"/>
                </w:rPr>
                <w:t>Energy Operating LLC, the guarantors named therein and Delaware Trust Company (as</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454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57">
              <w:r>
                <w:rPr>
                  <w:rFonts w:ascii="Arial" w:cs="Arial" w:eastAsia="Arial" w:hAnsi="Arial"/>
                  <w:sz w:val="16"/>
                  <w:szCs w:val="16"/>
                  <w:color w:val="0000FF"/>
                  <w:w w:val="91"/>
                </w:rPr>
                <w:t>successor in interest to Law Debenture Trust Company of New York).</w:t>
              </w:r>
            </w:hyperlink>
          </w:p>
        </w:tc>
        <w:tc>
          <w:tcPr>
            <w:tcW w:w="12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12, 2018.</w:t>
      </w:r>
    </w:p>
    <w:p>
      <w:pPr>
        <w:spacing w:after="0" w:line="18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December 12, 2018.</w:t>
      </w:r>
    </w:p>
    <w:p>
      <w:pPr>
        <w:spacing w:after="0" w:line="18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4.3 to the Company's Current Report on Form 8-K filed on December 12, 2018.</w:t>
      </w:r>
    </w:p>
    <w:p>
      <w:pPr>
        <w:spacing w:after="0" w:line="200" w:lineRule="exact"/>
        <w:rPr>
          <w:sz w:val="20"/>
          <w:szCs w:val="20"/>
          <w:color w:val="auto"/>
        </w:rPr>
      </w:pPr>
    </w:p>
    <w:p>
      <w:pPr>
        <w:spacing w:after="0" w:line="34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September 12, 2019.</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September 12, 2019.</w:t>
      </w:r>
    </w:p>
    <w:p>
      <w:pPr>
        <w:spacing w:after="0" w:line="200" w:lineRule="exact"/>
        <w:rPr>
          <w:sz w:val="20"/>
          <w:szCs w:val="20"/>
          <w:color w:val="auto"/>
        </w:rPr>
      </w:pPr>
    </w:p>
    <w:p>
      <w:pPr>
        <w:sectPr>
          <w:pgSz w:w="11900" w:h="16838" w:orient="portrait"/>
          <w:cols w:equalWidth="0" w:num="2">
            <w:col w:w="6800" w:space="160"/>
            <w:col w:w="4140"/>
          </w:cols>
          <w:pgMar w:left="360" w:top="724" w:right="439" w:bottom="249" w:gutter="0" w:footer="0" w:header="0"/>
          <w:type w:val="continuous"/>
        </w:sect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4.37</w:t>
            </w:r>
          </w:p>
        </w:tc>
        <w:tc>
          <w:tcPr>
            <w:tcW w:w="5680" w:type="dxa"/>
            <w:vAlign w:val="bottom"/>
            <w:tcBorders>
              <w:bottom w:val="single" w:sz="8" w:color="0000FF"/>
            </w:tcBorders>
            <w:gridSpan w:val="2"/>
          </w:tcPr>
          <w:p>
            <w:pPr>
              <w:spacing w:after="0"/>
              <w:rPr>
                <w:rFonts w:ascii="Arial" w:cs="Arial" w:eastAsia="Arial" w:hAnsi="Arial"/>
                <w:sz w:val="16"/>
                <w:szCs w:val="16"/>
                <w:color w:val="0000FF"/>
                <w:w w:val="90"/>
              </w:rPr>
            </w:pPr>
            <w:hyperlink r:id="rId58">
              <w:r>
                <w:rPr>
                  <w:rFonts w:ascii="Arial" w:cs="Arial" w:eastAsia="Arial" w:hAnsi="Arial"/>
                  <w:sz w:val="16"/>
                  <w:szCs w:val="16"/>
                  <w:color w:val="0000FF"/>
                  <w:w w:val="90"/>
                </w:rPr>
                <w:t>Third Supplemental Indenture, dated as of September 6, 2019, among Clearway Energy</w:t>
              </w:r>
            </w:hyperlink>
          </w:p>
        </w:tc>
      </w:tr>
      <w:tr>
        <w:trPr>
          <w:trHeight w:val="183"/>
        </w:trPr>
        <w:tc>
          <w:tcPr>
            <w:tcW w:w="1020" w:type="dxa"/>
            <w:vAlign w:val="bottom"/>
          </w:tcPr>
          <w:p>
            <w:pPr>
              <w:spacing w:after="0"/>
              <w:rPr>
                <w:sz w:val="15"/>
                <w:szCs w:val="15"/>
                <w:color w:val="auto"/>
              </w:rPr>
            </w:pPr>
          </w:p>
        </w:tc>
        <w:tc>
          <w:tcPr>
            <w:tcW w:w="498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58">
              <w:r>
                <w:rPr>
                  <w:rFonts w:ascii="Arial" w:cs="Arial" w:eastAsia="Arial" w:hAnsi="Arial"/>
                  <w:sz w:val="16"/>
                  <w:szCs w:val="16"/>
                  <w:color w:val="0000FF"/>
                  <w:w w:val="91"/>
                </w:rPr>
                <w:t>Operating LLC, the guarantors named therein and Delaware Trust Company.</w:t>
              </w:r>
            </w:hyperlink>
          </w:p>
        </w:tc>
        <w:tc>
          <w:tcPr>
            <w:tcW w:w="7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4.3 to the Company's Current Report on Form 8-K filed on September 12, 2019.</w:t>
      </w:r>
    </w:p>
    <w:p>
      <w:pPr>
        <w:sectPr>
          <w:pgSz w:w="11900" w:h="16838" w:orient="portrait"/>
          <w:cols w:equalWidth="0" w:num="2">
            <w:col w:w="6700" w:space="260"/>
            <w:col w:w="4140"/>
          </w:cols>
          <w:pgMar w:left="360" w:top="724" w:right="439" w:bottom="249"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12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4.38</w:t>
            </w:r>
          </w:p>
        </w:tc>
        <w:tc>
          <w:tcPr>
            <w:tcW w:w="5400" w:type="dxa"/>
            <w:vAlign w:val="bottom"/>
            <w:tcBorders>
              <w:bottom w:val="single" w:sz="8" w:color="0000FF"/>
            </w:tcBorders>
            <w:gridSpan w:val="3"/>
          </w:tcPr>
          <w:p>
            <w:pPr>
              <w:spacing w:after="0"/>
              <w:rPr>
                <w:rFonts w:ascii="Arial" w:cs="Arial" w:eastAsia="Arial" w:hAnsi="Arial"/>
                <w:sz w:val="16"/>
                <w:szCs w:val="16"/>
                <w:color w:val="0000FF"/>
                <w:w w:val="91"/>
              </w:rPr>
            </w:pPr>
            <w:hyperlink r:id="rId59">
              <w:r>
                <w:rPr>
                  <w:rFonts w:ascii="Arial" w:cs="Arial" w:eastAsia="Arial" w:hAnsi="Arial"/>
                  <w:sz w:val="16"/>
                  <w:szCs w:val="16"/>
                  <w:color w:val="0000FF"/>
                  <w:w w:val="91"/>
                </w:rPr>
                <w:t>Twelfth Supplemental Indenture, dated as of November 21, 2019, among Clearway</w:t>
              </w:r>
            </w:hyperlink>
          </w:p>
        </w:tc>
        <w:tc>
          <w:tcPr>
            <w:tcW w:w="280" w:type="dxa"/>
            <w:vAlign w:val="bottom"/>
            <w:gridSpan w:val="2"/>
          </w:tcPr>
          <w:p>
            <w:pPr>
              <w:spacing w:after="0"/>
              <w:rPr>
                <w:sz w:val="16"/>
                <w:szCs w:val="16"/>
                <w:color w:val="auto"/>
              </w:rPr>
            </w:pPr>
          </w:p>
        </w:tc>
      </w:tr>
      <w:tr>
        <w:trPr>
          <w:trHeight w:val="183"/>
        </w:trPr>
        <w:tc>
          <w:tcPr>
            <w:tcW w:w="1020" w:type="dxa"/>
            <w:vAlign w:val="bottom"/>
          </w:tcPr>
          <w:p>
            <w:pPr>
              <w:spacing w:after="0"/>
              <w:rPr>
                <w:sz w:val="15"/>
                <w:szCs w:val="15"/>
                <w:color w:val="auto"/>
              </w:rPr>
            </w:pPr>
          </w:p>
        </w:tc>
        <w:tc>
          <w:tcPr>
            <w:tcW w:w="5680" w:type="dxa"/>
            <w:vAlign w:val="bottom"/>
            <w:tcBorders>
              <w:bottom w:val="single" w:sz="8" w:color="0000FF"/>
            </w:tcBorders>
            <w:gridSpan w:val="5"/>
          </w:tcPr>
          <w:p>
            <w:pPr>
              <w:spacing w:after="0" w:line="183" w:lineRule="exact"/>
              <w:rPr>
                <w:rFonts w:ascii="Arial" w:cs="Arial" w:eastAsia="Arial" w:hAnsi="Arial"/>
                <w:sz w:val="16"/>
                <w:szCs w:val="16"/>
                <w:color w:val="0000FF"/>
                <w:w w:val="91"/>
              </w:rPr>
            </w:pPr>
            <w:hyperlink r:id="rId59">
              <w:r>
                <w:rPr>
                  <w:rFonts w:ascii="Arial" w:cs="Arial" w:eastAsia="Arial" w:hAnsi="Arial"/>
                  <w:sz w:val="16"/>
                  <w:szCs w:val="16"/>
                  <w:color w:val="0000FF"/>
                  <w:w w:val="91"/>
                </w:rPr>
                <w:t>Energy Operating LLC, the guarantors named therein and Delaware Trust Company (as</w:t>
              </w:r>
            </w:hyperlink>
          </w:p>
        </w:tc>
      </w:tr>
      <w:tr>
        <w:trPr>
          <w:trHeight w:val="183"/>
        </w:trPr>
        <w:tc>
          <w:tcPr>
            <w:tcW w:w="1020" w:type="dxa"/>
            <w:vAlign w:val="bottom"/>
          </w:tcPr>
          <w:p>
            <w:pPr>
              <w:spacing w:after="0"/>
              <w:rPr>
                <w:sz w:val="15"/>
                <w:szCs w:val="15"/>
                <w:color w:val="auto"/>
              </w:rPr>
            </w:pPr>
          </w:p>
        </w:tc>
        <w:tc>
          <w:tcPr>
            <w:tcW w:w="454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59">
              <w:r>
                <w:rPr>
                  <w:rFonts w:ascii="Arial" w:cs="Arial" w:eastAsia="Arial" w:hAnsi="Arial"/>
                  <w:sz w:val="16"/>
                  <w:szCs w:val="16"/>
                  <w:color w:val="0000FF"/>
                  <w:w w:val="91"/>
                </w:rPr>
                <w:t>successor in interest to Law Debenture Trust Company of New York).</w:t>
              </w:r>
            </w:hyperlink>
          </w:p>
        </w:tc>
        <w:tc>
          <w:tcPr>
            <w:tcW w:w="1140" w:type="dxa"/>
            <w:vAlign w:val="bottom"/>
            <w:gridSpan w:val="4"/>
          </w:tcPr>
          <w:p>
            <w:pPr>
              <w:spacing w:after="0"/>
              <w:rPr>
                <w:sz w:val="15"/>
                <w:szCs w:val="15"/>
                <w:color w:val="auto"/>
              </w:rPr>
            </w:pPr>
          </w:p>
        </w:tc>
      </w:tr>
      <w:tr>
        <w:trPr>
          <w:trHeight w:val="398"/>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4.39</w:t>
            </w:r>
          </w:p>
        </w:tc>
        <w:tc>
          <w:tcPr>
            <w:tcW w:w="5680" w:type="dxa"/>
            <w:vAlign w:val="bottom"/>
            <w:gridSpan w:val="5"/>
          </w:tcPr>
          <w:p>
            <w:pPr>
              <w:spacing w:after="0"/>
              <w:rPr>
                <w:rFonts w:ascii="Arial" w:cs="Arial" w:eastAsia="Arial" w:hAnsi="Arial"/>
                <w:sz w:val="16"/>
                <w:szCs w:val="16"/>
                <w:color w:val="0000FF"/>
                <w:w w:val="97"/>
              </w:rPr>
            </w:pPr>
            <w:hyperlink r:id="rId60">
              <w:r>
                <w:rPr>
                  <w:rFonts w:ascii="Arial" w:cs="Arial" w:eastAsia="Arial" w:hAnsi="Arial"/>
                  <w:sz w:val="16"/>
                  <w:szCs w:val="16"/>
                  <w:color w:val="0000FF"/>
                  <w:w w:val="97"/>
                </w:rPr>
                <w:t>Eighth Supplemental Indenture, dated as of November 21, 2019, among Clearway</w:t>
              </w:r>
            </w:hyperlink>
          </w:p>
        </w:tc>
      </w:tr>
      <w:tr>
        <w:trPr>
          <w:trHeight w:val="20"/>
        </w:trPr>
        <w:tc>
          <w:tcPr>
            <w:tcW w:w="1020" w:type="dxa"/>
            <w:vAlign w:val="bottom"/>
          </w:tcPr>
          <w:p>
            <w:pPr>
              <w:spacing w:after="0" w:line="20" w:lineRule="exact"/>
              <w:rPr>
                <w:sz w:val="1"/>
                <w:szCs w:val="1"/>
                <w:color w:val="auto"/>
              </w:rPr>
            </w:pPr>
          </w:p>
        </w:tc>
        <w:tc>
          <w:tcPr>
            <w:tcW w:w="53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680" w:type="dxa"/>
            <w:vAlign w:val="bottom"/>
            <w:tcBorders>
              <w:bottom w:val="single" w:sz="8" w:color="0000FF"/>
            </w:tcBorders>
            <w:gridSpan w:val="5"/>
          </w:tcPr>
          <w:p>
            <w:pPr>
              <w:spacing w:after="0" w:line="183" w:lineRule="exact"/>
              <w:rPr>
                <w:rFonts w:ascii="Arial" w:cs="Arial" w:eastAsia="Arial" w:hAnsi="Arial"/>
                <w:sz w:val="16"/>
                <w:szCs w:val="16"/>
                <w:color w:val="0000FF"/>
                <w:w w:val="91"/>
              </w:rPr>
            </w:pPr>
            <w:hyperlink r:id="rId60">
              <w:r>
                <w:rPr>
                  <w:rFonts w:ascii="Arial" w:cs="Arial" w:eastAsia="Arial" w:hAnsi="Arial"/>
                  <w:sz w:val="16"/>
                  <w:szCs w:val="16"/>
                  <w:color w:val="0000FF"/>
                  <w:w w:val="91"/>
                </w:rPr>
                <w:t>Energy Operating LLC, the guarantors named therein and Delaware Trust Company (as</w:t>
              </w:r>
            </w:hyperlink>
          </w:p>
        </w:tc>
      </w:tr>
      <w:tr>
        <w:trPr>
          <w:trHeight w:val="183"/>
        </w:trPr>
        <w:tc>
          <w:tcPr>
            <w:tcW w:w="1020" w:type="dxa"/>
            <w:vAlign w:val="bottom"/>
          </w:tcPr>
          <w:p>
            <w:pPr>
              <w:spacing w:after="0"/>
              <w:rPr>
                <w:sz w:val="15"/>
                <w:szCs w:val="15"/>
                <w:color w:val="auto"/>
              </w:rPr>
            </w:pPr>
          </w:p>
        </w:tc>
        <w:tc>
          <w:tcPr>
            <w:tcW w:w="454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60">
              <w:r>
                <w:rPr>
                  <w:rFonts w:ascii="Arial" w:cs="Arial" w:eastAsia="Arial" w:hAnsi="Arial"/>
                  <w:sz w:val="16"/>
                  <w:szCs w:val="16"/>
                  <w:color w:val="0000FF"/>
                  <w:w w:val="91"/>
                </w:rPr>
                <w:t>successor in interest to Law Debenture Trust Company of New York).</w:t>
              </w:r>
            </w:hyperlink>
          </w:p>
        </w:tc>
        <w:tc>
          <w:tcPr>
            <w:tcW w:w="1140" w:type="dxa"/>
            <w:vAlign w:val="bottom"/>
            <w:gridSpan w:val="4"/>
          </w:tcPr>
          <w:p>
            <w:pPr>
              <w:spacing w:after="0"/>
              <w:rPr>
                <w:sz w:val="15"/>
                <w:szCs w:val="15"/>
                <w:color w:val="auto"/>
              </w:rPr>
            </w:pPr>
          </w:p>
        </w:tc>
      </w:tr>
      <w:tr>
        <w:trPr>
          <w:trHeight w:val="439"/>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4.40</w:t>
            </w:r>
          </w:p>
        </w:tc>
        <w:tc>
          <w:tcPr>
            <w:tcW w:w="5680" w:type="dxa"/>
            <w:vAlign w:val="bottom"/>
            <w:gridSpan w:val="5"/>
          </w:tcPr>
          <w:p>
            <w:pPr>
              <w:spacing w:after="0"/>
              <w:rPr>
                <w:rFonts w:ascii="Arial" w:cs="Arial" w:eastAsia="Arial" w:hAnsi="Arial"/>
                <w:sz w:val="16"/>
                <w:szCs w:val="16"/>
                <w:color w:val="0000FF"/>
                <w:w w:val="97"/>
              </w:rPr>
            </w:pPr>
            <w:hyperlink r:id="rId61">
              <w:r>
                <w:rPr>
                  <w:rFonts w:ascii="Arial" w:cs="Arial" w:eastAsia="Arial" w:hAnsi="Arial"/>
                  <w:sz w:val="16"/>
                  <w:szCs w:val="16"/>
                  <w:color w:val="0000FF"/>
                  <w:w w:val="97"/>
                </w:rPr>
                <w:t>Fourth Supplemental Indenture, dated as of November 21, 2019, among Clearway</w:t>
              </w:r>
            </w:hyperlink>
          </w:p>
        </w:tc>
      </w:tr>
      <w:tr>
        <w:trPr>
          <w:trHeight w:val="20"/>
        </w:trPr>
        <w:tc>
          <w:tcPr>
            <w:tcW w:w="1020" w:type="dxa"/>
            <w:vAlign w:val="bottom"/>
          </w:tcPr>
          <w:p>
            <w:pPr>
              <w:spacing w:after="0" w:line="20" w:lineRule="exact"/>
              <w:rPr>
                <w:sz w:val="1"/>
                <w:szCs w:val="1"/>
                <w:color w:val="auto"/>
              </w:rPr>
            </w:pPr>
          </w:p>
        </w:tc>
        <w:tc>
          <w:tcPr>
            <w:tcW w:w="53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480" w:type="dxa"/>
            <w:vAlign w:val="bottom"/>
            <w:tcBorders>
              <w:bottom w:val="single" w:sz="8" w:color="0000FF"/>
            </w:tcBorders>
            <w:gridSpan w:val="4"/>
          </w:tcPr>
          <w:p>
            <w:pPr>
              <w:spacing w:after="0" w:line="183" w:lineRule="exact"/>
              <w:rPr>
                <w:rFonts w:ascii="Arial" w:cs="Arial" w:eastAsia="Arial" w:hAnsi="Arial"/>
                <w:sz w:val="16"/>
                <w:szCs w:val="16"/>
                <w:color w:val="0000FF"/>
                <w:w w:val="91"/>
              </w:rPr>
            </w:pPr>
            <w:hyperlink r:id="rId61">
              <w:r>
                <w:rPr>
                  <w:rFonts w:ascii="Arial" w:cs="Arial" w:eastAsia="Arial" w:hAnsi="Arial"/>
                  <w:sz w:val="16"/>
                  <w:szCs w:val="16"/>
                  <w:color w:val="0000FF"/>
                  <w:w w:val="91"/>
                </w:rPr>
                <w:t>Energy Operating LLC, the guarantors named therein and Delaware Trust Company.</w:t>
              </w:r>
            </w:hyperlink>
          </w:p>
        </w:tc>
        <w:tc>
          <w:tcPr>
            <w:tcW w:w="2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4.41</w:t>
            </w:r>
          </w:p>
        </w:tc>
        <w:tc>
          <w:tcPr>
            <w:tcW w:w="5360" w:type="dxa"/>
            <w:vAlign w:val="bottom"/>
            <w:tcBorders>
              <w:bottom w:val="single" w:sz="8" w:color="0000FF"/>
            </w:tcBorders>
            <w:gridSpan w:val="3"/>
          </w:tcPr>
          <w:p>
            <w:pPr>
              <w:spacing w:after="0"/>
              <w:rPr>
                <w:rFonts w:ascii="Arial" w:cs="Arial" w:eastAsia="Arial" w:hAnsi="Arial"/>
                <w:sz w:val="16"/>
                <w:szCs w:val="16"/>
                <w:color w:val="0000FF"/>
                <w:w w:val="91"/>
              </w:rPr>
            </w:pPr>
            <w:hyperlink r:id="rId62">
              <w:r>
                <w:rPr>
                  <w:rFonts w:ascii="Arial" w:cs="Arial" w:eastAsia="Arial" w:hAnsi="Arial"/>
                  <w:sz w:val="16"/>
                  <w:szCs w:val="16"/>
                  <w:color w:val="0000FF"/>
                  <w:w w:val="91"/>
                </w:rPr>
                <w:t>Indenture, dated December 11, 2019, among Clearway Energy Operating LLC, the</w:t>
              </w:r>
            </w:hyperlink>
          </w:p>
        </w:tc>
      </w:tr>
      <w:tr>
        <w:trPr>
          <w:trHeight w:val="183"/>
        </w:trPr>
        <w:tc>
          <w:tcPr>
            <w:tcW w:w="1020" w:type="dxa"/>
            <w:vAlign w:val="bottom"/>
          </w:tcPr>
          <w:p>
            <w:pPr>
              <w:spacing w:after="0"/>
              <w:rPr>
                <w:sz w:val="15"/>
                <w:szCs w:val="15"/>
                <w:color w:val="auto"/>
              </w:rPr>
            </w:pPr>
          </w:p>
        </w:tc>
        <w:tc>
          <w:tcPr>
            <w:tcW w:w="5360" w:type="dxa"/>
            <w:vAlign w:val="bottom"/>
            <w:gridSpan w:val="3"/>
          </w:tcPr>
          <w:p>
            <w:pPr>
              <w:spacing w:after="0" w:line="183" w:lineRule="exact"/>
              <w:rPr>
                <w:rFonts w:ascii="Arial" w:cs="Arial" w:eastAsia="Arial" w:hAnsi="Arial"/>
                <w:sz w:val="16"/>
                <w:szCs w:val="16"/>
                <w:color w:val="0000FF"/>
              </w:rPr>
            </w:pPr>
            <w:hyperlink r:id="rId62">
              <w:r>
                <w:rPr>
                  <w:rFonts w:ascii="Arial" w:cs="Arial" w:eastAsia="Arial" w:hAnsi="Arial"/>
                  <w:sz w:val="16"/>
                  <w:szCs w:val="16"/>
                  <w:color w:val="0000FF"/>
                </w:rPr>
                <w:t>guarantors named therein and Delaware Trust Company, as trustee.</w:t>
              </w:r>
            </w:hyperlink>
          </w:p>
        </w:tc>
      </w:tr>
      <w:tr>
        <w:trPr>
          <w:trHeight w:val="601"/>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4.42</w:t>
            </w:r>
          </w:p>
        </w:tc>
        <w:tc>
          <w:tcPr>
            <w:tcW w:w="4340" w:type="dxa"/>
            <w:vAlign w:val="bottom"/>
            <w:tcBorders>
              <w:top w:val="single" w:sz="8" w:color="0000FF"/>
            </w:tcBorders>
            <w:gridSpan w:val="2"/>
          </w:tcPr>
          <w:p>
            <w:pPr>
              <w:spacing w:after="0"/>
              <w:rPr>
                <w:rFonts w:ascii="Arial" w:cs="Arial" w:eastAsia="Arial" w:hAnsi="Arial"/>
                <w:sz w:val="16"/>
                <w:szCs w:val="16"/>
                <w:color w:val="0000FF"/>
              </w:rPr>
            </w:pPr>
            <w:hyperlink r:id="rId62">
              <w:r>
                <w:rPr>
                  <w:rFonts w:ascii="Arial" w:cs="Arial" w:eastAsia="Arial" w:hAnsi="Arial"/>
                  <w:sz w:val="16"/>
                  <w:szCs w:val="16"/>
                  <w:color w:val="0000FF"/>
                </w:rPr>
                <w:t>Form of 4.750% Senior Notes due 2028.</w:t>
              </w:r>
            </w:hyperlink>
          </w:p>
        </w:tc>
        <w:tc>
          <w:tcPr>
            <w:tcW w:w="10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4.43</w:t>
      </w:r>
      <w:r>
        <w:rPr>
          <w:sz w:val="20"/>
          <w:szCs w:val="20"/>
          <w:color w:val="auto"/>
        </w:rPr>
        <w:tab/>
      </w:r>
      <w:hyperlink r:id="rId63">
        <w:r>
          <w:rPr>
            <w:rFonts w:ascii="Arial" w:cs="Arial" w:eastAsia="Arial" w:hAnsi="Arial"/>
            <w:sz w:val="15"/>
            <w:szCs w:val="15"/>
            <w:u w:val="single" w:color="auto"/>
            <w:color w:val="0000FF"/>
          </w:rPr>
          <w:t>Description of Securities.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spacing w:after="0"/>
              <w:rPr>
                <w:sz w:val="20"/>
                <w:szCs w:val="20"/>
                <w:color w:val="auto"/>
              </w:rPr>
            </w:pPr>
            <w:r>
              <w:rPr>
                <w:rFonts w:ascii="Arial" w:cs="Arial" w:eastAsia="Arial" w:hAnsi="Arial"/>
                <w:sz w:val="16"/>
                <w:szCs w:val="16"/>
                <w:color w:val="auto"/>
              </w:rPr>
              <w:t>10.1</w:t>
            </w:r>
          </w:p>
        </w:tc>
        <w:tc>
          <w:tcPr>
            <w:tcW w:w="5540" w:type="dxa"/>
            <w:vAlign w:val="bottom"/>
            <w:gridSpan w:val="6"/>
            <w:vMerge w:val="restart"/>
          </w:tcPr>
          <w:p>
            <w:pPr>
              <w:spacing w:after="0"/>
              <w:rPr>
                <w:rFonts w:ascii="Arial" w:cs="Arial" w:eastAsia="Arial" w:hAnsi="Arial"/>
                <w:sz w:val="16"/>
                <w:szCs w:val="16"/>
                <w:color w:val="0000FF"/>
                <w:w w:val="91"/>
              </w:rPr>
            </w:pPr>
            <w:hyperlink r:id="rId64">
              <w:r>
                <w:rPr>
                  <w:rFonts w:ascii="Arial" w:cs="Arial" w:eastAsia="Arial" w:hAnsi="Arial"/>
                  <w:sz w:val="16"/>
                  <w:szCs w:val="16"/>
                  <w:color w:val="0000FF"/>
                  <w:w w:val="91"/>
                </w:rPr>
                <w:t>Master Services Agreement, dated as of August 31, 2018, by and among NRG Yield,</w:t>
              </w:r>
            </w:hyperlink>
          </w:p>
        </w:tc>
        <w:tc>
          <w:tcPr>
            <w:tcW w:w="200" w:type="dxa"/>
            <w:vAlign w:val="bottom"/>
            <w:gridSpan w:val="5"/>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540" w:type="dxa"/>
            <w:vAlign w:val="bottom"/>
            <w:tcBorders>
              <w:bottom w:val="single" w:sz="8" w:color="0000FF"/>
            </w:tcBorders>
            <w:gridSpan w:val="6"/>
            <w:vMerge w:val="continue"/>
          </w:tcPr>
          <w:p>
            <w:pPr>
              <w:spacing w:after="0"/>
              <w:rPr>
                <w:sz w:val="4"/>
                <w:szCs w:val="4"/>
                <w:color w:val="auto"/>
              </w:rPr>
            </w:pPr>
          </w:p>
        </w:tc>
        <w:tc>
          <w:tcPr>
            <w:tcW w:w="2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260" w:type="dxa"/>
            <w:vAlign w:val="bottom"/>
            <w:tcBorders>
              <w:bottom w:val="single" w:sz="8" w:color="0000FF"/>
            </w:tcBorders>
            <w:gridSpan w:val="4"/>
          </w:tcPr>
          <w:p>
            <w:pPr>
              <w:spacing w:after="0" w:line="183" w:lineRule="exact"/>
              <w:rPr>
                <w:rFonts w:ascii="Arial" w:cs="Arial" w:eastAsia="Arial" w:hAnsi="Arial"/>
                <w:sz w:val="16"/>
                <w:szCs w:val="16"/>
                <w:color w:val="0000FF"/>
                <w:w w:val="94"/>
              </w:rPr>
            </w:pPr>
            <w:hyperlink r:id="rId64">
              <w:r>
                <w:rPr>
                  <w:rFonts w:ascii="Arial" w:cs="Arial" w:eastAsia="Arial" w:hAnsi="Arial"/>
                  <w:sz w:val="16"/>
                  <w:szCs w:val="16"/>
                  <w:color w:val="0000FF"/>
                  <w:w w:val="94"/>
                </w:rPr>
                <w:t>Inc., NRG Yield LLC, NRG Yield Operating LLC and Zephyr Renewables LLC.</w:t>
              </w:r>
            </w:hyperlink>
          </w:p>
        </w:tc>
        <w:tc>
          <w:tcPr>
            <w:tcW w:w="4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554"/>
        </w:trPr>
        <w:tc>
          <w:tcPr>
            <w:tcW w:w="1020" w:type="dxa"/>
            <w:vAlign w:val="bottom"/>
          </w:tcPr>
          <w:p>
            <w:pPr>
              <w:spacing w:after="0"/>
              <w:rPr>
                <w:sz w:val="20"/>
                <w:szCs w:val="20"/>
                <w:color w:val="auto"/>
              </w:rPr>
            </w:pPr>
            <w:r>
              <w:rPr>
                <w:rFonts w:ascii="Arial" w:cs="Arial" w:eastAsia="Arial" w:hAnsi="Arial"/>
                <w:sz w:val="16"/>
                <w:szCs w:val="16"/>
                <w:color w:val="auto"/>
              </w:rPr>
              <w:t>10.2</w:t>
            </w:r>
          </w:p>
        </w:tc>
        <w:tc>
          <w:tcPr>
            <w:tcW w:w="5740" w:type="dxa"/>
            <w:vAlign w:val="bottom"/>
            <w:gridSpan w:val="11"/>
            <w:vMerge w:val="restart"/>
          </w:tcPr>
          <w:p>
            <w:pPr>
              <w:spacing w:after="0"/>
              <w:rPr>
                <w:rFonts w:ascii="Arial" w:cs="Arial" w:eastAsia="Arial" w:hAnsi="Arial"/>
                <w:sz w:val="16"/>
                <w:szCs w:val="16"/>
                <w:color w:val="0000FF"/>
              </w:rPr>
            </w:pPr>
            <w:hyperlink r:id="rId65">
              <w:r>
                <w:rPr>
                  <w:rFonts w:ascii="Arial" w:cs="Arial" w:eastAsia="Arial" w:hAnsi="Arial"/>
                  <w:sz w:val="16"/>
                  <w:szCs w:val="16"/>
                  <w:color w:val="0000FF"/>
                </w:rPr>
                <w:t>Master Services Agreement, dated as of August 31, 2018, by and among Zephyr</w:t>
              </w:r>
            </w:hyperlink>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574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620" w:type="dxa"/>
            <w:vAlign w:val="bottom"/>
            <w:tcBorders>
              <w:bottom w:val="single" w:sz="8" w:color="0000FF"/>
            </w:tcBorders>
            <w:gridSpan w:val="9"/>
          </w:tcPr>
          <w:p>
            <w:pPr>
              <w:spacing w:after="0" w:line="183" w:lineRule="exact"/>
              <w:rPr>
                <w:rFonts w:ascii="Arial" w:cs="Arial" w:eastAsia="Arial" w:hAnsi="Arial"/>
                <w:sz w:val="16"/>
                <w:szCs w:val="16"/>
                <w:color w:val="0000FF"/>
                <w:w w:val="95"/>
              </w:rPr>
            </w:pPr>
            <w:hyperlink r:id="rId65">
              <w:r>
                <w:rPr>
                  <w:rFonts w:ascii="Arial" w:cs="Arial" w:eastAsia="Arial" w:hAnsi="Arial"/>
                  <w:sz w:val="16"/>
                  <w:szCs w:val="16"/>
                  <w:color w:val="0000FF"/>
                  <w:w w:val="95"/>
                </w:rPr>
                <w:t>Renewables LLC, NRG Yield, Inc., NRG Yield LLC, and NRG Yield Operating LLC.</w:t>
              </w:r>
            </w:hyperlink>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554"/>
        </w:trPr>
        <w:tc>
          <w:tcPr>
            <w:tcW w:w="1020" w:type="dxa"/>
            <w:vAlign w:val="bottom"/>
          </w:tcPr>
          <w:p>
            <w:pPr>
              <w:spacing w:after="0"/>
              <w:rPr>
                <w:sz w:val="20"/>
                <w:szCs w:val="20"/>
                <w:color w:val="auto"/>
              </w:rPr>
            </w:pPr>
            <w:r>
              <w:rPr>
                <w:rFonts w:ascii="Arial" w:cs="Arial" w:eastAsia="Arial" w:hAnsi="Arial"/>
                <w:sz w:val="16"/>
                <w:szCs w:val="16"/>
                <w:color w:val="auto"/>
              </w:rPr>
              <w:t>10.3.1</w:t>
            </w:r>
          </w:p>
        </w:tc>
        <w:tc>
          <w:tcPr>
            <w:tcW w:w="5740" w:type="dxa"/>
            <w:vAlign w:val="bottom"/>
            <w:gridSpan w:val="11"/>
            <w:vMerge w:val="restart"/>
          </w:tcPr>
          <w:p>
            <w:pPr>
              <w:spacing w:after="0"/>
              <w:rPr>
                <w:rFonts w:ascii="Arial" w:cs="Arial" w:eastAsia="Arial" w:hAnsi="Arial"/>
                <w:sz w:val="16"/>
                <w:szCs w:val="16"/>
                <w:color w:val="0000FF"/>
                <w:w w:val="92"/>
              </w:rPr>
            </w:pPr>
            <w:hyperlink r:id="rId66">
              <w:r>
                <w:rPr>
                  <w:rFonts w:ascii="Arial" w:cs="Arial" w:eastAsia="Arial" w:hAnsi="Arial"/>
                  <w:sz w:val="16"/>
                  <w:szCs w:val="16"/>
                  <w:color w:val="0000FF"/>
                  <w:w w:val="92"/>
                </w:rPr>
                <w:t>Right of First Offer Agreement, dated as of August 31, 2018, by and among NRG Yield,</w:t>
              </w:r>
            </w:hyperlink>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740" w:type="dxa"/>
            <w:vAlign w:val="bottom"/>
            <w:tcBorders>
              <w:bottom w:val="single" w:sz="8" w:color="0000FF"/>
            </w:tcBorders>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520" w:type="dxa"/>
            <w:vAlign w:val="bottom"/>
            <w:tcBorders>
              <w:bottom w:val="single" w:sz="8" w:color="0000FF"/>
            </w:tcBorders>
            <w:gridSpan w:val="5"/>
          </w:tcPr>
          <w:p>
            <w:pPr>
              <w:spacing w:after="0" w:line="183" w:lineRule="exact"/>
              <w:rPr>
                <w:rFonts w:ascii="Arial" w:cs="Arial" w:eastAsia="Arial" w:hAnsi="Arial"/>
                <w:sz w:val="16"/>
                <w:szCs w:val="16"/>
                <w:color w:val="0000FF"/>
                <w:w w:val="92"/>
              </w:rPr>
            </w:pPr>
            <w:hyperlink r:id="rId66">
              <w:r>
                <w:rPr>
                  <w:rFonts w:ascii="Arial" w:cs="Arial" w:eastAsia="Arial" w:hAnsi="Arial"/>
                  <w:sz w:val="16"/>
                  <w:szCs w:val="16"/>
                  <w:color w:val="0000FF"/>
                  <w:w w:val="92"/>
                </w:rPr>
                <w:t>Inc., Zephyr Renewables LLC and solely for purposes of Section 2.4, GIP III Zephyr</w:t>
              </w:r>
            </w:hyperlink>
          </w:p>
        </w:tc>
        <w:tc>
          <w:tcPr>
            <w:tcW w:w="2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40" w:type="dxa"/>
            <w:vAlign w:val="bottom"/>
            <w:gridSpan w:val="11"/>
          </w:tcPr>
          <w:p>
            <w:pPr>
              <w:spacing w:after="0" w:line="183" w:lineRule="exact"/>
              <w:rPr>
                <w:rFonts w:ascii="Arial" w:cs="Arial" w:eastAsia="Arial" w:hAnsi="Arial"/>
                <w:sz w:val="16"/>
                <w:szCs w:val="16"/>
                <w:color w:val="0000FF"/>
              </w:rPr>
            </w:pPr>
            <w:hyperlink r:id="rId66">
              <w:r>
                <w:rPr>
                  <w:rFonts w:ascii="Arial" w:cs="Arial" w:eastAsia="Arial" w:hAnsi="Arial"/>
                  <w:sz w:val="16"/>
                  <w:szCs w:val="16"/>
                  <w:color w:val="0000FF"/>
                </w:rPr>
                <w:t>Acquisition Partners, L.P.</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6"/>
                <w:szCs w:val="16"/>
                <w:color w:val="auto"/>
              </w:rPr>
              <w:t>10.3.2</w:t>
            </w:r>
          </w:p>
        </w:tc>
        <w:tc>
          <w:tcPr>
            <w:tcW w:w="5560" w:type="dxa"/>
            <w:vAlign w:val="bottom"/>
            <w:tcBorders>
              <w:bottom w:val="single" w:sz="8" w:color="0000FF"/>
            </w:tcBorders>
            <w:gridSpan w:val="7"/>
          </w:tcPr>
          <w:p>
            <w:pPr>
              <w:spacing w:after="0"/>
              <w:rPr>
                <w:rFonts w:ascii="Arial" w:cs="Arial" w:eastAsia="Arial" w:hAnsi="Arial"/>
                <w:sz w:val="16"/>
                <w:szCs w:val="16"/>
                <w:color w:val="0000FF"/>
                <w:w w:val="92"/>
              </w:rPr>
            </w:pPr>
            <w:hyperlink r:id="rId67">
              <w:r>
                <w:rPr>
                  <w:rFonts w:ascii="Arial" w:cs="Arial" w:eastAsia="Arial" w:hAnsi="Arial"/>
                  <w:sz w:val="16"/>
                  <w:szCs w:val="16"/>
                  <w:color w:val="0000FF"/>
                  <w:w w:val="92"/>
                </w:rPr>
                <w:t>First Amendment to Right of First Offer Agreement, dated February 14, 2019, by and</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40" w:type="dxa"/>
            <w:vAlign w:val="bottom"/>
            <w:gridSpan w:val="11"/>
          </w:tcPr>
          <w:p>
            <w:pPr>
              <w:spacing w:after="0" w:line="183" w:lineRule="exact"/>
              <w:rPr>
                <w:rFonts w:ascii="Arial" w:cs="Arial" w:eastAsia="Arial" w:hAnsi="Arial"/>
                <w:sz w:val="16"/>
                <w:szCs w:val="16"/>
                <w:color w:val="0000FF"/>
              </w:rPr>
            </w:pPr>
            <w:hyperlink r:id="rId67">
              <w:r>
                <w:rPr>
                  <w:rFonts w:ascii="Arial" w:cs="Arial" w:eastAsia="Arial" w:hAnsi="Arial"/>
                  <w:sz w:val="16"/>
                  <w:szCs w:val="16"/>
                  <w:color w:val="0000FF"/>
                </w:rPr>
                <w:t>between Clearway Energy Group LLC and Clearway Energy,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020" w:type="dxa"/>
            <w:vAlign w:val="bottom"/>
          </w:tcPr>
          <w:p>
            <w:pPr>
              <w:spacing w:after="0"/>
              <w:rPr>
                <w:sz w:val="20"/>
                <w:szCs w:val="20"/>
                <w:color w:val="auto"/>
              </w:rPr>
            </w:pPr>
            <w:r>
              <w:rPr>
                <w:rFonts w:ascii="Arial" w:cs="Arial" w:eastAsia="Arial" w:hAnsi="Arial"/>
                <w:sz w:val="16"/>
                <w:szCs w:val="16"/>
                <w:color w:val="auto"/>
              </w:rPr>
              <w:t>10.3.3</w:t>
            </w:r>
          </w:p>
        </w:tc>
        <w:tc>
          <w:tcPr>
            <w:tcW w:w="5540" w:type="dxa"/>
            <w:vAlign w:val="bottom"/>
            <w:tcBorders>
              <w:bottom w:val="single" w:sz="8" w:color="0000FF"/>
            </w:tcBorders>
            <w:gridSpan w:val="6"/>
          </w:tcPr>
          <w:p>
            <w:pPr>
              <w:spacing w:after="0"/>
              <w:rPr>
                <w:rFonts w:ascii="Arial" w:cs="Arial" w:eastAsia="Arial" w:hAnsi="Arial"/>
                <w:sz w:val="16"/>
                <w:szCs w:val="16"/>
                <w:color w:val="0000FF"/>
                <w:w w:val="92"/>
              </w:rPr>
            </w:pPr>
            <w:hyperlink r:id="rId68">
              <w:r>
                <w:rPr>
                  <w:rFonts w:ascii="Arial" w:cs="Arial" w:eastAsia="Arial" w:hAnsi="Arial"/>
                  <w:sz w:val="16"/>
                  <w:szCs w:val="16"/>
                  <w:color w:val="0000FF"/>
                  <w:w w:val="92"/>
                </w:rPr>
                <w:t>Second Amendment to Right of First Offer Agreement, dated August 1, 2019, by and</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40" w:type="dxa"/>
            <w:vAlign w:val="bottom"/>
            <w:gridSpan w:val="11"/>
          </w:tcPr>
          <w:p>
            <w:pPr>
              <w:spacing w:after="0" w:line="183" w:lineRule="exact"/>
              <w:rPr>
                <w:rFonts w:ascii="Arial" w:cs="Arial" w:eastAsia="Arial" w:hAnsi="Arial"/>
                <w:sz w:val="16"/>
                <w:szCs w:val="16"/>
                <w:color w:val="0000FF"/>
              </w:rPr>
            </w:pPr>
            <w:hyperlink r:id="rId68">
              <w:r>
                <w:rPr>
                  <w:rFonts w:ascii="Arial" w:cs="Arial" w:eastAsia="Arial" w:hAnsi="Arial"/>
                  <w:sz w:val="16"/>
                  <w:szCs w:val="16"/>
                  <w:color w:val="0000FF"/>
                </w:rPr>
                <w:t>between Clearway Energy Group LLC and Clearway Energy,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020" w:type="dxa"/>
            <w:vAlign w:val="bottom"/>
          </w:tcPr>
          <w:p>
            <w:pPr>
              <w:spacing w:after="0"/>
              <w:rPr>
                <w:sz w:val="20"/>
                <w:szCs w:val="20"/>
                <w:color w:val="auto"/>
              </w:rPr>
            </w:pPr>
            <w:r>
              <w:rPr>
                <w:rFonts w:ascii="Arial" w:cs="Arial" w:eastAsia="Arial" w:hAnsi="Arial"/>
                <w:sz w:val="16"/>
                <w:szCs w:val="16"/>
                <w:color w:val="auto"/>
              </w:rPr>
              <w:t>10.3.4</w:t>
            </w:r>
          </w:p>
        </w:tc>
        <w:tc>
          <w:tcPr>
            <w:tcW w:w="5740" w:type="dxa"/>
            <w:vAlign w:val="bottom"/>
            <w:gridSpan w:val="11"/>
          </w:tcPr>
          <w:p>
            <w:pPr>
              <w:spacing w:after="0"/>
              <w:rPr>
                <w:rFonts w:ascii="Arial" w:cs="Arial" w:eastAsia="Arial" w:hAnsi="Arial"/>
                <w:sz w:val="16"/>
                <w:szCs w:val="16"/>
                <w:color w:val="0000FF"/>
                <w:w w:val="93"/>
              </w:rPr>
            </w:pPr>
            <w:hyperlink r:id="rId69">
              <w:r>
                <w:rPr>
                  <w:rFonts w:ascii="Arial" w:cs="Arial" w:eastAsia="Arial" w:hAnsi="Arial"/>
                  <w:sz w:val="16"/>
                  <w:szCs w:val="16"/>
                  <w:color w:val="0000FF"/>
                  <w:w w:val="93"/>
                </w:rPr>
                <w:t>Third Amendment to Right of First Offer Agreement, dated as of December 6, 2019, by</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00" w:type="dxa"/>
            <w:vAlign w:val="bottom"/>
            <w:tcBorders>
              <w:top w:val="single" w:sz="8" w:color="0000FF"/>
              <w:bottom w:val="single" w:sz="8" w:color="0000FF"/>
            </w:tcBorders>
            <w:gridSpan w:val="8"/>
          </w:tcPr>
          <w:p>
            <w:pPr>
              <w:spacing w:after="0" w:line="183" w:lineRule="exact"/>
              <w:rPr>
                <w:rFonts w:ascii="Arial" w:cs="Arial" w:eastAsia="Arial" w:hAnsi="Arial"/>
                <w:sz w:val="16"/>
                <w:szCs w:val="16"/>
                <w:color w:val="0000FF"/>
                <w:w w:val="92"/>
              </w:rPr>
            </w:pPr>
            <w:hyperlink r:id="rId69">
              <w:r>
                <w:rPr>
                  <w:rFonts w:ascii="Arial" w:cs="Arial" w:eastAsia="Arial" w:hAnsi="Arial"/>
                  <w:sz w:val="16"/>
                  <w:szCs w:val="16"/>
                  <w:color w:val="0000FF"/>
                  <w:w w:val="92"/>
                </w:rPr>
                <w:t>and between Clearway Energy Group LLC, Clearway Energy, Inc. and GIP III Zephyr</w:t>
              </w:r>
            </w:hyperlink>
          </w:p>
        </w:tc>
        <w:tc>
          <w:tcPr>
            <w:tcW w:w="80" w:type="dxa"/>
            <w:vAlign w:val="bottom"/>
            <w:tcBorders>
              <w:top w:val="single" w:sz="8" w:color="0000FF"/>
            </w:tcBorders>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40" w:type="dxa"/>
            <w:vAlign w:val="bottom"/>
            <w:gridSpan w:val="11"/>
          </w:tcPr>
          <w:p>
            <w:pPr>
              <w:spacing w:after="0" w:line="183" w:lineRule="exact"/>
              <w:rPr>
                <w:rFonts w:ascii="Arial" w:cs="Arial" w:eastAsia="Arial" w:hAnsi="Arial"/>
                <w:sz w:val="16"/>
                <w:szCs w:val="16"/>
                <w:color w:val="0000FF"/>
              </w:rPr>
            </w:pPr>
            <w:hyperlink r:id="rId69">
              <w:r>
                <w:rPr>
                  <w:rFonts w:ascii="Arial" w:cs="Arial" w:eastAsia="Arial" w:hAnsi="Arial"/>
                  <w:sz w:val="16"/>
                  <w:szCs w:val="16"/>
                  <w:color w:val="0000FF"/>
                </w:rPr>
                <w:t>Acquisition Partners, L.P.</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10.4</w:t>
            </w:r>
          </w:p>
        </w:tc>
        <w:tc>
          <w:tcPr>
            <w:tcW w:w="5220" w:type="dxa"/>
            <w:vAlign w:val="bottom"/>
            <w:gridSpan w:val="2"/>
            <w:vMerge w:val="restart"/>
          </w:tcPr>
          <w:p>
            <w:pPr>
              <w:spacing w:after="0"/>
              <w:rPr>
                <w:rFonts w:ascii="Arial" w:cs="Arial" w:eastAsia="Arial" w:hAnsi="Arial"/>
                <w:sz w:val="16"/>
                <w:szCs w:val="16"/>
                <w:color w:val="0000FF"/>
                <w:w w:val="91"/>
              </w:rPr>
            </w:pPr>
            <w:hyperlink r:id="rId70">
              <w:r>
                <w:rPr>
                  <w:rFonts w:ascii="Arial" w:cs="Arial" w:eastAsia="Arial" w:hAnsi="Arial"/>
                  <w:sz w:val="16"/>
                  <w:szCs w:val="16"/>
                  <w:color w:val="0000FF"/>
                  <w:w w:val="91"/>
                </w:rPr>
                <w:t>Zephyr Voting and Governance Agreement, dated as of August 31, 2018, by and</w:t>
              </w:r>
            </w:hyperlink>
          </w:p>
        </w:tc>
        <w:tc>
          <w:tcPr>
            <w:tcW w:w="0" w:type="dxa"/>
            <w:vAlign w:val="bottom"/>
          </w:tcPr>
          <w:p>
            <w:pPr>
              <w:spacing w:after="0"/>
              <w:rPr>
                <w:sz w:val="1"/>
                <w:szCs w:val="1"/>
                <w:color w:val="auto"/>
              </w:rPr>
            </w:pPr>
          </w:p>
        </w:tc>
      </w:tr>
      <w:tr>
        <w:trPr>
          <w:trHeight w:val="51"/>
        </w:trPr>
        <w:tc>
          <w:tcPr>
            <w:tcW w:w="1020" w:type="dxa"/>
            <w:vAlign w:val="bottom"/>
          </w:tcPr>
          <w:p>
            <w:pPr>
              <w:spacing w:after="0"/>
              <w:rPr>
                <w:sz w:val="4"/>
                <w:szCs w:val="4"/>
                <w:color w:val="auto"/>
              </w:rPr>
            </w:pPr>
          </w:p>
        </w:tc>
        <w:tc>
          <w:tcPr>
            <w:tcW w:w="5220" w:type="dxa"/>
            <w:vAlign w:val="bottom"/>
            <w:tcBorders>
              <w:bottom w:val="single" w:sz="8" w:color="0000FF"/>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364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70">
              <w:r>
                <w:rPr>
                  <w:rFonts w:ascii="Arial" w:cs="Arial" w:eastAsia="Arial" w:hAnsi="Arial"/>
                  <w:sz w:val="16"/>
                  <w:szCs w:val="16"/>
                  <w:color w:val="0000FF"/>
                  <w:w w:val="92"/>
                </w:rPr>
                <w:t>between NRG Yield, Inc. and Zephyr Renewables LLC.</w:t>
              </w:r>
            </w:hyperlink>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November 22, 2019.</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November 22, 2019.</w:t>
      </w:r>
    </w:p>
    <w:p>
      <w:pPr>
        <w:spacing w:after="0" w:line="22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4.3 to the Company's Current Report on Form 8-K filed on November 22, 2019.</w:t>
      </w:r>
    </w:p>
    <w:p>
      <w:pPr>
        <w:spacing w:after="0" w:line="200" w:lineRule="exact"/>
        <w:rPr>
          <w:sz w:val="20"/>
          <w:szCs w:val="20"/>
          <w:color w:val="auto"/>
        </w:rPr>
      </w:pPr>
    </w:p>
    <w:p>
      <w:pPr>
        <w:spacing w:after="0" w:line="34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12, 2019.</w:t>
      </w:r>
    </w:p>
    <w:p>
      <w:pPr>
        <w:spacing w:after="0" w:line="18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December 12, 2019.</w:t>
      </w:r>
    </w:p>
    <w:p>
      <w:pPr>
        <w:spacing w:after="0" w:line="200" w:lineRule="exact"/>
        <w:rPr>
          <w:sz w:val="20"/>
          <w:szCs w:val="20"/>
          <w:color w:val="auto"/>
        </w:rPr>
      </w:pPr>
    </w:p>
    <w:p>
      <w:pPr>
        <w:spacing w:after="0" w:line="349"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Incorporated herein by reference to Exhibit 4.43 to the Company's Annual Report on Form 10-K filed on March 2, 2020.</w:t>
      </w:r>
    </w:p>
    <w:p>
      <w:pPr>
        <w:spacing w:after="0" w:line="200" w:lineRule="exact"/>
        <w:rPr>
          <w:sz w:val="20"/>
          <w:szCs w:val="20"/>
          <w:color w:val="auto"/>
        </w:rPr>
      </w:pPr>
    </w:p>
    <w:p>
      <w:pPr>
        <w:spacing w:after="0" w:line="34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September 5, 2018.</w:t>
      </w:r>
    </w:p>
    <w:p>
      <w:pPr>
        <w:spacing w:after="0" w:line="18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September 5, 2018.</w:t>
      </w:r>
    </w:p>
    <w:p>
      <w:pPr>
        <w:spacing w:after="0" w:line="18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10.3 to the Company's Current Report on Form 8-K filed on September 5, 2018.</w:t>
      </w:r>
    </w:p>
    <w:p>
      <w:pPr>
        <w:spacing w:after="0" w:line="184"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14, 2019.</w:t>
      </w:r>
    </w:p>
    <w:p>
      <w:pPr>
        <w:spacing w:after="0" w:line="184"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6, 2019.</w:t>
      </w:r>
    </w:p>
    <w:p>
      <w:pPr>
        <w:spacing w:after="0" w:line="184"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9, 2019.</w:t>
      </w:r>
    </w:p>
    <w:p>
      <w:pPr>
        <w:spacing w:after="0" w:line="200" w:lineRule="exact"/>
        <w:rPr>
          <w:sz w:val="20"/>
          <w:szCs w:val="20"/>
          <w:color w:val="auto"/>
        </w:rPr>
      </w:pPr>
    </w:p>
    <w:p>
      <w:pPr>
        <w:spacing w:after="0" w:line="36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10.4 to the Company's Current Report on Form 8-K filed on September 5, 2018.</w:t>
      </w:r>
    </w:p>
    <w:p>
      <w:pPr>
        <w:spacing w:after="0" w:line="103" w:lineRule="exact"/>
        <w:rPr>
          <w:sz w:val="20"/>
          <w:szCs w:val="20"/>
          <w:color w:val="auto"/>
        </w:rPr>
      </w:pPr>
    </w:p>
    <w:p>
      <w:pPr>
        <w:sectPr>
          <w:pgSz w:w="11900" w:h="16838" w:orient="portrait"/>
          <w:cols w:equalWidth="0" w:num="2">
            <w:col w:w="6760" w:space="200"/>
            <w:col w:w="4140"/>
          </w:cols>
          <w:pgMar w:left="360" w:top="712" w:right="439" w:bottom="28" w:gutter="0" w:footer="0" w:header="0"/>
        </w:sectPr>
      </w:pPr>
    </w:p>
    <w:p>
      <w:pPr>
        <w:spacing w:after="0"/>
        <w:rPr>
          <w:sz w:val="20"/>
          <w:szCs w:val="20"/>
          <w:color w:val="auto"/>
        </w:rPr>
      </w:pPr>
      <w:r>
        <w:rPr>
          <w:rFonts w:ascii="Arial" w:cs="Arial" w:eastAsia="Arial" w:hAnsi="Arial"/>
          <w:sz w:val="14"/>
          <w:szCs w:val="14"/>
          <w:color w:val="auto"/>
        </w:rPr>
        <w:t>10.5</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5840" w:type="dxa"/>
            <w:vAlign w:val="bottom"/>
            <w:gridSpan w:val="10"/>
            <w:vMerge w:val="restart"/>
          </w:tcPr>
          <w:p>
            <w:pPr>
              <w:spacing w:after="0"/>
              <w:rPr>
                <w:rFonts w:ascii="Arial" w:cs="Arial" w:eastAsia="Arial" w:hAnsi="Arial"/>
                <w:sz w:val="16"/>
                <w:szCs w:val="16"/>
                <w:color w:val="0000FF"/>
                <w:w w:val="97"/>
              </w:rPr>
            </w:pPr>
            <w:hyperlink r:id="rId71">
              <w:r>
                <w:rPr>
                  <w:rFonts w:ascii="Arial" w:cs="Arial" w:eastAsia="Arial" w:hAnsi="Arial"/>
                  <w:sz w:val="16"/>
                  <w:szCs w:val="16"/>
                  <w:color w:val="0000FF"/>
                  <w:w w:val="97"/>
                </w:rPr>
                <w:t>Third Amended and Restated Right of First Offer Agreement, dated as of August 31,</w:t>
              </w:r>
            </w:hyperlink>
          </w:p>
        </w:tc>
        <w:tc>
          <w:tcPr>
            <w:tcW w:w="4160" w:type="dxa"/>
            <w:vAlign w:val="bottom"/>
          </w:tcPr>
          <w:p>
            <w:pPr>
              <w:ind w:left="100"/>
              <w:spacing w:after="0"/>
              <w:rPr>
                <w:sz w:val="20"/>
                <w:szCs w:val="20"/>
                <w:color w:val="auto"/>
              </w:rPr>
            </w:pPr>
            <w:r>
              <w:rPr>
                <w:rFonts w:ascii="Arial" w:cs="Arial" w:eastAsia="Arial" w:hAnsi="Arial"/>
                <w:sz w:val="16"/>
                <w:szCs w:val="16"/>
                <w:color w:val="auto"/>
              </w:rPr>
              <w:t>Incorporated herein by reference to Exhibit 10.5 to the</w:t>
            </w:r>
          </w:p>
        </w:tc>
        <w:tc>
          <w:tcPr>
            <w:tcW w:w="0" w:type="dxa"/>
            <w:vAlign w:val="bottom"/>
          </w:tcPr>
          <w:p>
            <w:pPr>
              <w:spacing w:after="0"/>
              <w:rPr>
                <w:sz w:val="1"/>
                <w:szCs w:val="1"/>
                <w:color w:val="auto"/>
              </w:rPr>
            </w:pPr>
          </w:p>
        </w:tc>
      </w:tr>
      <w:tr>
        <w:trPr>
          <w:trHeight w:val="50"/>
        </w:trPr>
        <w:tc>
          <w:tcPr>
            <w:tcW w:w="5840" w:type="dxa"/>
            <w:vAlign w:val="bottom"/>
            <w:gridSpan w:val="10"/>
            <w:vMerge w:val="continue"/>
          </w:tcPr>
          <w:p>
            <w:pPr>
              <w:spacing w:after="0"/>
              <w:rPr>
                <w:sz w:val="4"/>
                <w:szCs w:val="4"/>
                <w:color w:val="auto"/>
              </w:rPr>
            </w:pPr>
          </w:p>
        </w:tc>
        <w:tc>
          <w:tcPr>
            <w:tcW w:w="4160" w:type="dxa"/>
            <w:vAlign w:val="bottom"/>
            <w:vMerge w:val="restart"/>
          </w:tcPr>
          <w:p>
            <w:pPr>
              <w:ind w:left="100"/>
              <w:spacing w:after="0"/>
              <w:rPr>
                <w:sz w:val="20"/>
                <w:szCs w:val="20"/>
                <w:color w:val="auto"/>
              </w:rPr>
            </w:pPr>
            <w:r>
              <w:rPr>
                <w:rFonts w:ascii="Arial" w:cs="Arial" w:eastAsia="Arial" w:hAnsi="Arial"/>
                <w:sz w:val="16"/>
                <w:szCs w:val="16"/>
                <w:color w:val="auto"/>
                <w:w w:val="91"/>
              </w:rPr>
              <w:t>Company's Current Report on Form 8-K filed on September 5,</w:t>
            </w:r>
          </w:p>
        </w:tc>
        <w:tc>
          <w:tcPr>
            <w:tcW w:w="0" w:type="dxa"/>
            <w:vAlign w:val="bottom"/>
          </w:tcPr>
          <w:p>
            <w:pPr>
              <w:spacing w:after="0"/>
              <w:rPr>
                <w:sz w:val="1"/>
                <w:szCs w:val="1"/>
                <w:color w:val="auto"/>
              </w:rPr>
            </w:pPr>
          </w:p>
        </w:tc>
      </w:tr>
      <w:tr>
        <w:trPr>
          <w:trHeight w:val="132"/>
        </w:trPr>
        <w:tc>
          <w:tcPr>
            <w:tcW w:w="5500" w:type="dxa"/>
            <w:vAlign w:val="bottom"/>
            <w:tcBorders>
              <w:top w:val="single" w:sz="8" w:color="0000FF"/>
            </w:tcBorders>
            <w:gridSpan w:val="5"/>
            <w:vMerge w:val="restart"/>
          </w:tcPr>
          <w:p>
            <w:pPr>
              <w:spacing w:after="0" w:line="183" w:lineRule="exact"/>
              <w:rPr>
                <w:rFonts w:ascii="Arial" w:cs="Arial" w:eastAsia="Arial" w:hAnsi="Arial"/>
                <w:sz w:val="16"/>
                <w:szCs w:val="16"/>
                <w:color w:val="0000FF"/>
              </w:rPr>
            </w:pPr>
            <w:hyperlink r:id="rId71">
              <w:r>
                <w:rPr>
                  <w:rFonts w:ascii="Arial" w:cs="Arial" w:eastAsia="Arial" w:hAnsi="Arial"/>
                  <w:sz w:val="16"/>
                  <w:szCs w:val="16"/>
                  <w:color w:val="0000FF"/>
                </w:rPr>
                <w:t>2018, by and between NRG Yield, Inc. and NRG Energy, Inc.</w:t>
              </w:r>
            </w:hyperlink>
          </w:p>
        </w:tc>
        <w:tc>
          <w:tcPr>
            <w:tcW w:w="340" w:type="dxa"/>
            <w:vAlign w:val="bottom"/>
            <w:gridSpan w:val="5"/>
            <w:vMerge w:val="restart"/>
          </w:tcPr>
          <w:p>
            <w:pPr>
              <w:spacing w:after="0"/>
              <w:rPr>
                <w:sz w:val="11"/>
                <w:szCs w:val="11"/>
                <w:color w:val="auto"/>
              </w:rPr>
            </w:pPr>
          </w:p>
        </w:tc>
        <w:tc>
          <w:tcPr>
            <w:tcW w:w="4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5500" w:type="dxa"/>
            <w:vAlign w:val="bottom"/>
            <w:gridSpan w:val="5"/>
            <w:vMerge w:val="continue"/>
          </w:tcPr>
          <w:p>
            <w:pPr>
              <w:spacing w:after="0"/>
              <w:rPr>
                <w:sz w:val="4"/>
                <w:szCs w:val="4"/>
                <w:color w:val="auto"/>
              </w:rPr>
            </w:pPr>
          </w:p>
        </w:tc>
        <w:tc>
          <w:tcPr>
            <w:tcW w:w="340" w:type="dxa"/>
            <w:vAlign w:val="bottom"/>
            <w:gridSpan w:val="5"/>
            <w:vMerge w:val="continue"/>
          </w:tcPr>
          <w:p>
            <w:pPr>
              <w:spacing w:after="0"/>
              <w:rPr>
                <w:sz w:val="4"/>
                <w:szCs w:val="4"/>
                <w:color w:val="auto"/>
              </w:rPr>
            </w:pPr>
          </w:p>
        </w:tc>
        <w:tc>
          <w:tcPr>
            <w:tcW w:w="4160" w:type="dxa"/>
            <w:vAlign w:val="bottom"/>
            <w:vMerge w:val="restart"/>
          </w:tcPr>
          <w:p>
            <w:pPr>
              <w:ind w:left="100"/>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0"/>
        </w:trPr>
        <w:tc>
          <w:tcPr>
            <w:tcW w:w="1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760" w:type="dxa"/>
            <w:vAlign w:val="bottom"/>
            <w:gridSpan w:val="9"/>
            <w:vMerge w:val="restart"/>
          </w:tcPr>
          <w:p>
            <w:pPr>
              <w:spacing w:after="0"/>
              <w:rPr>
                <w:rFonts w:ascii="Arial" w:cs="Arial" w:eastAsia="Arial" w:hAnsi="Arial"/>
                <w:sz w:val="16"/>
                <w:szCs w:val="16"/>
                <w:color w:val="0000FF"/>
                <w:w w:val="91"/>
              </w:rPr>
            </w:pPr>
            <w:hyperlink r:id="rId72">
              <w:r>
                <w:rPr>
                  <w:rFonts w:ascii="Arial" w:cs="Arial" w:eastAsia="Arial" w:hAnsi="Arial"/>
                  <w:sz w:val="16"/>
                  <w:szCs w:val="16"/>
                  <w:color w:val="0000FF"/>
                  <w:w w:val="91"/>
                </w:rPr>
                <w:t>Transition Services Agreement, dated August 31, 2018, by and between NRG Yield, Inc.</w:t>
              </w:r>
            </w:hyperlink>
          </w:p>
        </w:tc>
        <w:tc>
          <w:tcPr>
            <w:tcW w:w="80" w:type="dxa"/>
            <w:vAlign w:val="bottom"/>
            <w:vMerge w:val="restart"/>
          </w:tcPr>
          <w:p>
            <w:pPr>
              <w:spacing w:after="0"/>
              <w:rPr>
                <w:sz w:val="11"/>
                <w:szCs w:val="11"/>
                <w:color w:val="auto"/>
              </w:rPr>
            </w:pPr>
          </w:p>
        </w:tc>
        <w:tc>
          <w:tcPr>
            <w:tcW w:w="4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5760" w:type="dxa"/>
            <w:vAlign w:val="bottom"/>
            <w:tcBorders>
              <w:bottom w:val="single" w:sz="8" w:color="0000FF"/>
            </w:tcBorders>
            <w:gridSpan w:val="9"/>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160" w:type="dxa"/>
            <w:vAlign w:val="bottom"/>
            <w:vMerge w:val="restart"/>
          </w:tcPr>
          <w:p>
            <w:pPr>
              <w:ind w:left="100"/>
              <w:spacing w:after="0"/>
              <w:rPr>
                <w:sz w:val="20"/>
                <w:szCs w:val="20"/>
                <w:color w:val="auto"/>
              </w:rPr>
            </w:pPr>
            <w:r>
              <w:rPr>
                <w:rFonts w:ascii="Arial" w:cs="Arial" w:eastAsia="Arial" w:hAnsi="Arial"/>
                <w:sz w:val="16"/>
                <w:szCs w:val="16"/>
                <w:color w:val="auto"/>
              </w:rPr>
              <w:t>Incorporated herein by reference to Exhibit 10.7 to the</w:t>
            </w:r>
          </w:p>
        </w:tc>
        <w:tc>
          <w:tcPr>
            <w:tcW w:w="0" w:type="dxa"/>
            <w:vAlign w:val="bottom"/>
          </w:tcPr>
          <w:p>
            <w:pPr>
              <w:spacing w:after="0"/>
              <w:rPr>
                <w:sz w:val="1"/>
                <w:szCs w:val="1"/>
                <w:color w:val="auto"/>
              </w:rPr>
            </w:pPr>
          </w:p>
        </w:tc>
      </w:tr>
      <w:tr>
        <w:trPr>
          <w:trHeight w:val="92"/>
        </w:trPr>
        <w:tc>
          <w:tcPr>
            <w:tcW w:w="5840" w:type="dxa"/>
            <w:vAlign w:val="bottom"/>
            <w:gridSpan w:val="10"/>
            <w:vMerge w:val="restart"/>
          </w:tcPr>
          <w:p>
            <w:pPr>
              <w:spacing w:after="0" w:line="183" w:lineRule="exact"/>
              <w:rPr>
                <w:rFonts w:ascii="Arial" w:cs="Arial" w:eastAsia="Arial" w:hAnsi="Arial"/>
                <w:sz w:val="16"/>
                <w:szCs w:val="16"/>
                <w:color w:val="0000FF"/>
              </w:rPr>
            </w:pPr>
            <w:hyperlink r:id="rId72">
              <w:r>
                <w:rPr>
                  <w:rFonts w:ascii="Arial" w:cs="Arial" w:eastAsia="Arial" w:hAnsi="Arial"/>
                  <w:sz w:val="16"/>
                  <w:szCs w:val="16"/>
                  <w:color w:val="0000FF"/>
                </w:rPr>
                <w:t>and NRG Energy, Inc.</w:t>
              </w:r>
            </w:hyperlink>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840" w:type="dxa"/>
            <w:vAlign w:val="bottom"/>
            <w:gridSpan w:val="10"/>
            <w:vMerge w:val="continue"/>
          </w:tcPr>
          <w:p>
            <w:pPr>
              <w:spacing w:after="0"/>
              <w:rPr>
                <w:sz w:val="7"/>
                <w:szCs w:val="7"/>
                <w:color w:val="auto"/>
              </w:rPr>
            </w:pPr>
          </w:p>
        </w:tc>
        <w:tc>
          <w:tcPr>
            <w:tcW w:w="4160" w:type="dxa"/>
            <w:vAlign w:val="bottom"/>
            <w:vMerge w:val="restart"/>
          </w:tcPr>
          <w:p>
            <w:pPr>
              <w:ind w:left="100"/>
              <w:spacing w:after="0"/>
              <w:rPr>
                <w:sz w:val="20"/>
                <w:szCs w:val="20"/>
                <w:color w:val="auto"/>
              </w:rPr>
            </w:pPr>
            <w:r>
              <w:rPr>
                <w:rFonts w:ascii="Arial" w:cs="Arial" w:eastAsia="Arial" w:hAnsi="Arial"/>
                <w:sz w:val="16"/>
                <w:szCs w:val="16"/>
                <w:color w:val="auto"/>
                <w:w w:val="91"/>
              </w:rPr>
              <w:t>Company's Current Report on Form 8-K filed on September 5,</w:t>
            </w:r>
          </w:p>
        </w:tc>
        <w:tc>
          <w:tcPr>
            <w:tcW w:w="0" w:type="dxa"/>
            <w:vAlign w:val="bottom"/>
          </w:tcPr>
          <w:p>
            <w:pPr>
              <w:spacing w:after="0"/>
              <w:rPr>
                <w:sz w:val="1"/>
                <w:szCs w:val="1"/>
                <w:color w:val="auto"/>
              </w:rPr>
            </w:pPr>
          </w:p>
        </w:tc>
      </w:tr>
      <w:tr>
        <w:trPr>
          <w:trHeight w:val="92"/>
        </w:trPr>
        <w:tc>
          <w:tcPr>
            <w:tcW w:w="1440" w:type="dxa"/>
            <w:vAlign w:val="bottom"/>
            <w:tcBorders>
              <w:top w:val="single" w:sz="8" w:color="0000FF"/>
            </w:tcBorders>
          </w:tcPr>
          <w:p>
            <w:pPr>
              <w:spacing w:after="0"/>
              <w:rPr>
                <w:sz w:val="7"/>
                <w:szCs w:val="7"/>
                <w:color w:val="auto"/>
              </w:rPr>
            </w:pPr>
          </w:p>
        </w:tc>
        <w:tc>
          <w:tcPr>
            <w:tcW w:w="1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Pr>
          <w:p>
            <w:pPr>
              <w:ind w:left="100"/>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84"/>
        </w:trPr>
        <w:tc>
          <w:tcPr>
            <w:tcW w:w="5600" w:type="dxa"/>
            <w:vAlign w:val="bottom"/>
            <w:tcBorders>
              <w:bottom w:val="single" w:sz="8" w:color="0000FF"/>
            </w:tcBorders>
            <w:gridSpan w:val="6"/>
          </w:tcPr>
          <w:p>
            <w:pPr>
              <w:spacing w:after="0"/>
              <w:rPr>
                <w:rFonts w:ascii="Arial" w:cs="Arial" w:eastAsia="Arial" w:hAnsi="Arial"/>
                <w:sz w:val="16"/>
                <w:szCs w:val="16"/>
                <w:color w:val="0000FF"/>
                <w:w w:val="92"/>
              </w:rPr>
            </w:pPr>
            <w:hyperlink r:id="rId73">
              <w:r>
                <w:rPr>
                  <w:rFonts w:ascii="Arial" w:cs="Arial" w:eastAsia="Arial" w:hAnsi="Arial"/>
                  <w:sz w:val="16"/>
                  <w:szCs w:val="16"/>
                  <w:color w:val="0000FF"/>
                  <w:w w:val="92"/>
                </w:rPr>
                <w:t>Termination Agreement, dated as of August 31, 2018, by and among NRG Yield, Inc.,</w:t>
              </w:r>
            </w:hyperlink>
          </w:p>
        </w:tc>
        <w:tc>
          <w:tcPr>
            <w:tcW w:w="240" w:type="dxa"/>
            <w:vAlign w:val="bottom"/>
            <w:gridSpan w:val="4"/>
          </w:tcPr>
          <w:p>
            <w:pPr>
              <w:spacing w:after="0"/>
              <w:rPr>
                <w:sz w:val="24"/>
                <w:szCs w:val="24"/>
                <w:color w:val="auto"/>
              </w:rPr>
            </w:pPr>
          </w:p>
        </w:tc>
        <w:tc>
          <w:tcPr>
            <w:tcW w:w="4160" w:type="dxa"/>
            <w:vAlign w:val="bottom"/>
          </w:tcPr>
          <w:p>
            <w:pPr>
              <w:ind w:left="100"/>
              <w:spacing w:after="0"/>
              <w:rPr>
                <w:sz w:val="20"/>
                <w:szCs w:val="20"/>
                <w:color w:val="auto"/>
              </w:rPr>
            </w:pPr>
            <w:r>
              <w:rPr>
                <w:rFonts w:ascii="Arial" w:cs="Arial" w:eastAsia="Arial" w:hAnsi="Arial"/>
                <w:sz w:val="16"/>
                <w:szCs w:val="16"/>
                <w:color w:val="auto"/>
              </w:rPr>
              <w:t>Incorporated herein by reference to Exhibit 10.9 to the</w:t>
            </w:r>
          </w:p>
        </w:tc>
        <w:tc>
          <w:tcPr>
            <w:tcW w:w="0" w:type="dxa"/>
            <w:vAlign w:val="bottom"/>
          </w:tcPr>
          <w:p>
            <w:pPr>
              <w:spacing w:after="0"/>
              <w:rPr>
                <w:sz w:val="1"/>
                <w:szCs w:val="1"/>
                <w:color w:val="auto"/>
              </w:rPr>
            </w:pPr>
          </w:p>
        </w:tc>
      </w:tr>
      <w:tr>
        <w:trPr>
          <w:trHeight w:val="183"/>
        </w:trPr>
        <w:tc>
          <w:tcPr>
            <w:tcW w:w="5840" w:type="dxa"/>
            <w:vAlign w:val="bottom"/>
            <w:gridSpan w:val="10"/>
          </w:tcPr>
          <w:p>
            <w:pPr>
              <w:spacing w:after="0" w:line="183" w:lineRule="exact"/>
              <w:rPr>
                <w:rFonts w:ascii="Arial" w:cs="Arial" w:eastAsia="Arial" w:hAnsi="Arial"/>
                <w:sz w:val="16"/>
                <w:szCs w:val="16"/>
                <w:color w:val="0000FF"/>
              </w:rPr>
            </w:pPr>
            <w:hyperlink r:id="rId73">
              <w:r>
                <w:rPr>
                  <w:rFonts w:ascii="Arial" w:cs="Arial" w:eastAsia="Arial" w:hAnsi="Arial"/>
                  <w:sz w:val="16"/>
                  <w:szCs w:val="16"/>
                  <w:color w:val="0000FF"/>
                </w:rPr>
                <w:t>NRG Yield LLC, NRG Yield Operating LLC and NRG Energy, Inc.</w:t>
              </w:r>
            </w:hyperlink>
          </w:p>
        </w:tc>
        <w:tc>
          <w:tcPr>
            <w:tcW w:w="4160" w:type="dxa"/>
            <w:vAlign w:val="bottom"/>
          </w:tcPr>
          <w:p>
            <w:pPr>
              <w:ind w:left="100"/>
              <w:spacing w:after="0" w:line="183" w:lineRule="exact"/>
              <w:rPr>
                <w:sz w:val="20"/>
                <w:szCs w:val="20"/>
                <w:color w:val="auto"/>
              </w:rPr>
            </w:pPr>
            <w:r>
              <w:rPr>
                <w:rFonts w:ascii="Arial" w:cs="Arial" w:eastAsia="Arial" w:hAnsi="Arial"/>
                <w:sz w:val="16"/>
                <w:szCs w:val="16"/>
                <w:color w:val="auto"/>
                <w:w w:val="91"/>
              </w:rPr>
              <w:t>Company's Current Report on Form 8-K filed on September 5,</w:t>
            </w:r>
          </w:p>
        </w:tc>
        <w:tc>
          <w:tcPr>
            <w:tcW w:w="0" w:type="dxa"/>
            <w:vAlign w:val="bottom"/>
          </w:tcPr>
          <w:p>
            <w:pPr>
              <w:spacing w:after="0"/>
              <w:rPr>
                <w:sz w:val="1"/>
                <w:szCs w:val="1"/>
                <w:color w:val="auto"/>
              </w:rPr>
            </w:pPr>
          </w:p>
        </w:tc>
      </w:tr>
      <w:tr>
        <w:trPr>
          <w:trHeight w:val="217"/>
        </w:trPr>
        <w:tc>
          <w:tcPr>
            <w:tcW w:w="144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14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03"/>
        </w:trPr>
        <w:tc>
          <w:tcPr>
            <w:tcW w:w="5720" w:type="dxa"/>
            <w:vAlign w:val="bottom"/>
            <w:tcBorders>
              <w:bottom w:val="single" w:sz="8" w:color="0000FF"/>
            </w:tcBorders>
            <w:gridSpan w:val="8"/>
          </w:tcPr>
          <w:p>
            <w:pPr>
              <w:spacing w:after="0"/>
              <w:rPr>
                <w:rFonts w:ascii="Arial" w:cs="Arial" w:eastAsia="Arial" w:hAnsi="Arial"/>
                <w:sz w:val="16"/>
                <w:szCs w:val="16"/>
                <w:color w:val="0000FF"/>
                <w:w w:val="90"/>
              </w:rPr>
            </w:pPr>
            <w:hyperlink r:id="rId74">
              <w:r>
                <w:rPr>
                  <w:rFonts w:ascii="Arial" w:cs="Arial" w:eastAsia="Arial" w:hAnsi="Arial"/>
                  <w:sz w:val="16"/>
                  <w:szCs w:val="16"/>
                  <w:color w:val="0000FF"/>
                  <w:w w:val="90"/>
                </w:rPr>
                <w:t>Loan Guarantee Agreement, dated as of September 30, 2011, by and among High Plains</w:t>
              </w:r>
            </w:hyperlink>
          </w:p>
        </w:tc>
        <w:tc>
          <w:tcPr>
            <w:tcW w:w="120" w:type="dxa"/>
            <w:vAlign w:val="bottom"/>
            <w:gridSpan w:val="2"/>
          </w:tcPr>
          <w:p>
            <w:pPr>
              <w:spacing w:after="0"/>
              <w:rPr>
                <w:sz w:val="24"/>
                <w:szCs w:val="24"/>
                <w:color w:val="auto"/>
              </w:rPr>
            </w:pPr>
          </w:p>
        </w:tc>
        <w:tc>
          <w:tcPr>
            <w:tcW w:w="4160" w:type="dxa"/>
            <w:vAlign w:val="bottom"/>
          </w:tcPr>
          <w:p>
            <w:pPr>
              <w:ind w:left="100"/>
              <w:spacing w:after="0"/>
              <w:rPr>
                <w:sz w:val="20"/>
                <w:szCs w:val="20"/>
                <w:color w:val="auto"/>
              </w:rPr>
            </w:pPr>
            <w:r>
              <w:rPr>
                <w:rFonts w:ascii="Arial" w:cs="Arial" w:eastAsia="Arial" w:hAnsi="Arial"/>
                <w:sz w:val="16"/>
                <w:szCs w:val="16"/>
                <w:color w:val="auto"/>
              </w:rPr>
              <w:t>Incorporated herein by reference to Exhibit 10.8 to the</w:t>
            </w:r>
          </w:p>
        </w:tc>
        <w:tc>
          <w:tcPr>
            <w:tcW w:w="0" w:type="dxa"/>
            <w:vAlign w:val="bottom"/>
          </w:tcPr>
          <w:p>
            <w:pPr>
              <w:spacing w:after="0"/>
              <w:rPr>
                <w:sz w:val="1"/>
                <w:szCs w:val="1"/>
                <w:color w:val="auto"/>
              </w:rPr>
            </w:pPr>
          </w:p>
        </w:tc>
      </w:tr>
      <w:tr>
        <w:trPr>
          <w:trHeight w:val="183"/>
        </w:trPr>
        <w:tc>
          <w:tcPr>
            <w:tcW w:w="5840" w:type="dxa"/>
            <w:vAlign w:val="bottom"/>
            <w:gridSpan w:val="10"/>
          </w:tcPr>
          <w:p>
            <w:pPr>
              <w:spacing w:after="0" w:line="183" w:lineRule="exact"/>
              <w:rPr>
                <w:rFonts w:ascii="Arial" w:cs="Arial" w:eastAsia="Arial" w:hAnsi="Arial"/>
                <w:sz w:val="16"/>
                <w:szCs w:val="16"/>
                <w:color w:val="0000FF"/>
                <w:w w:val="94"/>
              </w:rPr>
            </w:pPr>
            <w:hyperlink r:id="rId74">
              <w:r>
                <w:rPr>
                  <w:rFonts w:ascii="Arial" w:cs="Arial" w:eastAsia="Arial" w:hAnsi="Arial"/>
                  <w:sz w:val="16"/>
                  <w:szCs w:val="16"/>
                  <w:color w:val="0000FF"/>
                  <w:w w:val="94"/>
                </w:rPr>
                <w:t>Ranch II, LLC, as borrower, the U.S. Department of Energy, as guarantor, and the U.S.</w:t>
              </w:r>
            </w:hyperlink>
          </w:p>
        </w:tc>
        <w:tc>
          <w:tcPr>
            <w:tcW w:w="4160" w:type="dxa"/>
            <w:vAlign w:val="bottom"/>
          </w:tcPr>
          <w:p>
            <w:pPr>
              <w:ind w:left="100"/>
              <w:spacing w:after="0" w:line="183" w:lineRule="exact"/>
              <w:rPr>
                <w:sz w:val="20"/>
                <w:szCs w:val="20"/>
                <w:color w:val="auto"/>
              </w:rPr>
            </w:pPr>
            <w:r>
              <w:rPr>
                <w:rFonts w:ascii="Arial" w:cs="Arial" w:eastAsia="Arial" w:hAnsi="Arial"/>
                <w:sz w:val="16"/>
                <w:szCs w:val="16"/>
                <w:color w:val="auto"/>
                <w:w w:val="91"/>
              </w:rPr>
              <w:t>Company's Draft Registration Statement on Form S-1, filed on</w:t>
            </w:r>
          </w:p>
        </w:tc>
        <w:tc>
          <w:tcPr>
            <w:tcW w:w="0" w:type="dxa"/>
            <w:vAlign w:val="bottom"/>
          </w:tcPr>
          <w:p>
            <w:pPr>
              <w:spacing w:after="0"/>
              <w:rPr>
                <w:sz w:val="1"/>
                <w:szCs w:val="1"/>
                <w:color w:val="auto"/>
              </w:rPr>
            </w:pPr>
          </w:p>
        </w:tc>
      </w:tr>
      <w:tr>
        <w:trPr>
          <w:trHeight w:val="183"/>
        </w:trPr>
        <w:tc>
          <w:tcPr>
            <w:tcW w:w="25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0"/>
              </w:rPr>
            </w:pPr>
            <w:hyperlink r:id="rId74">
              <w:r>
                <w:rPr>
                  <w:rFonts w:ascii="Arial" w:cs="Arial" w:eastAsia="Arial" w:hAnsi="Arial"/>
                  <w:sz w:val="16"/>
                  <w:szCs w:val="16"/>
                  <w:color w:val="0000FF"/>
                  <w:w w:val="90"/>
                </w:rPr>
                <w:t>Department of Energy, as loan servicer.</w:t>
              </w:r>
            </w:hyperlink>
          </w:p>
        </w:tc>
        <w:tc>
          <w:tcPr>
            <w:tcW w:w="3060" w:type="dxa"/>
            <w:vAlign w:val="bottom"/>
            <w:tcBorders>
              <w:top w:val="single" w:sz="8" w:color="0000FF"/>
            </w:tcBorders>
            <w:gridSpan w:val="5"/>
          </w:tcPr>
          <w:p>
            <w:pPr>
              <w:spacing w:after="0"/>
              <w:rPr>
                <w:sz w:val="15"/>
                <w:szCs w:val="15"/>
                <w:color w:val="auto"/>
              </w:rPr>
            </w:pPr>
          </w:p>
        </w:tc>
        <w:tc>
          <w:tcPr>
            <w:tcW w:w="220" w:type="dxa"/>
            <w:vAlign w:val="bottom"/>
            <w:gridSpan w:val="3"/>
          </w:tcPr>
          <w:p>
            <w:pPr>
              <w:spacing w:after="0"/>
              <w:rPr>
                <w:sz w:val="15"/>
                <w:szCs w:val="15"/>
                <w:color w:val="auto"/>
              </w:rPr>
            </w:pPr>
          </w:p>
        </w:tc>
        <w:tc>
          <w:tcPr>
            <w:tcW w:w="4160" w:type="dxa"/>
            <w:vAlign w:val="bottom"/>
          </w:tcPr>
          <w:p>
            <w:pPr>
              <w:ind w:left="100"/>
              <w:spacing w:after="0" w:line="183" w:lineRule="exact"/>
              <w:rPr>
                <w:sz w:val="20"/>
                <w:szCs w:val="20"/>
                <w:color w:val="auto"/>
              </w:rPr>
            </w:pPr>
            <w:r>
              <w:rPr>
                <w:rFonts w:ascii="Arial" w:cs="Arial" w:eastAsia="Arial" w:hAnsi="Arial"/>
                <w:sz w:val="16"/>
                <w:szCs w:val="16"/>
                <w:color w:val="auto"/>
              </w:rPr>
              <w:t>February 13, 2013.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720"/>
            <w:col w:w="10080"/>
          </w:cols>
          <w:pgMar w:left="360" w:top="712" w:right="439" w:bottom="28" w:gutter="0" w:footer="0" w:header="0"/>
          <w:type w:val="continuous"/>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00"/>
          </w:cols>
          <w:pgMar w:left="360" w:top="712" w:right="439" w:bottom="28"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Arial" w:cs="Arial" w:eastAsia="Arial" w:hAnsi="Arial"/>
                <w:sz w:val="16"/>
                <w:szCs w:val="16"/>
                <w:color w:val="auto"/>
              </w:rPr>
              <w:t>10.9†</w:t>
            </w:r>
          </w:p>
        </w:tc>
        <w:tc>
          <w:tcPr>
            <w:tcW w:w="5380" w:type="dxa"/>
            <w:vAlign w:val="bottom"/>
            <w:gridSpan w:val="3"/>
          </w:tcPr>
          <w:p>
            <w:pPr>
              <w:spacing w:after="0"/>
              <w:rPr>
                <w:rFonts w:ascii="Arial" w:cs="Arial" w:eastAsia="Arial" w:hAnsi="Arial"/>
                <w:sz w:val="16"/>
                <w:szCs w:val="16"/>
                <w:color w:val="0000FF"/>
              </w:rPr>
            </w:pPr>
            <w:hyperlink r:id="rId75">
              <w:r>
                <w:rPr>
                  <w:rFonts w:ascii="Arial" w:cs="Arial" w:eastAsia="Arial" w:hAnsi="Arial"/>
                  <w:sz w:val="16"/>
                  <w:szCs w:val="16"/>
                  <w:color w:val="0000FF"/>
                </w:rPr>
                <w:t>Clearway Energy, Inc. Amended and Restated 2013 Equity Incentive Plan.</w:t>
              </w:r>
            </w:hyperlink>
          </w:p>
        </w:tc>
        <w:tc>
          <w:tcPr>
            <w:tcW w:w="4660" w:type="dxa"/>
            <w:vAlign w:val="bottom"/>
          </w:tcPr>
          <w:p>
            <w:pPr>
              <w:ind w:left="560"/>
              <w:spacing w:after="0"/>
              <w:rPr>
                <w:sz w:val="20"/>
                <w:szCs w:val="20"/>
                <w:color w:val="auto"/>
              </w:rPr>
            </w:pPr>
            <w:r>
              <w:rPr>
                <w:rFonts w:ascii="Arial" w:cs="Arial" w:eastAsia="Arial" w:hAnsi="Arial"/>
                <w:sz w:val="16"/>
                <w:szCs w:val="16"/>
                <w:color w:val="auto"/>
              </w:rPr>
              <w:t>Incorporated herein by reference to Exhibit 10.9 to the</w:t>
            </w:r>
          </w:p>
        </w:tc>
      </w:tr>
      <w:tr>
        <w:trPr>
          <w:trHeight w:val="213"/>
        </w:trPr>
        <w:tc>
          <w:tcPr>
            <w:tcW w:w="1020" w:type="dxa"/>
            <w:vAlign w:val="bottom"/>
          </w:tcPr>
          <w:p>
            <w:pPr>
              <w:spacing w:after="0"/>
              <w:rPr>
                <w:sz w:val="18"/>
                <w:szCs w:val="18"/>
                <w:color w:val="auto"/>
              </w:rPr>
            </w:pPr>
          </w:p>
        </w:tc>
        <w:tc>
          <w:tcPr>
            <w:tcW w:w="2400" w:type="dxa"/>
            <w:vAlign w:val="bottom"/>
            <w:tcBorders>
              <w:top w:val="single" w:sz="8" w:color="0000FF"/>
            </w:tcBorders>
          </w:tcPr>
          <w:p>
            <w:pPr>
              <w:spacing w:after="0"/>
              <w:rPr>
                <w:sz w:val="18"/>
                <w:szCs w:val="18"/>
                <w:color w:val="auto"/>
              </w:rPr>
            </w:pPr>
          </w:p>
        </w:tc>
        <w:tc>
          <w:tcPr>
            <w:tcW w:w="244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4660" w:type="dxa"/>
            <w:vAlign w:val="bottom"/>
          </w:tcPr>
          <w:p>
            <w:pPr>
              <w:ind w:left="560"/>
              <w:spacing w:after="0"/>
              <w:rPr>
                <w:sz w:val="20"/>
                <w:szCs w:val="20"/>
                <w:color w:val="auto"/>
              </w:rPr>
            </w:pPr>
            <w:r>
              <w:rPr>
                <w:rFonts w:ascii="Arial" w:cs="Arial" w:eastAsia="Arial" w:hAnsi="Arial"/>
                <w:sz w:val="16"/>
                <w:szCs w:val="16"/>
                <w:color w:val="auto"/>
                <w:w w:val="92"/>
              </w:rPr>
              <w:t>Company's Annual Report on Form 10-K filed on February 28,</w:t>
            </w:r>
          </w:p>
        </w:tc>
      </w:tr>
      <w:tr>
        <w:trPr>
          <w:trHeight w:val="206"/>
        </w:trPr>
        <w:tc>
          <w:tcPr>
            <w:tcW w:w="10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Pr>
          <w:p>
            <w:pPr>
              <w:ind w:left="560"/>
              <w:spacing w:after="0"/>
              <w:rPr>
                <w:sz w:val="20"/>
                <w:szCs w:val="20"/>
                <w:color w:val="auto"/>
              </w:rPr>
            </w:pPr>
            <w:r>
              <w:rPr>
                <w:rFonts w:ascii="Arial" w:cs="Arial" w:eastAsia="Arial" w:hAnsi="Arial"/>
                <w:sz w:val="16"/>
                <w:szCs w:val="16"/>
                <w:color w:val="auto"/>
              </w:rPr>
              <w:t>2019.</w:t>
            </w:r>
          </w:p>
        </w:tc>
      </w:tr>
      <w:tr>
        <w:trPr>
          <w:trHeight w:val="222"/>
        </w:trPr>
        <w:tc>
          <w:tcPr>
            <w:tcW w:w="1020" w:type="dxa"/>
            <w:vAlign w:val="bottom"/>
          </w:tcPr>
          <w:p>
            <w:pPr>
              <w:spacing w:after="0"/>
              <w:rPr>
                <w:sz w:val="20"/>
                <w:szCs w:val="20"/>
                <w:color w:val="auto"/>
              </w:rPr>
            </w:pPr>
            <w:r>
              <w:rPr>
                <w:rFonts w:ascii="Arial" w:cs="Arial" w:eastAsia="Arial" w:hAnsi="Arial"/>
                <w:sz w:val="16"/>
                <w:szCs w:val="16"/>
                <w:color w:val="auto"/>
              </w:rPr>
              <w:t>10.10</w:t>
            </w:r>
          </w:p>
        </w:tc>
        <w:tc>
          <w:tcPr>
            <w:tcW w:w="5380" w:type="dxa"/>
            <w:vAlign w:val="bottom"/>
            <w:gridSpan w:val="3"/>
          </w:tcPr>
          <w:p>
            <w:pPr>
              <w:spacing w:after="0"/>
              <w:rPr>
                <w:rFonts w:ascii="Arial" w:cs="Arial" w:eastAsia="Arial" w:hAnsi="Arial"/>
                <w:sz w:val="16"/>
                <w:szCs w:val="16"/>
                <w:color w:val="0000FF"/>
              </w:rPr>
            </w:pPr>
            <w:hyperlink r:id="rId76">
              <w:r>
                <w:rPr>
                  <w:rFonts w:ascii="Arial" w:cs="Arial" w:eastAsia="Arial" w:hAnsi="Arial"/>
                  <w:sz w:val="16"/>
                  <w:szCs w:val="16"/>
                  <w:color w:val="0000FF"/>
                </w:rPr>
                <w:t>Form of Indemnification Agreement.</w:t>
              </w:r>
            </w:hyperlink>
          </w:p>
        </w:tc>
        <w:tc>
          <w:tcPr>
            <w:tcW w:w="4660" w:type="dxa"/>
            <w:vAlign w:val="bottom"/>
          </w:tcPr>
          <w:p>
            <w:pPr>
              <w:ind w:left="560"/>
              <w:spacing w:after="0"/>
              <w:rPr>
                <w:sz w:val="20"/>
                <w:szCs w:val="20"/>
                <w:color w:val="auto"/>
              </w:rPr>
            </w:pPr>
            <w:r>
              <w:rPr>
                <w:rFonts w:ascii="Arial" w:cs="Arial" w:eastAsia="Arial" w:hAnsi="Arial"/>
                <w:sz w:val="16"/>
                <w:szCs w:val="16"/>
                <w:color w:val="auto"/>
              </w:rPr>
              <w:t>Incorporated herein by reference to Exhibit 10.10 to the</w:t>
            </w:r>
          </w:p>
        </w:tc>
      </w:tr>
      <w:tr>
        <w:trPr>
          <w:trHeight w:val="213"/>
        </w:trPr>
        <w:tc>
          <w:tcPr>
            <w:tcW w:w="1020" w:type="dxa"/>
            <w:vAlign w:val="bottom"/>
          </w:tcPr>
          <w:p>
            <w:pPr>
              <w:spacing w:after="0"/>
              <w:rPr>
                <w:sz w:val="18"/>
                <w:szCs w:val="18"/>
                <w:color w:val="auto"/>
              </w:rPr>
            </w:pPr>
          </w:p>
        </w:tc>
        <w:tc>
          <w:tcPr>
            <w:tcW w:w="2400" w:type="dxa"/>
            <w:vAlign w:val="bottom"/>
            <w:tcBorders>
              <w:top w:val="single" w:sz="8" w:color="0000FF"/>
            </w:tcBorders>
          </w:tcPr>
          <w:p>
            <w:pPr>
              <w:spacing w:after="0"/>
              <w:rPr>
                <w:sz w:val="18"/>
                <w:szCs w:val="18"/>
                <w:color w:val="auto"/>
              </w:rPr>
            </w:pP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60" w:type="dxa"/>
            <w:vAlign w:val="bottom"/>
          </w:tcPr>
          <w:p>
            <w:pPr>
              <w:ind w:left="560"/>
              <w:spacing w:after="0"/>
              <w:rPr>
                <w:sz w:val="20"/>
                <w:szCs w:val="20"/>
                <w:color w:val="auto"/>
              </w:rPr>
            </w:pPr>
            <w:r>
              <w:rPr>
                <w:rFonts w:ascii="Arial" w:cs="Arial" w:eastAsia="Arial" w:hAnsi="Arial"/>
                <w:sz w:val="16"/>
                <w:szCs w:val="16"/>
                <w:color w:val="auto"/>
                <w:w w:val="92"/>
              </w:rPr>
              <w:t>Company's Annual Report on Form 10-K filed on February 28,</w:t>
            </w:r>
          </w:p>
        </w:tc>
      </w:tr>
      <w:tr>
        <w:trPr>
          <w:trHeight w:val="206"/>
        </w:trPr>
        <w:tc>
          <w:tcPr>
            <w:tcW w:w="10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Pr>
          <w:p>
            <w:pPr>
              <w:ind w:left="560"/>
              <w:spacing w:after="0"/>
              <w:rPr>
                <w:sz w:val="20"/>
                <w:szCs w:val="20"/>
                <w:color w:val="auto"/>
              </w:rPr>
            </w:pPr>
            <w:r>
              <w:rPr>
                <w:rFonts w:ascii="Arial" w:cs="Arial" w:eastAsia="Arial" w:hAnsi="Arial"/>
                <w:sz w:val="16"/>
                <w:szCs w:val="16"/>
                <w:color w:val="auto"/>
              </w:rPr>
              <w:t>2019.</w:t>
            </w:r>
          </w:p>
        </w:tc>
      </w:tr>
    </w:tbl>
    <w:p>
      <w:pPr>
        <w:spacing w:after="0" w:line="200" w:lineRule="exact"/>
        <w:rPr>
          <w:sz w:val="20"/>
          <w:szCs w:val="20"/>
          <w:color w:val="auto"/>
        </w:rPr>
      </w:pPr>
    </w:p>
    <w:p>
      <w:pPr>
        <w:sectPr>
          <w:pgSz w:w="11900" w:h="16838" w:orient="portrait"/>
          <w:cols w:equalWidth="0" w:num="1">
            <w:col w:w="11180"/>
          </w:cols>
          <w:pgMar w:left="360" w:top="712" w:right="359" w:bottom="1440" w:gutter="0" w:footer="0" w:header="0"/>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459"/>
              <w:spacing w:after="0"/>
              <w:rPr>
                <w:sz w:val="20"/>
                <w:szCs w:val="20"/>
                <w:color w:val="auto"/>
              </w:rPr>
            </w:pPr>
            <w:r>
              <w:rPr>
                <w:rFonts w:ascii="Arial" w:cs="Arial" w:eastAsia="Arial" w:hAnsi="Arial"/>
                <w:sz w:val="16"/>
                <w:szCs w:val="16"/>
                <w:color w:val="auto"/>
                <w:w w:val="86"/>
              </w:rPr>
              <w:t>10.11.1</w:t>
            </w:r>
          </w:p>
        </w:tc>
        <w:tc>
          <w:tcPr>
            <w:tcW w:w="5520" w:type="dxa"/>
            <w:vAlign w:val="bottom"/>
            <w:tcBorders>
              <w:bottom w:val="single" w:sz="8" w:color="0000FF"/>
            </w:tcBorders>
            <w:gridSpan w:val="15"/>
          </w:tcPr>
          <w:p>
            <w:pPr>
              <w:spacing w:after="0"/>
              <w:rPr>
                <w:rFonts w:ascii="Arial" w:cs="Arial" w:eastAsia="Arial" w:hAnsi="Arial"/>
                <w:sz w:val="16"/>
                <w:szCs w:val="16"/>
                <w:color w:val="0000FF"/>
                <w:w w:val="91"/>
              </w:rPr>
            </w:pPr>
            <w:hyperlink r:id="rId77">
              <w:r>
                <w:rPr>
                  <w:rFonts w:ascii="Arial" w:cs="Arial" w:eastAsia="Arial" w:hAnsi="Arial"/>
                  <w:sz w:val="16"/>
                  <w:szCs w:val="16"/>
                  <w:color w:val="0000FF"/>
                  <w:w w:val="91"/>
                </w:rPr>
                <w:t>Amended and Restated Credit Agreement, dated April 25, 2014, by and among NRG</w:t>
              </w:r>
            </w:hyperlink>
          </w:p>
        </w:tc>
        <w:tc>
          <w:tcPr>
            <w:tcW w:w="2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25"/>
          </w:tcPr>
          <w:p>
            <w:pPr>
              <w:spacing w:after="0" w:line="183" w:lineRule="exact"/>
              <w:rPr>
                <w:rFonts w:ascii="Arial" w:cs="Arial" w:eastAsia="Arial" w:hAnsi="Arial"/>
                <w:sz w:val="16"/>
                <w:szCs w:val="16"/>
                <w:color w:val="0000FF"/>
              </w:rPr>
            </w:pPr>
            <w:hyperlink r:id="rId77">
              <w:r>
                <w:rPr>
                  <w:rFonts w:ascii="Arial" w:cs="Arial" w:eastAsia="Arial" w:hAnsi="Arial"/>
                  <w:sz w:val="16"/>
                  <w:szCs w:val="16"/>
                  <w:color w:val="0000FF"/>
                </w:rPr>
                <w:t>Yield Operating LLC, NRG Yield LLC, Royal Bank of Canada, as Administrative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25"/>
          </w:tcPr>
          <w:p>
            <w:pPr>
              <w:spacing w:after="0" w:line="183" w:lineRule="exact"/>
              <w:rPr>
                <w:rFonts w:ascii="Arial" w:cs="Arial" w:eastAsia="Arial" w:hAnsi="Arial"/>
                <w:sz w:val="16"/>
                <w:szCs w:val="16"/>
                <w:color w:val="0000FF"/>
                <w:w w:val="91"/>
              </w:rPr>
            </w:pPr>
            <w:hyperlink r:id="rId77">
              <w:r>
                <w:rPr>
                  <w:rFonts w:ascii="Arial" w:cs="Arial" w:eastAsia="Arial" w:hAnsi="Arial"/>
                  <w:sz w:val="16"/>
                  <w:szCs w:val="16"/>
                  <w:color w:val="0000FF"/>
                  <w:w w:val="91"/>
                </w:rPr>
                <w:t>Agent, the lenders party thereto, Royal Bank of Canada, Goldman Sachs Bank USA and</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420" w:type="dxa"/>
            <w:vAlign w:val="bottom"/>
            <w:tcBorders>
              <w:top w:val="single" w:sz="8" w:color="0000FF"/>
              <w:bottom w:val="single" w:sz="8" w:color="0000FF"/>
            </w:tcBorders>
            <w:gridSpan w:val="11"/>
          </w:tcPr>
          <w:p>
            <w:pPr>
              <w:spacing w:after="0" w:line="183" w:lineRule="exact"/>
              <w:rPr>
                <w:rFonts w:ascii="Arial" w:cs="Arial" w:eastAsia="Arial" w:hAnsi="Arial"/>
                <w:sz w:val="16"/>
                <w:szCs w:val="16"/>
                <w:color w:val="0000FF"/>
                <w:w w:val="92"/>
              </w:rPr>
            </w:pPr>
            <w:hyperlink r:id="rId77">
              <w:r>
                <w:rPr>
                  <w:rFonts w:ascii="Arial" w:cs="Arial" w:eastAsia="Arial" w:hAnsi="Arial"/>
                  <w:sz w:val="16"/>
                  <w:szCs w:val="16"/>
                  <w:color w:val="0000FF"/>
                  <w:w w:val="92"/>
                </w:rPr>
                <w:t>Bank of America, N.A., as L/C Issuers and RBC Capital Markets as Sole Left Lead</w:t>
              </w:r>
            </w:hyperlink>
          </w:p>
        </w:tc>
        <w:tc>
          <w:tcPr>
            <w:tcW w:w="300" w:type="dxa"/>
            <w:vAlign w:val="bottom"/>
            <w:tcBorders>
              <w:top w:val="single" w:sz="8" w:color="0000FF"/>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25"/>
          </w:tcPr>
          <w:p>
            <w:pPr>
              <w:spacing w:after="0" w:line="183" w:lineRule="exact"/>
              <w:rPr>
                <w:rFonts w:ascii="Arial" w:cs="Arial" w:eastAsia="Arial" w:hAnsi="Arial"/>
                <w:sz w:val="16"/>
                <w:szCs w:val="16"/>
                <w:color w:val="0000FF"/>
              </w:rPr>
            </w:pPr>
            <w:hyperlink r:id="rId77">
              <w:r>
                <w:rPr>
                  <w:rFonts w:ascii="Arial" w:cs="Arial" w:eastAsia="Arial" w:hAnsi="Arial"/>
                  <w:sz w:val="16"/>
                  <w:szCs w:val="16"/>
                  <w:color w:val="0000FF"/>
                </w:rPr>
                <w:t>Arranger and Sole Left Lead Book Runner.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jc w:val="right"/>
              <w:ind w:right="459"/>
              <w:spacing w:after="0"/>
              <w:rPr>
                <w:sz w:val="20"/>
                <w:szCs w:val="20"/>
                <w:color w:val="auto"/>
              </w:rPr>
            </w:pPr>
            <w:r>
              <w:rPr>
                <w:rFonts w:ascii="Arial" w:cs="Arial" w:eastAsia="Arial" w:hAnsi="Arial"/>
                <w:sz w:val="16"/>
                <w:szCs w:val="16"/>
                <w:color w:val="auto"/>
                <w:w w:val="86"/>
              </w:rPr>
              <w:t>10.11.2</w:t>
            </w:r>
          </w:p>
        </w:tc>
        <w:tc>
          <w:tcPr>
            <w:tcW w:w="5600" w:type="dxa"/>
            <w:vAlign w:val="bottom"/>
            <w:tcBorders>
              <w:bottom w:val="single" w:sz="8" w:color="0000FF"/>
            </w:tcBorders>
            <w:gridSpan w:val="17"/>
          </w:tcPr>
          <w:p>
            <w:pPr>
              <w:spacing w:after="0"/>
              <w:rPr>
                <w:rFonts w:ascii="Arial" w:cs="Arial" w:eastAsia="Arial" w:hAnsi="Arial"/>
                <w:sz w:val="16"/>
                <w:szCs w:val="16"/>
                <w:color w:val="0000FF"/>
                <w:w w:val="91"/>
              </w:rPr>
            </w:pPr>
            <w:hyperlink r:id="rId78">
              <w:r>
                <w:rPr>
                  <w:rFonts w:ascii="Arial" w:cs="Arial" w:eastAsia="Arial" w:hAnsi="Arial"/>
                  <w:sz w:val="16"/>
                  <w:szCs w:val="16"/>
                  <w:color w:val="0000FF"/>
                  <w:w w:val="91"/>
                </w:rPr>
                <w:t>First Amendment to Amended &amp; Restated Credit Agreement, dated June 26, 2015, by</w:t>
              </w:r>
            </w:hyperlink>
          </w:p>
        </w:tc>
        <w:tc>
          <w:tcPr>
            <w:tcW w:w="16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tcBorders>
              <w:bottom w:val="single" w:sz="8" w:color="0000FF"/>
            </w:tcBorders>
            <w:gridSpan w:val="25"/>
          </w:tcPr>
          <w:p>
            <w:pPr>
              <w:spacing w:after="0" w:line="183" w:lineRule="exact"/>
              <w:rPr>
                <w:rFonts w:ascii="Arial" w:cs="Arial" w:eastAsia="Arial" w:hAnsi="Arial"/>
                <w:sz w:val="16"/>
                <w:szCs w:val="16"/>
                <w:color w:val="0000FF"/>
                <w:w w:val="93"/>
              </w:rPr>
            </w:pPr>
            <w:hyperlink r:id="rId78">
              <w:r>
                <w:rPr>
                  <w:rFonts w:ascii="Arial" w:cs="Arial" w:eastAsia="Arial" w:hAnsi="Arial"/>
                  <w:sz w:val="16"/>
                  <w:szCs w:val="16"/>
                  <w:color w:val="0000FF"/>
                  <w:w w:val="93"/>
                </w:rPr>
                <w:t>and among NRG Yield Operating LLC, NRG Yield LLC, Royal Bank of Canada and the</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25"/>
          </w:tcPr>
          <w:p>
            <w:pPr>
              <w:spacing w:after="0" w:line="183" w:lineRule="exact"/>
              <w:rPr>
                <w:rFonts w:ascii="Arial" w:cs="Arial" w:eastAsia="Arial" w:hAnsi="Arial"/>
                <w:sz w:val="16"/>
                <w:szCs w:val="16"/>
                <w:color w:val="0000FF"/>
              </w:rPr>
            </w:pPr>
            <w:hyperlink r:id="rId78">
              <w:r>
                <w:rPr>
                  <w:rFonts w:ascii="Arial" w:cs="Arial" w:eastAsia="Arial" w:hAnsi="Arial"/>
                  <w:sz w:val="16"/>
                  <w:szCs w:val="16"/>
                  <w:color w:val="0000FF"/>
                </w:rPr>
                <w:t>Lenders party thereto.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0" w:type="dxa"/>
            <w:vAlign w:val="bottom"/>
          </w:tcPr>
          <w:p>
            <w:pPr>
              <w:jc w:val="right"/>
              <w:ind w:right="459"/>
              <w:spacing w:after="0"/>
              <w:rPr>
                <w:sz w:val="20"/>
                <w:szCs w:val="20"/>
                <w:color w:val="auto"/>
              </w:rPr>
            </w:pPr>
            <w:r>
              <w:rPr>
                <w:rFonts w:ascii="Arial" w:cs="Arial" w:eastAsia="Arial" w:hAnsi="Arial"/>
                <w:sz w:val="16"/>
                <w:szCs w:val="16"/>
                <w:color w:val="auto"/>
                <w:w w:val="86"/>
              </w:rPr>
              <w:t>10.11.3</w:t>
            </w:r>
          </w:p>
        </w:tc>
        <w:tc>
          <w:tcPr>
            <w:tcW w:w="5760" w:type="dxa"/>
            <w:vAlign w:val="bottom"/>
            <w:tcBorders>
              <w:bottom w:val="single" w:sz="8" w:color="0000FF"/>
            </w:tcBorders>
            <w:gridSpan w:val="25"/>
          </w:tcPr>
          <w:p>
            <w:pPr>
              <w:spacing w:after="0"/>
              <w:rPr>
                <w:rFonts w:ascii="Arial" w:cs="Arial" w:eastAsia="Arial" w:hAnsi="Arial"/>
                <w:sz w:val="16"/>
                <w:szCs w:val="16"/>
                <w:color w:val="0000FF"/>
                <w:w w:val="91"/>
              </w:rPr>
            </w:pPr>
            <w:hyperlink r:id="rId79">
              <w:r>
                <w:rPr>
                  <w:rFonts w:ascii="Arial" w:cs="Arial" w:eastAsia="Arial" w:hAnsi="Arial"/>
                  <w:sz w:val="16"/>
                  <w:szCs w:val="16"/>
                  <w:color w:val="0000FF"/>
                  <w:w w:val="91"/>
                </w:rPr>
                <w:t>Second Amendment to Amended &amp; Restated Credit Agreement, dated February 6, 2018,</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320" w:type="dxa"/>
            <w:vAlign w:val="bottom"/>
            <w:tcBorders>
              <w:bottom w:val="single" w:sz="8" w:color="0000FF"/>
            </w:tcBorders>
            <w:gridSpan w:val="9"/>
          </w:tcPr>
          <w:p>
            <w:pPr>
              <w:spacing w:after="0" w:line="183" w:lineRule="exact"/>
              <w:rPr>
                <w:rFonts w:ascii="Arial" w:cs="Arial" w:eastAsia="Arial" w:hAnsi="Arial"/>
                <w:sz w:val="16"/>
                <w:szCs w:val="16"/>
                <w:color w:val="0000FF"/>
                <w:w w:val="94"/>
              </w:rPr>
            </w:pPr>
            <w:hyperlink r:id="rId79">
              <w:r>
                <w:rPr>
                  <w:rFonts w:ascii="Arial" w:cs="Arial" w:eastAsia="Arial" w:hAnsi="Arial"/>
                  <w:sz w:val="16"/>
                  <w:szCs w:val="16"/>
                  <w:color w:val="0000FF"/>
                  <w:w w:val="94"/>
                </w:rPr>
                <w:t>by and among NRG Yield Operating LLC, NRG Yield LLC, the guarantors party</w:t>
              </w:r>
            </w:hyperlink>
          </w:p>
        </w:tc>
        <w:tc>
          <w:tcPr>
            <w:tcW w:w="44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40" w:type="dxa"/>
            <w:vAlign w:val="bottom"/>
            <w:tcBorders>
              <w:bottom w:val="single" w:sz="8" w:color="0000FF"/>
            </w:tcBorders>
            <w:gridSpan w:val="19"/>
          </w:tcPr>
          <w:p>
            <w:pPr>
              <w:spacing w:after="0" w:line="183" w:lineRule="exact"/>
              <w:rPr>
                <w:rFonts w:ascii="Arial" w:cs="Arial" w:eastAsia="Arial" w:hAnsi="Arial"/>
                <w:sz w:val="16"/>
                <w:szCs w:val="16"/>
                <w:color w:val="0000FF"/>
                <w:w w:val="91"/>
              </w:rPr>
            </w:pPr>
            <w:hyperlink r:id="rId79">
              <w:r>
                <w:rPr>
                  <w:rFonts w:ascii="Arial" w:cs="Arial" w:eastAsia="Arial" w:hAnsi="Arial"/>
                  <w:sz w:val="16"/>
                  <w:szCs w:val="16"/>
                  <w:color w:val="0000FF"/>
                  <w:w w:val="91"/>
                </w:rPr>
                <w:t>thereto, Royal Bank of Canada, as Administrative Agent, and the lenders party thereto.</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20" w:type="dxa"/>
            <w:vAlign w:val="bottom"/>
          </w:tcPr>
          <w:p>
            <w:pPr>
              <w:jc w:val="right"/>
              <w:ind w:right="459"/>
              <w:spacing w:after="0"/>
              <w:rPr>
                <w:sz w:val="20"/>
                <w:szCs w:val="20"/>
                <w:color w:val="auto"/>
              </w:rPr>
            </w:pPr>
            <w:r>
              <w:rPr>
                <w:rFonts w:ascii="Arial" w:cs="Arial" w:eastAsia="Arial" w:hAnsi="Arial"/>
                <w:sz w:val="16"/>
                <w:szCs w:val="16"/>
                <w:color w:val="auto"/>
                <w:w w:val="86"/>
              </w:rPr>
              <w:t>10.11.4</w:t>
            </w:r>
          </w:p>
        </w:tc>
        <w:tc>
          <w:tcPr>
            <w:tcW w:w="5760" w:type="dxa"/>
            <w:vAlign w:val="bottom"/>
            <w:gridSpan w:val="25"/>
          </w:tcPr>
          <w:p>
            <w:pPr>
              <w:spacing w:after="0"/>
              <w:rPr>
                <w:rFonts w:ascii="Arial" w:cs="Arial" w:eastAsia="Arial" w:hAnsi="Arial"/>
                <w:sz w:val="16"/>
                <w:szCs w:val="16"/>
                <w:color w:val="0000FF"/>
                <w:w w:val="98"/>
              </w:rPr>
            </w:pPr>
            <w:hyperlink r:id="rId80">
              <w:r>
                <w:rPr>
                  <w:rFonts w:ascii="Arial" w:cs="Arial" w:eastAsia="Arial" w:hAnsi="Arial"/>
                  <w:sz w:val="16"/>
                  <w:szCs w:val="16"/>
                  <w:color w:val="0000FF"/>
                  <w:w w:val="98"/>
                </w:rPr>
                <w:t>Third Amendment to Amended and Restated Credit Agreement and Administrative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440" w:type="dxa"/>
            <w:vAlign w:val="bottom"/>
            <w:tcBorders>
              <w:bottom w:val="single" w:sz="8" w:color="0000FF"/>
            </w:tcBorders>
            <w:gridSpan w:val="12"/>
          </w:tcPr>
          <w:p>
            <w:pPr>
              <w:spacing w:after="0" w:line="183" w:lineRule="exact"/>
              <w:rPr>
                <w:rFonts w:ascii="Arial" w:cs="Arial" w:eastAsia="Arial" w:hAnsi="Arial"/>
                <w:sz w:val="16"/>
                <w:szCs w:val="16"/>
                <w:color w:val="0000FF"/>
                <w:w w:val="92"/>
              </w:rPr>
            </w:pPr>
            <w:hyperlink r:id="rId80">
              <w:r>
                <w:rPr>
                  <w:rFonts w:ascii="Arial" w:cs="Arial" w:eastAsia="Arial" w:hAnsi="Arial"/>
                  <w:sz w:val="16"/>
                  <w:szCs w:val="16"/>
                  <w:color w:val="0000FF"/>
                  <w:w w:val="92"/>
                </w:rPr>
                <w:t>Agent Resignation and Appointment Agreement, dated as of April 30, 2018, by and</w:t>
              </w:r>
            </w:hyperlink>
          </w:p>
        </w:tc>
        <w:tc>
          <w:tcPr>
            <w:tcW w:w="3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25"/>
          </w:tcPr>
          <w:p>
            <w:pPr>
              <w:spacing w:after="0" w:line="183" w:lineRule="exact"/>
              <w:rPr>
                <w:rFonts w:ascii="Arial" w:cs="Arial" w:eastAsia="Arial" w:hAnsi="Arial"/>
                <w:sz w:val="16"/>
                <w:szCs w:val="16"/>
                <w:color w:val="0000FF"/>
                <w:w w:val="93"/>
              </w:rPr>
            </w:pPr>
            <w:hyperlink r:id="rId80">
              <w:r>
                <w:rPr>
                  <w:rFonts w:ascii="Arial" w:cs="Arial" w:eastAsia="Arial" w:hAnsi="Arial"/>
                  <w:sz w:val="16"/>
                  <w:szCs w:val="16"/>
                  <w:color w:val="0000FF"/>
                  <w:w w:val="93"/>
                </w:rPr>
                <w:t>among NRG Yield Operating LLC, NRG Yield LLC, the guarantors party thereto, Royal</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00" w:type="dxa"/>
            <w:vAlign w:val="bottom"/>
            <w:tcBorders>
              <w:top w:val="single" w:sz="8" w:color="0000FF"/>
              <w:bottom w:val="single" w:sz="8" w:color="0000FF"/>
            </w:tcBorders>
            <w:gridSpan w:val="17"/>
          </w:tcPr>
          <w:p>
            <w:pPr>
              <w:spacing w:after="0" w:line="183" w:lineRule="exact"/>
              <w:rPr>
                <w:rFonts w:ascii="Arial" w:cs="Arial" w:eastAsia="Arial" w:hAnsi="Arial"/>
                <w:sz w:val="16"/>
                <w:szCs w:val="16"/>
                <w:color w:val="0000FF"/>
                <w:w w:val="91"/>
              </w:rPr>
            </w:pPr>
            <w:hyperlink r:id="rId80">
              <w:r>
                <w:rPr>
                  <w:rFonts w:ascii="Arial" w:cs="Arial" w:eastAsia="Arial" w:hAnsi="Arial"/>
                  <w:sz w:val="16"/>
                  <w:szCs w:val="16"/>
                  <w:color w:val="0000FF"/>
                  <w:w w:val="91"/>
                </w:rPr>
                <w:t>Bank of Canada, as Resigning Administrative Agent, JPMorgan Chase Bank, N.A., as</w:t>
              </w:r>
            </w:hyperlink>
          </w:p>
        </w:tc>
        <w:tc>
          <w:tcPr>
            <w:tcW w:w="14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25"/>
          </w:tcPr>
          <w:p>
            <w:pPr>
              <w:spacing w:after="0" w:line="183" w:lineRule="exact"/>
              <w:rPr>
                <w:rFonts w:ascii="Arial" w:cs="Arial" w:eastAsia="Arial" w:hAnsi="Arial"/>
                <w:sz w:val="16"/>
                <w:szCs w:val="16"/>
                <w:color w:val="0000FF"/>
              </w:rPr>
            </w:pPr>
            <w:hyperlink r:id="rId80">
              <w:r>
                <w:rPr>
                  <w:rFonts w:ascii="Arial" w:cs="Arial" w:eastAsia="Arial" w:hAnsi="Arial"/>
                  <w:sz w:val="16"/>
                  <w:szCs w:val="16"/>
                  <w:color w:val="0000FF"/>
                </w:rPr>
                <w:t>Successor Administrative Agent, and the lenders party thereto.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jc w:val="right"/>
              <w:ind w:right="459"/>
              <w:spacing w:after="0"/>
              <w:rPr>
                <w:sz w:val="20"/>
                <w:szCs w:val="20"/>
                <w:color w:val="auto"/>
              </w:rPr>
            </w:pPr>
            <w:r>
              <w:rPr>
                <w:rFonts w:ascii="Arial" w:cs="Arial" w:eastAsia="Arial" w:hAnsi="Arial"/>
                <w:sz w:val="16"/>
                <w:szCs w:val="16"/>
                <w:color w:val="auto"/>
                <w:w w:val="86"/>
              </w:rPr>
              <w:t>10.11.5</w:t>
            </w:r>
          </w:p>
        </w:tc>
        <w:tc>
          <w:tcPr>
            <w:tcW w:w="5700" w:type="dxa"/>
            <w:vAlign w:val="bottom"/>
            <w:tcBorders>
              <w:bottom w:val="single" w:sz="8" w:color="0000FF"/>
            </w:tcBorders>
            <w:gridSpan w:val="22"/>
          </w:tcPr>
          <w:p>
            <w:pPr>
              <w:spacing w:after="0"/>
              <w:rPr>
                <w:rFonts w:ascii="Arial" w:cs="Arial" w:eastAsia="Arial" w:hAnsi="Arial"/>
                <w:sz w:val="16"/>
                <w:szCs w:val="16"/>
                <w:color w:val="0000FF"/>
                <w:w w:val="91"/>
              </w:rPr>
            </w:pPr>
            <w:hyperlink r:id="rId81">
              <w:r>
                <w:rPr>
                  <w:rFonts w:ascii="Arial" w:cs="Arial" w:eastAsia="Arial" w:hAnsi="Arial"/>
                  <w:sz w:val="16"/>
                  <w:szCs w:val="16"/>
                  <w:color w:val="0000FF"/>
                  <w:w w:val="91"/>
                </w:rPr>
                <w:t>Fourth Amendment to Amended and Restated Credit Agreement, dated as of November</w:t>
              </w:r>
            </w:hyperlink>
          </w:p>
        </w:tc>
        <w:tc>
          <w:tcPr>
            <w:tcW w:w="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25"/>
          </w:tcPr>
          <w:p>
            <w:pPr>
              <w:spacing w:after="0" w:line="183" w:lineRule="exact"/>
              <w:rPr>
                <w:rFonts w:ascii="Arial" w:cs="Arial" w:eastAsia="Arial" w:hAnsi="Arial"/>
                <w:sz w:val="16"/>
                <w:szCs w:val="16"/>
                <w:color w:val="0000FF"/>
                <w:w w:val="95"/>
              </w:rPr>
            </w:pPr>
            <w:hyperlink r:id="rId81">
              <w:r>
                <w:rPr>
                  <w:rFonts w:ascii="Arial" w:cs="Arial" w:eastAsia="Arial" w:hAnsi="Arial"/>
                  <w:sz w:val="16"/>
                  <w:szCs w:val="16"/>
                  <w:color w:val="0000FF"/>
                  <w:w w:val="95"/>
                </w:rPr>
                <w:t>30, 2018, by and among Clearway Energy Operating LLC, Clearway Energy LLC,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640" w:type="dxa"/>
            <w:vAlign w:val="bottom"/>
            <w:tcBorders>
              <w:bottom w:val="single" w:sz="8" w:color="0000FF"/>
            </w:tcBorders>
            <w:gridSpan w:val="19"/>
          </w:tcPr>
          <w:p>
            <w:pPr>
              <w:spacing w:after="0" w:line="183" w:lineRule="exact"/>
              <w:rPr>
                <w:rFonts w:ascii="Arial" w:cs="Arial" w:eastAsia="Arial" w:hAnsi="Arial"/>
                <w:sz w:val="16"/>
                <w:szCs w:val="16"/>
                <w:color w:val="0000FF"/>
                <w:w w:val="90"/>
              </w:rPr>
            </w:pPr>
            <w:hyperlink r:id="rId81">
              <w:r>
                <w:rPr>
                  <w:rFonts w:ascii="Arial" w:cs="Arial" w:eastAsia="Arial" w:hAnsi="Arial"/>
                  <w:sz w:val="16"/>
                  <w:szCs w:val="16"/>
                  <w:color w:val="0000FF"/>
                  <w:w w:val="90"/>
                </w:rPr>
                <w:t>guarantors party thereto, JPMorgan Chase Bank, N.A., as administrative agent, and the</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20" w:type="dxa"/>
            <w:vAlign w:val="bottom"/>
            <w:tcBorders>
              <w:bottom w:val="single" w:sz="8" w:color="0000FF"/>
            </w:tcBorders>
            <w:gridSpan w:val="2"/>
          </w:tcPr>
          <w:p>
            <w:pPr>
              <w:spacing w:after="0" w:line="183" w:lineRule="exact"/>
              <w:rPr>
                <w:rFonts w:ascii="Arial" w:cs="Arial" w:eastAsia="Arial" w:hAnsi="Arial"/>
                <w:sz w:val="16"/>
                <w:szCs w:val="16"/>
                <w:color w:val="0000FF"/>
                <w:w w:val="91"/>
              </w:rPr>
            </w:pPr>
            <w:hyperlink r:id="rId81">
              <w:r>
                <w:rPr>
                  <w:rFonts w:ascii="Arial" w:cs="Arial" w:eastAsia="Arial" w:hAnsi="Arial"/>
                  <w:sz w:val="16"/>
                  <w:szCs w:val="16"/>
                  <w:color w:val="0000FF"/>
                  <w:w w:val="91"/>
                </w:rPr>
                <w:t>lenders party thereto.</w:t>
              </w:r>
            </w:hyperlink>
          </w:p>
        </w:tc>
        <w:tc>
          <w:tcPr>
            <w:tcW w:w="434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20" w:type="dxa"/>
            <w:vAlign w:val="bottom"/>
          </w:tcPr>
          <w:p>
            <w:pPr>
              <w:jc w:val="right"/>
              <w:ind w:right="459"/>
              <w:spacing w:after="0"/>
              <w:rPr>
                <w:sz w:val="20"/>
                <w:szCs w:val="20"/>
                <w:color w:val="auto"/>
              </w:rPr>
            </w:pPr>
            <w:r>
              <w:rPr>
                <w:rFonts w:ascii="Arial" w:cs="Arial" w:eastAsia="Arial" w:hAnsi="Arial"/>
                <w:sz w:val="16"/>
                <w:szCs w:val="16"/>
                <w:color w:val="auto"/>
                <w:w w:val="86"/>
              </w:rPr>
              <w:t>10.11.6</w:t>
            </w:r>
          </w:p>
        </w:tc>
        <w:tc>
          <w:tcPr>
            <w:tcW w:w="5760" w:type="dxa"/>
            <w:vAlign w:val="bottom"/>
            <w:gridSpan w:val="25"/>
          </w:tcPr>
          <w:p>
            <w:pPr>
              <w:spacing w:after="0"/>
              <w:rPr>
                <w:rFonts w:ascii="Arial" w:cs="Arial" w:eastAsia="Arial" w:hAnsi="Arial"/>
                <w:sz w:val="16"/>
                <w:szCs w:val="16"/>
                <w:color w:val="0000FF"/>
                <w:w w:val="94"/>
              </w:rPr>
            </w:pPr>
            <w:hyperlink r:id="rId82">
              <w:r>
                <w:rPr>
                  <w:rFonts w:ascii="Arial" w:cs="Arial" w:eastAsia="Arial" w:hAnsi="Arial"/>
                  <w:sz w:val="16"/>
                  <w:szCs w:val="16"/>
                  <w:color w:val="0000FF"/>
                  <w:w w:val="94"/>
                </w:rPr>
                <w:t>Fifth Amendment to Amended and Restated Credit Agreement, dated as of December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25"/>
          </w:tcPr>
          <w:p>
            <w:pPr>
              <w:spacing w:after="0" w:line="183" w:lineRule="exact"/>
              <w:rPr>
                <w:rFonts w:ascii="Arial" w:cs="Arial" w:eastAsia="Arial" w:hAnsi="Arial"/>
                <w:sz w:val="16"/>
                <w:szCs w:val="16"/>
                <w:color w:val="0000FF"/>
                <w:w w:val="95"/>
              </w:rPr>
            </w:pPr>
            <w:hyperlink r:id="rId82">
              <w:r>
                <w:rPr>
                  <w:rFonts w:ascii="Arial" w:cs="Arial" w:eastAsia="Arial" w:hAnsi="Arial"/>
                  <w:sz w:val="16"/>
                  <w:szCs w:val="16"/>
                  <w:color w:val="0000FF"/>
                  <w:w w:val="95"/>
                </w:rPr>
                <w:t>20, 2019, by and among Clearway Energy Operating LLC, Clearway Energy LLC,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640" w:type="dxa"/>
            <w:vAlign w:val="bottom"/>
            <w:tcBorders>
              <w:bottom w:val="single" w:sz="8" w:color="0000FF"/>
            </w:tcBorders>
            <w:gridSpan w:val="19"/>
          </w:tcPr>
          <w:p>
            <w:pPr>
              <w:spacing w:after="0" w:line="183" w:lineRule="exact"/>
              <w:rPr>
                <w:rFonts w:ascii="Arial" w:cs="Arial" w:eastAsia="Arial" w:hAnsi="Arial"/>
                <w:sz w:val="16"/>
                <w:szCs w:val="16"/>
                <w:color w:val="0000FF"/>
                <w:w w:val="90"/>
              </w:rPr>
            </w:pPr>
            <w:hyperlink r:id="rId82">
              <w:r>
                <w:rPr>
                  <w:rFonts w:ascii="Arial" w:cs="Arial" w:eastAsia="Arial" w:hAnsi="Arial"/>
                  <w:sz w:val="16"/>
                  <w:szCs w:val="16"/>
                  <w:color w:val="0000FF"/>
                  <w:w w:val="90"/>
                </w:rPr>
                <w:t>guarantors party thereto, JPMorgan Chase Bank, N.A., as administrative agent, and the</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20" w:type="dxa"/>
            <w:vAlign w:val="bottom"/>
            <w:tcBorders>
              <w:bottom w:val="single" w:sz="8" w:color="0000FF"/>
            </w:tcBorders>
            <w:gridSpan w:val="2"/>
          </w:tcPr>
          <w:p>
            <w:pPr>
              <w:spacing w:after="0" w:line="183" w:lineRule="exact"/>
              <w:rPr>
                <w:rFonts w:ascii="Arial" w:cs="Arial" w:eastAsia="Arial" w:hAnsi="Arial"/>
                <w:sz w:val="16"/>
                <w:szCs w:val="16"/>
                <w:color w:val="0000FF"/>
                <w:w w:val="91"/>
              </w:rPr>
            </w:pPr>
            <w:hyperlink r:id="rId82">
              <w:r>
                <w:rPr>
                  <w:rFonts w:ascii="Arial" w:cs="Arial" w:eastAsia="Arial" w:hAnsi="Arial"/>
                  <w:sz w:val="16"/>
                  <w:szCs w:val="16"/>
                  <w:color w:val="0000FF"/>
                  <w:w w:val="91"/>
                </w:rPr>
                <w:t>lenders party thereto.</w:t>
              </w:r>
            </w:hyperlink>
          </w:p>
        </w:tc>
        <w:tc>
          <w:tcPr>
            <w:tcW w:w="434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jc w:val="right"/>
              <w:ind w:right="459"/>
              <w:spacing w:after="0"/>
              <w:rPr>
                <w:sz w:val="20"/>
                <w:szCs w:val="20"/>
                <w:color w:val="auto"/>
              </w:rPr>
            </w:pPr>
            <w:r>
              <w:rPr>
                <w:rFonts w:ascii="Arial" w:cs="Arial" w:eastAsia="Arial" w:hAnsi="Arial"/>
                <w:sz w:val="16"/>
                <w:szCs w:val="16"/>
                <w:color w:val="auto"/>
                <w:w w:val="86"/>
              </w:rPr>
              <w:t>10.12.1</w:t>
            </w:r>
          </w:p>
        </w:tc>
        <w:tc>
          <w:tcPr>
            <w:tcW w:w="5680" w:type="dxa"/>
            <w:vAlign w:val="bottom"/>
            <w:tcBorders>
              <w:bottom w:val="single" w:sz="8" w:color="0000FF"/>
            </w:tcBorders>
            <w:gridSpan w:val="21"/>
          </w:tcPr>
          <w:p>
            <w:pPr>
              <w:spacing w:after="0"/>
              <w:rPr>
                <w:rFonts w:ascii="Arial" w:cs="Arial" w:eastAsia="Arial" w:hAnsi="Arial"/>
                <w:sz w:val="16"/>
                <w:szCs w:val="16"/>
                <w:color w:val="0000FF"/>
                <w:w w:val="92"/>
              </w:rPr>
            </w:pPr>
            <w:hyperlink r:id="rId83">
              <w:r>
                <w:rPr>
                  <w:rFonts w:ascii="Arial" w:cs="Arial" w:eastAsia="Arial" w:hAnsi="Arial"/>
                  <w:sz w:val="16"/>
                  <w:szCs w:val="16"/>
                  <w:color w:val="0000FF"/>
                  <w:w w:val="92"/>
                </w:rPr>
                <w:t>Credit Agreement, dated as of August 23, 2011, among NRG West Holdings LLC, ING</w:t>
              </w:r>
            </w:hyperlink>
          </w:p>
        </w:tc>
        <w:tc>
          <w:tcPr>
            <w:tcW w:w="8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480" w:type="dxa"/>
            <w:vAlign w:val="bottom"/>
            <w:tcBorders>
              <w:bottom w:val="single" w:sz="8" w:color="0000FF"/>
            </w:tcBorders>
            <w:gridSpan w:val="13"/>
          </w:tcPr>
          <w:p>
            <w:pPr>
              <w:spacing w:after="0" w:line="183" w:lineRule="exact"/>
              <w:rPr>
                <w:rFonts w:ascii="Arial" w:cs="Arial" w:eastAsia="Arial" w:hAnsi="Arial"/>
                <w:sz w:val="16"/>
                <w:szCs w:val="16"/>
                <w:color w:val="0000FF"/>
                <w:w w:val="94"/>
              </w:rPr>
            </w:pPr>
            <w:hyperlink r:id="rId83">
              <w:r>
                <w:rPr>
                  <w:rFonts w:ascii="Arial" w:cs="Arial" w:eastAsia="Arial" w:hAnsi="Arial"/>
                  <w:sz w:val="16"/>
                  <w:szCs w:val="16"/>
                  <w:color w:val="0000FF"/>
                  <w:w w:val="94"/>
                </w:rPr>
                <w:t>Capital LLC, Union Bank, N.A., Mizuho Corporate Bank, Ltd., RBS Securities Inc.,</w:t>
              </w:r>
            </w:hyperlink>
          </w:p>
        </w:tc>
        <w:tc>
          <w:tcPr>
            <w:tcW w:w="28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60" w:type="dxa"/>
            <w:vAlign w:val="bottom"/>
            <w:tcBorders>
              <w:bottom w:val="single" w:sz="8" w:color="0000FF"/>
            </w:tcBorders>
            <w:gridSpan w:val="20"/>
          </w:tcPr>
          <w:p>
            <w:pPr>
              <w:spacing w:after="0" w:line="183" w:lineRule="exact"/>
              <w:rPr>
                <w:rFonts w:ascii="Arial" w:cs="Arial" w:eastAsia="Arial" w:hAnsi="Arial"/>
                <w:sz w:val="16"/>
                <w:szCs w:val="16"/>
                <w:color w:val="0000FF"/>
                <w:w w:val="91"/>
              </w:rPr>
            </w:pPr>
            <w:hyperlink r:id="rId83">
              <w:r>
                <w:rPr>
                  <w:rFonts w:ascii="Arial" w:cs="Arial" w:eastAsia="Arial" w:hAnsi="Arial"/>
                  <w:sz w:val="16"/>
                  <w:szCs w:val="16"/>
                  <w:color w:val="0000FF"/>
                  <w:w w:val="91"/>
                </w:rPr>
                <w:t>Credit Agricole Corporate and Investment Bank, and each of lenders and issuing banks</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83">
              <w:r>
                <w:rPr>
                  <w:rFonts w:ascii="Arial" w:cs="Arial" w:eastAsia="Arial" w:hAnsi="Arial"/>
                  <w:sz w:val="16"/>
                  <w:szCs w:val="16"/>
                  <w:color w:val="0000FF"/>
                  <w:w w:val="92"/>
                </w:rPr>
                <w:t>thereto.*</w:t>
              </w:r>
            </w:hyperlink>
          </w:p>
        </w:tc>
        <w:tc>
          <w:tcPr>
            <w:tcW w:w="518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20" w:type="dxa"/>
            <w:vAlign w:val="bottom"/>
          </w:tcPr>
          <w:p>
            <w:pPr>
              <w:jc w:val="right"/>
              <w:ind w:right="459"/>
              <w:spacing w:after="0"/>
              <w:rPr>
                <w:sz w:val="20"/>
                <w:szCs w:val="20"/>
                <w:color w:val="auto"/>
              </w:rPr>
            </w:pPr>
            <w:r>
              <w:rPr>
                <w:rFonts w:ascii="Arial" w:cs="Arial" w:eastAsia="Arial" w:hAnsi="Arial"/>
                <w:sz w:val="16"/>
                <w:szCs w:val="16"/>
                <w:color w:val="auto"/>
                <w:w w:val="86"/>
              </w:rPr>
              <w:t>10.12.2</w:t>
            </w:r>
          </w:p>
        </w:tc>
        <w:tc>
          <w:tcPr>
            <w:tcW w:w="5440" w:type="dxa"/>
            <w:vAlign w:val="bottom"/>
            <w:tcBorders>
              <w:bottom w:val="single" w:sz="8" w:color="0000FF"/>
            </w:tcBorders>
            <w:gridSpan w:val="12"/>
          </w:tcPr>
          <w:p>
            <w:pPr>
              <w:spacing w:after="0"/>
              <w:rPr>
                <w:rFonts w:ascii="Arial" w:cs="Arial" w:eastAsia="Arial" w:hAnsi="Arial"/>
                <w:sz w:val="16"/>
                <w:szCs w:val="16"/>
                <w:color w:val="0000FF"/>
                <w:w w:val="91"/>
              </w:rPr>
            </w:pPr>
            <w:hyperlink r:id="rId84">
              <w:r>
                <w:rPr>
                  <w:rFonts w:ascii="Arial" w:cs="Arial" w:eastAsia="Arial" w:hAnsi="Arial"/>
                  <w:sz w:val="16"/>
                  <w:szCs w:val="16"/>
                  <w:color w:val="0000FF"/>
                  <w:w w:val="91"/>
                </w:rPr>
                <w:t>Amendment No. 1 to the Credit Agreement, dated October 7, 2011, by and between</w:t>
              </w:r>
            </w:hyperlink>
          </w:p>
        </w:tc>
        <w:tc>
          <w:tcPr>
            <w:tcW w:w="32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160" w:type="dxa"/>
            <w:vAlign w:val="bottom"/>
            <w:tcBorders>
              <w:bottom w:val="single" w:sz="8" w:color="0000FF"/>
            </w:tcBorders>
            <w:gridSpan w:val="7"/>
          </w:tcPr>
          <w:p>
            <w:pPr>
              <w:spacing w:after="0" w:line="183" w:lineRule="exact"/>
              <w:rPr>
                <w:rFonts w:ascii="Arial" w:cs="Arial" w:eastAsia="Arial" w:hAnsi="Arial"/>
                <w:sz w:val="16"/>
                <w:szCs w:val="16"/>
                <w:color w:val="0000FF"/>
                <w:w w:val="93"/>
              </w:rPr>
            </w:pPr>
            <w:hyperlink r:id="rId84">
              <w:r>
                <w:rPr>
                  <w:rFonts w:ascii="Arial" w:cs="Arial" w:eastAsia="Arial" w:hAnsi="Arial"/>
                  <w:sz w:val="16"/>
                  <w:szCs w:val="16"/>
                  <w:color w:val="0000FF"/>
                  <w:w w:val="93"/>
                </w:rPr>
                <w:t>NRG West Holdings LLC and Credit Agricole Corporate and Investment Bank.</w:t>
              </w:r>
            </w:hyperlink>
          </w:p>
        </w:tc>
        <w:tc>
          <w:tcPr>
            <w:tcW w:w="60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020" w:type="dxa"/>
            <w:vAlign w:val="bottom"/>
          </w:tcPr>
          <w:p>
            <w:pPr>
              <w:jc w:val="right"/>
              <w:ind w:right="459"/>
              <w:spacing w:after="0"/>
              <w:rPr>
                <w:sz w:val="20"/>
                <w:szCs w:val="20"/>
                <w:color w:val="auto"/>
              </w:rPr>
            </w:pPr>
            <w:r>
              <w:rPr>
                <w:rFonts w:ascii="Arial" w:cs="Arial" w:eastAsia="Arial" w:hAnsi="Arial"/>
                <w:sz w:val="16"/>
                <w:szCs w:val="16"/>
                <w:color w:val="auto"/>
                <w:w w:val="86"/>
              </w:rPr>
              <w:t>10.12.3</w:t>
            </w:r>
          </w:p>
        </w:tc>
        <w:tc>
          <w:tcPr>
            <w:tcW w:w="5600" w:type="dxa"/>
            <w:vAlign w:val="bottom"/>
            <w:tcBorders>
              <w:bottom w:val="single" w:sz="8" w:color="0000FF"/>
            </w:tcBorders>
            <w:gridSpan w:val="17"/>
          </w:tcPr>
          <w:p>
            <w:pPr>
              <w:spacing w:after="0"/>
              <w:rPr>
                <w:rFonts w:ascii="Arial" w:cs="Arial" w:eastAsia="Arial" w:hAnsi="Arial"/>
                <w:sz w:val="16"/>
                <w:szCs w:val="16"/>
                <w:color w:val="0000FF"/>
                <w:w w:val="91"/>
              </w:rPr>
            </w:pPr>
            <w:hyperlink r:id="rId85">
              <w:r>
                <w:rPr>
                  <w:rFonts w:ascii="Arial" w:cs="Arial" w:eastAsia="Arial" w:hAnsi="Arial"/>
                  <w:sz w:val="16"/>
                  <w:szCs w:val="16"/>
                  <w:color w:val="0000FF"/>
                  <w:w w:val="91"/>
                </w:rPr>
                <w:t>Amendment No. 2 to the Credit Agreement, dated February 29, 2012, by and between</w:t>
              </w:r>
            </w:hyperlink>
          </w:p>
        </w:tc>
        <w:tc>
          <w:tcPr>
            <w:tcW w:w="1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160" w:type="dxa"/>
            <w:vAlign w:val="bottom"/>
            <w:tcBorders>
              <w:bottom w:val="single" w:sz="8" w:color="0000FF"/>
            </w:tcBorders>
            <w:gridSpan w:val="7"/>
          </w:tcPr>
          <w:p>
            <w:pPr>
              <w:spacing w:after="0" w:line="183" w:lineRule="exact"/>
              <w:rPr>
                <w:rFonts w:ascii="Arial" w:cs="Arial" w:eastAsia="Arial" w:hAnsi="Arial"/>
                <w:sz w:val="16"/>
                <w:szCs w:val="16"/>
                <w:color w:val="0000FF"/>
                <w:w w:val="93"/>
              </w:rPr>
            </w:pPr>
            <w:hyperlink r:id="rId85">
              <w:r>
                <w:rPr>
                  <w:rFonts w:ascii="Arial" w:cs="Arial" w:eastAsia="Arial" w:hAnsi="Arial"/>
                  <w:sz w:val="16"/>
                  <w:szCs w:val="16"/>
                  <w:color w:val="0000FF"/>
                  <w:w w:val="93"/>
                </w:rPr>
                <w:t>NRG West Holdings LLC and Credit Agricole Corporate and Investment Bank.</w:t>
              </w:r>
            </w:hyperlink>
          </w:p>
        </w:tc>
        <w:tc>
          <w:tcPr>
            <w:tcW w:w="60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473"/>
        </w:trPr>
        <w:tc>
          <w:tcPr>
            <w:tcW w:w="1020" w:type="dxa"/>
            <w:vAlign w:val="bottom"/>
          </w:tcPr>
          <w:p>
            <w:pPr>
              <w:jc w:val="right"/>
              <w:ind w:right="459"/>
              <w:spacing w:after="0"/>
              <w:rPr>
                <w:sz w:val="20"/>
                <w:szCs w:val="20"/>
                <w:color w:val="auto"/>
              </w:rPr>
            </w:pPr>
            <w:r>
              <w:rPr>
                <w:rFonts w:ascii="Arial" w:cs="Arial" w:eastAsia="Arial" w:hAnsi="Arial"/>
                <w:sz w:val="16"/>
                <w:szCs w:val="16"/>
                <w:color w:val="auto"/>
                <w:w w:val="86"/>
              </w:rPr>
              <w:t>10.12.4</w:t>
            </w:r>
          </w:p>
        </w:tc>
        <w:tc>
          <w:tcPr>
            <w:tcW w:w="5760" w:type="dxa"/>
            <w:vAlign w:val="bottom"/>
            <w:gridSpan w:val="25"/>
            <w:vMerge w:val="restart"/>
          </w:tcPr>
          <w:p>
            <w:pPr>
              <w:spacing w:after="0"/>
              <w:rPr>
                <w:rFonts w:ascii="Arial" w:cs="Arial" w:eastAsia="Arial" w:hAnsi="Arial"/>
                <w:sz w:val="16"/>
                <w:szCs w:val="16"/>
                <w:color w:val="0000FF"/>
                <w:w w:val="99"/>
              </w:rPr>
            </w:pPr>
            <w:hyperlink r:id="rId86">
              <w:r>
                <w:rPr>
                  <w:rFonts w:ascii="Arial" w:cs="Arial" w:eastAsia="Arial" w:hAnsi="Arial"/>
                  <w:sz w:val="16"/>
                  <w:szCs w:val="16"/>
                  <w:color w:val="0000FF"/>
                  <w:w w:val="99"/>
                </w:rPr>
                <w:t>Amendment No. 3 to the Credit Agreement, dated as of January 27, 2014, by and</w:t>
              </w:r>
            </w:hyperlink>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5760" w:type="dxa"/>
            <w:vAlign w:val="bottom"/>
            <w:gridSpan w:val="2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740" w:type="dxa"/>
            <w:vAlign w:val="bottom"/>
            <w:tcBorders>
              <w:bottom w:val="single" w:sz="8" w:color="0000FF"/>
            </w:tcBorders>
            <w:gridSpan w:val="24"/>
          </w:tcPr>
          <w:p>
            <w:pPr>
              <w:spacing w:after="0" w:line="183" w:lineRule="exact"/>
              <w:rPr>
                <w:rFonts w:ascii="Arial" w:cs="Arial" w:eastAsia="Arial" w:hAnsi="Arial"/>
                <w:sz w:val="16"/>
                <w:szCs w:val="16"/>
                <w:color w:val="0000FF"/>
                <w:w w:val="92"/>
              </w:rPr>
            </w:pPr>
            <w:hyperlink r:id="rId86">
              <w:r>
                <w:rPr>
                  <w:rFonts w:ascii="Arial" w:cs="Arial" w:eastAsia="Arial" w:hAnsi="Arial"/>
                  <w:sz w:val="16"/>
                  <w:szCs w:val="16"/>
                  <w:color w:val="0000FF"/>
                  <w:w w:val="92"/>
                </w:rPr>
                <w:t>between NRG West Holdings LLC and Credit Agricole Corporate and Investment Bank.</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1020" w:type="dxa"/>
            <w:vAlign w:val="bottom"/>
          </w:tcPr>
          <w:p>
            <w:pPr>
              <w:jc w:val="right"/>
              <w:ind w:right="459"/>
              <w:spacing w:after="0"/>
              <w:rPr>
                <w:sz w:val="20"/>
                <w:szCs w:val="20"/>
                <w:color w:val="auto"/>
              </w:rPr>
            </w:pPr>
            <w:r>
              <w:rPr>
                <w:rFonts w:ascii="Arial" w:cs="Arial" w:eastAsia="Arial" w:hAnsi="Arial"/>
                <w:sz w:val="16"/>
                <w:szCs w:val="16"/>
                <w:color w:val="auto"/>
                <w:w w:val="86"/>
              </w:rPr>
              <w:t>10.12.5</w:t>
            </w:r>
          </w:p>
        </w:tc>
        <w:tc>
          <w:tcPr>
            <w:tcW w:w="5420" w:type="dxa"/>
            <w:vAlign w:val="bottom"/>
            <w:gridSpan w:val="11"/>
            <w:vMerge w:val="restart"/>
          </w:tcPr>
          <w:p>
            <w:pPr>
              <w:spacing w:after="0"/>
              <w:rPr>
                <w:rFonts w:ascii="Arial" w:cs="Arial" w:eastAsia="Arial" w:hAnsi="Arial"/>
                <w:sz w:val="16"/>
                <w:szCs w:val="16"/>
                <w:color w:val="0000FF"/>
                <w:w w:val="92"/>
              </w:rPr>
            </w:pPr>
            <w:hyperlink r:id="rId87">
              <w:r>
                <w:rPr>
                  <w:rFonts w:ascii="Arial" w:cs="Arial" w:eastAsia="Arial" w:hAnsi="Arial"/>
                  <w:sz w:val="16"/>
                  <w:szCs w:val="16"/>
                  <w:color w:val="0000FF"/>
                  <w:w w:val="92"/>
                </w:rPr>
                <w:t>Amendment No. 4 to the Credit Agreement and Amendment No. 1 to the Collateral</w:t>
              </w:r>
            </w:hyperlink>
          </w:p>
        </w:tc>
        <w:tc>
          <w:tcPr>
            <w:tcW w:w="340" w:type="dxa"/>
            <w:vAlign w:val="bottom"/>
            <w:gridSpan w:val="1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420" w:type="dxa"/>
            <w:vAlign w:val="bottom"/>
            <w:tcBorders>
              <w:bottom w:val="single" w:sz="8" w:color="0000FF"/>
            </w:tcBorders>
            <w:gridSpan w:val="11"/>
            <w:vMerge w:val="continue"/>
          </w:tcPr>
          <w:p>
            <w:pPr>
              <w:spacing w:after="0"/>
              <w:rPr>
                <w:sz w:val="4"/>
                <w:szCs w:val="4"/>
                <w:color w:val="auto"/>
              </w:rPr>
            </w:pPr>
          </w:p>
        </w:tc>
        <w:tc>
          <w:tcPr>
            <w:tcW w:w="340" w:type="dxa"/>
            <w:vAlign w:val="bottom"/>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50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87">
              <w:r>
                <w:rPr>
                  <w:rFonts w:ascii="Arial" w:cs="Arial" w:eastAsia="Arial" w:hAnsi="Arial"/>
                  <w:sz w:val="16"/>
                  <w:szCs w:val="16"/>
                  <w:color w:val="0000FF"/>
                  <w:w w:val="92"/>
                </w:rPr>
                <w:t>Agreement, dated as of May 16, 2014, by and between NRG West Holdings LLC, El</w:t>
              </w:r>
            </w:hyperlink>
          </w:p>
        </w:tc>
        <w:tc>
          <w:tcPr>
            <w:tcW w:w="2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25"/>
          </w:tcPr>
          <w:p>
            <w:pPr>
              <w:spacing w:after="0" w:line="183" w:lineRule="exact"/>
              <w:rPr>
                <w:rFonts w:ascii="Arial" w:cs="Arial" w:eastAsia="Arial" w:hAnsi="Arial"/>
                <w:sz w:val="16"/>
                <w:szCs w:val="16"/>
                <w:color w:val="0000FF"/>
                <w:w w:val="98"/>
              </w:rPr>
            </w:pPr>
            <w:hyperlink r:id="rId87">
              <w:r>
                <w:rPr>
                  <w:rFonts w:ascii="Arial" w:cs="Arial" w:eastAsia="Arial" w:hAnsi="Arial"/>
                  <w:sz w:val="16"/>
                  <w:szCs w:val="16"/>
                  <w:color w:val="0000FF"/>
                  <w:w w:val="98"/>
                </w:rPr>
                <w:t>Segundo Energy Center LLC and Credit Agricole Corporate and Investment Bank.</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right"/>
              <w:ind w:right="459"/>
              <w:spacing w:after="0"/>
              <w:rPr>
                <w:sz w:val="20"/>
                <w:szCs w:val="20"/>
                <w:color w:val="auto"/>
              </w:rPr>
            </w:pPr>
            <w:r>
              <w:rPr>
                <w:rFonts w:ascii="Arial" w:cs="Arial" w:eastAsia="Arial" w:hAnsi="Arial"/>
                <w:sz w:val="16"/>
                <w:szCs w:val="16"/>
                <w:color w:val="auto"/>
                <w:w w:val="86"/>
              </w:rPr>
              <w:t>10.12.6</w:t>
            </w:r>
          </w:p>
        </w:tc>
        <w:tc>
          <w:tcPr>
            <w:tcW w:w="5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20" w:type="dxa"/>
            <w:vAlign w:val="bottom"/>
            <w:vMerge w:val="continue"/>
          </w:tcPr>
          <w:p>
            <w:pPr>
              <w:spacing w:after="0"/>
              <w:rPr>
                <w:sz w:val="24"/>
                <w:szCs w:val="24"/>
                <w:color w:val="auto"/>
              </w:rPr>
            </w:pPr>
          </w:p>
        </w:tc>
        <w:tc>
          <w:tcPr>
            <w:tcW w:w="5640" w:type="dxa"/>
            <w:vAlign w:val="bottom"/>
            <w:gridSpan w:val="19"/>
            <w:vMerge w:val="restart"/>
          </w:tcPr>
          <w:p>
            <w:pPr>
              <w:spacing w:after="0"/>
              <w:rPr>
                <w:rFonts w:ascii="Arial" w:cs="Arial" w:eastAsia="Arial" w:hAnsi="Arial"/>
                <w:sz w:val="16"/>
                <w:szCs w:val="16"/>
                <w:color w:val="0000FF"/>
                <w:w w:val="91"/>
              </w:rPr>
            </w:pPr>
            <w:hyperlink r:id="rId88">
              <w:r>
                <w:rPr>
                  <w:rFonts w:ascii="Arial" w:cs="Arial" w:eastAsia="Arial" w:hAnsi="Arial"/>
                  <w:sz w:val="16"/>
                  <w:szCs w:val="16"/>
                  <w:color w:val="0000FF"/>
                  <w:w w:val="91"/>
                </w:rPr>
                <w:t>Amendment No. 5 to the Credit Agreement, dated as of May 29, 2015, by and between</w:t>
              </w:r>
            </w:hyperlink>
          </w:p>
        </w:tc>
        <w:tc>
          <w:tcPr>
            <w:tcW w:w="12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640" w:type="dxa"/>
            <w:vAlign w:val="bottom"/>
            <w:tcBorders>
              <w:bottom w:val="single" w:sz="8" w:color="0000FF"/>
            </w:tcBorders>
            <w:gridSpan w:val="19"/>
            <w:vMerge w:val="continue"/>
          </w:tcPr>
          <w:p>
            <w:pPr>
              <w:spacing w:after="0"/>
              <w:rPr>
                <w:sz w:val="4"/>
                <w:szCs w:val="4"/>
                <w:color w:val="auto"/>
              </w:rPr>
            </w:pPr>
          </w:p>
        </w:tc>
        <w:tc>
          <w:tcPr>
            <w:tcW w:w="1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5760" w:type="dxa"/>
            <w:vAlign w:val="bottom"/>
            <w:gridSpan w:val="25"/>
          </w:tcPr>
          <w:p>
            <w:pPr>
              <w:spacing w:after="0" w:line="183" w:lineRule="exact"/>
              <w:rPr>
                <w:rFonts w:ascii="Arial" w:cs="Arial" w:eastAsia="Arial" w:hAnsi="Arial"/>
                <w:sz w:val="16"/>
                <w:szCs w:val="16"/>
                <w:color w:val="0000FF"/>
              </w:rPr>
            </w:pPr>
            <w:hyperlink r:id="rId88">
              <w:r>
                <w:rPr>
                  <w:rFonts w:ascii="Arial" w:cs="Arial" w:eastAsia="Arial" w:hAnsi="Arial"/>
                  <w:sz w:val="16"/>
                  <w:szCs w:val="16"/>
                  <w:color w:val="0000FF"/>
                </w:rPr>
                <w:t>NRG West Holdings LLC and ING Capital LLC.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1020" w:type="dxa"/>
            <w:vAlign w:val="bottom"/>
          </w:tcPr>
          <w:p>
            <w:pPr>
              <w:jc w:val="right"/>
              <w:ind w:right="459"/>
              <w:spacing w:after="0"/>
              <w:rPr>
                <w:sz w:val="20"/>
                <w:szCs w:val="20"/>
                <w:color w:val="auto"/>
              </w:rPr>
            </w:pPr>
            <w:r>
              <w:rPr>
                <w:rFonts w:ascii="Arial" w:cs="Arial" w:eastAsia="Arial" w:hAnsi="Arial"/>
                <w:sz w:val="16"/>
                <w:szCs w:val="16"/>
                <w:color w:val="auto"/>
                <w:w w:val="86"/>
              </w:rPr>
              <w:t>10.13.1</w:t>
            </w:r>
          </w:p>
        </w:tc>
        <w:tc>
          <w:tcPr>
            <w:tcW w:w="5760" w:type="dxa"/>
            <w:vAlign w:val="bottom"/>
            <w:gridSpan w:val="25"/>
          </w:tcPr>
          <w:p>
            <w:pPr>
              <w:spacing w:after="0"/>
              <w:rPr>
                <w:rFonts w:ascii="Arial" w:cs="Arial" w:eastAsia="Arial" w:hAnsi="Arial"/>
                <w:sz w:val="16"/>
                <w:szCs w:val="16"/>
                <w:color w:val="0000FF"/>
                <w:w w:val="96"/>
              </w:rPr>
            </w:pPr>
            <w:hyperlink r:id="rId89">
              <w:r>
                <w:rPr>
                  <w:rFonts w:ascii="Arial" w:cs="Arial" w:eastAsia="Arial" w:hAnsi="Arial"/>
                  <w:sz w:val="16"/>
                  <w:szCs w:val="16"/>
                  <w:color w:val="0000FF"/>
                  <w:w w:val="96"/>
                </w:rPr>
                <w:t>Amended and Restated Credit Agreement, dated July 17, 2014, by and among NRG</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900" w:type="dxa"/>
            <w:vAlign w:val="bottom"/>
            <w:gridSpan w:val="9"/>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25"/>
          </w:tcPr>
          <w:p>
            <w:pPr>
              <w:spacing w:after="0" w:line="183" w:lineRule="exact"/>
              <w:rPr>
                <w:rFonts w:ascii="Arial" w:cs="Arial" w:eastAsia="Arial" w:hAnsi="Arial"/>
                <w:sz w:val="16"/>
                <w:szCs w:val="16"/>
                <w:color w:val="0000FF"/>
                <w:w w:val="94"/>
              </w:rPr>
            </w:pPr>
            <w:hyperlink r:id="rId89">
              <w:r>
                <w:rPr>
                  <w:rFonts w:ascii="Arial" w:cs="Arial" w:eastAsia="Arial" w:hAnsi="Arial"/>
                  <w:sz w:val="16"/>
                  <w:szCs w:val="16"/>
                  <w:color w:val="0000FF"/>
                  <w:w w:val="94"/>
                </w:rPr>
                <w:t>Marsh Landing LLC, The Royal Bank of Scotland Plc, Deutsche Bank Trust Company</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2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89">
              <w:r>
                <w:rPr>
                  <w:rFonts w:ascii="Arial" w:cs="Arial" w:eastAsia="Arial" w:hAnsi="Arial"/>
                  <w:sz w:val="16"/>
                  <w:szCs w:val="16"/>
                  <w:color w:val="0000FF"/>
                </w:rPr>
                <w:t>Americas and the lenders party thereto.</w:t>
              </w:r>
            </w:hyperlink>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1020" w:type="dxa"/>
            <w:vAlign w:val="bottom"/>
          </w:tcPr>
          <w:p>
            <w:pPr>
              <w:spacing w:after="0"/>
              <w:rPr>
                <w:sz w:val="24"/>
                <w:szCs w:val="24"/>
                <w:color w:val="auto"/>
              </w:rPr>
            </w:pPr>
          </w:p>
        </w:tc>
        <w:tc>
          <w:tcPr>
            <w:tcW w:w="2540" w:type="dxa"/>
            <w:vAlign w:val="bottom"/>
            <w:tcBorders>
              <w:top w:val="single" w:sz="8" w:color="0000FF"/>
            </w:tcBorders>
            <w:gridSpan w:val="3"/>
          </w:tcPr>
          <w:p>
            <w:pPr>
              <w:spacing w:after="0"/>
              <w:rPr>
                <w:sz w:val="24"/>
                <w:szCs w:val="24"/>
                <w:color w:val="auto"/>
              </w:rPr>
            </w:pPr>
          </w:p>
        </w:tc>
        <w:tc>
          <w:tcPr>
            <w:tcW w:w="2620" w:type="dxa"/>
            <w:vAlign w:val="bottom"/>
            <w:gridSpan w:val="4"/>
          </w:tcPr>
          <w:p>
            <w:pPr>
              <w:jc w:val="right"/>
              <w:ind w:right="5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Incorporated herein by reference to Exhibit 10.1 to the Company’s Current Report on Form 8-K filed on April 28, 2014.</w:t>
      </w:r>
    </w:p>
    <w:p>
      <w:pPr>
        <w:spacing w:after="0" w:line="200" w:lineRule="exact"/>
        <w:rPr>
          <w:sz w:val="20"/>
          <w:szCs w:val="20"/>
          <w:color w:val="auto"/>
        </w:rPr>
      </w:pPr>
    </w:p>
    <w:p>
      <w:pPr>
        <w:spacing w:after="0" w:line="395"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10.9 to the Company's Quarterly Report on Form 10-Q filed on August 4, 2015.</w:t>
      </w:r>
    </w:p>
    <w:p>
      <w:pPr>
        <w:spacing w:after="0" w:line="225"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12, 2018.</w:t>
      </w:r>
    </w:p>
    <w:p>
      <w:pPr>
        <w:spacing w:after="0" w:line="22"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May 3, 2018.</w:t>
      </w:r>
    </w:p>
    <w:p>
      <w:pPr>
        <w:spacing w:after="0" w:line="200" w:lineRule="exact"/>
        <w:rPr>
          <w:sz w:val="20"/>
          <w:szCs w:val="20"/>
          <w:color w:val="auto"/>
        </w:rPr>
      </w:pPr>
    </w:p>
    <w:p>
      <w:pPr>
        <w:spacing w:after="0" w:line="227"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6, 2018.</w:t>
      </w:r>
    </w:p>
    <w:p>
      <w:pPr>
        <w:spacing w:after="0" w:line="225"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23, 2019.</w:t>
      </w:r>
    </w:p>
    <w:p>
      <w:pPr>
        <w:spacing w:after="0" w:line="225"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10.2 to the Company's Quarterly Report on Form 10-Q filed on August 7, 2014.</w:t>
      </w:r>
    </w:p>
    <w:p>
      <w:pPr>
        <w:spacing w:after="0" w:line="225"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10.3 to the Company's Quarterly Report on Form 10-Q filed on August 7, 2014.</w:t>
      </w:r>
    </w:p>
    <w:p>
      <w:pPr>
        <w:spacing w:after="0" w:line="22"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10.4 to the Company's Quarterly Report on Form 10-Q filed on August 7, 2014.</w:t>
      </w:r>
    </w:p>
    <w:p>
      <w:pPr>
        <w:spacing w:after="0" w:line="22"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10.6 to the Company's Quarterly Report on Form 10-Q filed on August 4, 2015.</w:t>
      </w:r>
    </w:p>
    <w:p>
      <w:pPr>
        <w:spacing w:after="0" w:line="22"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10.7 to the Company's Quarterly Report on Form 10-Q filed on August 4, 2015.</w:t>
      </w:r>
    </w:p>
    <w:p>
      <w:pPr>
        <w:spacing w:after="0" w:line="225"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10.8 to the Company's Quarterly Report on Form 10-Q filed on August 4, 2015.</w:t>
      </w:r>
    </w:p>
    <w:p>
      <w:pPr>
        <w:spacing w:after="0" w:line="225"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10.5 to the Company's Quarterly Report on Form 10-Q filed on August 7, 2014.</w:t>
      </w:r>
    </w:p>
    <w:p>
      <w:pPr>
        <w:sectPr>
          <w:pgSz w:w="11900" w:h="16838" w:orient="portrait"/>
          <w:cols w:equalWidth="0" w:num="2">
            <w:col w:w="6780" w:space="180"/>
            <w:col w:w="4220"/>
          </w:cols>
          <w:pgMar w:left="360" w:top="712"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auto"/>
        </w:rPr>
        <w:t>10.13.2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10.20†</w:t>
      </w:r>
    </w:p>
    <w:p>
      <w:pPr>
        <w:spacing w:after="0" w:line="20" w:lineRule="exact"/>
        <w:rPr>
          <w:sz w:val="20"/>
          <w:szCs w:val="20"/>
          <w:color w:val="auto"/>
        </w:rPr>
      </w:pPr>
      <w:r>
        <w:rPr>
          <w:sz w:val="20"/>
          <w:szCs w:val="20"/>
          <w:color w:val="auto"/>
        </w:rPr>
        <w:br w:type="column"/>
      </w:r>
    </w:p>
    <w:p>
      <w:pPr>
        <w:ind w:right="160"/>
        <w:spacing w:after="0" w:line="273" w:lineRule="auto"/>
        <w:rPr>
          <w:rFonts w:ascii="Arial" w:cs="Arial" w:eastAsia="Arial" w:hAnsi="Arial"/>
          <w:sz w:val="16"/>
          <w:szCs w:val="16"/>
          <w:u w:val="single" w:color="auto"/>
          <w:color w:val="0000FF"/>
        </w:rPr>
      </w:pPr>
      <w:hyperlink r:id="rId90">
        <w:r>
          <w:rPr>
            <w:rFonts w:ascii="Arial" w:cs="Arial" w:eastAsia="Arial" w:hAnsi="Arial"/>
            <w:sz w:val="16"/>
            <w:szCs w:val="16"/>
            <w:u w:val="single" w:color="auto"/>
            <w:color w:val="0000FF"/>
          </w:rPr>
          <w:t>First Amendment to the Credit Agreement and Collateral Agency and Intercreditor</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Agreement, dated July 17, 2014, by and among NRG Marsh Landing LLC, The Royal</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Bank of Scotland Plc, Deutsche Bank Trust Company Americas and the lenders party</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thereto.</w:t>
        </w:r>
      </w:hyperlink>
    </w:p>
    <w:p>
      <w:pPr>
        <w:spacing w:after="0" w:line="108" w:lineRule="exact"/>
        <w:rPr>
          <w:rFonts w:ascii="Arial" w:cs="Arial" w:eastAsia="Arial" w:hAnsi="Arial"/>
          <w:sz w:val="16"/>
          <w:szCs w:val="16"/>
          <w:u w:val="single" w:color="auto"/>
          <w:color w:val="0000FF"/>
        </w:rPr>
      </w:pPr>
    </w:p>
    <w:p>
      <w:pPr>
        <w:ind w:right="120"/>
        <w:spacing w:after="0" w:line="293" w:lineRule="auto"/>
        <w:rPr>
          <w:rFonts w:ascii="Arial" w:cs="Arial" w:eastAsia="Arial" w:hAnsi="Arial"/>
          <w:sz w:val="16"/>
          <w:szCs w:val="16"/>
          <w:u w:val="single" w:color="auto"/>
          <w:color w:val="0000FF"/>
        </w:rPr>
      </w:pPr>
      <w:hyperlink r:id="rId91">
        <w:r>
          <w:rPr>
            <w:rFonts w:ascii="Arial" w:cs="Arial" w:eastAsia="Arial" w:hAnsi="Arial"/>
            <w:sz w:val="16"/>
            <w:szCs w:val="16"/>
            <w:u w:val="single" w:color="auto"/>
            <w:color w:val="0000FF"/>
          </w:rPr>
          <w:t>Amended and Restated Limited Liability Company Agreement of NRG RPV Holdco 1</w:t>
        </w:r>
      </w:hyperlink>
      <w:r>
        <w:rPr>
          <w:rFonts w:ascii="Arial" w:cs="Arial" w:eastAsia="Arial" w:hAnsi="Arial"/>
          <w:sz w:val="16"/>
          <w:szCs w:val="16"/>
          <w:u w:val="single" w:color="auto"/>
          <w:color w:val="0000FF"/>
        </w:rPr>
        <w:t xml:space="preserve"> </w:t>
      </w:r>
      <w:hyperlink r:id="rId91">
        <w:r>
          <w:rPr>
            <w:rFonts w:ascii="Arial" w:cs="Arial" w:eastAsia="Arial" w:hAnsi="Arial"/>
            <w:sz w:val="16"/>
            <w:szCs w:val="16"/>
            <w:u w:val="single" w:color="auto"/>
            <w:color w:val="0000FF"/>
          </w:rPr>
          <w:t>LLC, dated as of April 9, 2015.</w:t>
        </w:r>
      </w:hyperlink>
    </w:p>
    <w:p>
      <w:pPr>
        <w:spacing w:after="0" w:line="293" w:lineRule="exact"/>
        <w:rPr>
          <w:sz w:val="20"/>
          <w:szCs w:val="20"/>
          <w:color w:val="auto"/>
        </w:rPr>
      </w:pPr>
    </w:p>
    <w:p>
      <w:pPr>
        <w:spacing w:after="0" w:line="293" w:lineRule="auto"/>
        <w:rPr>
          <w:rFonts w:ascii="Arial" w:cs="Arial" w:eastAsia="Arial" w:hAnsi="Arial"/>
          <w:sz w:val="16"/>
          <w:szCs w:val="16"/>
          <w:u w:val="single" w:color="auto"/>
          <w:color w:val="0000FF"/>
        </w:rPr>
      </w:pPr>
      <w:hyperlink r:id="rId92">
        <w:r>
          <w:rPr>
            <w:rFonts w:ascii="Arial" w:cs="Arial" w:eastAsia="Arial" w:hAnsi="Arial"/>
            <w:sz w:val="16"/>
            <w:szCs w:val="16"/>
            <w:u w:val="single" w:color="auto"/>
            <w:color w:val="0000FF"/>
          </w:rPr>
          <w:t>Amended and Restated Limited Liability Company Agreement of NRG DGPV Holdco 1</w:t>
        </w:r>
      </w:hyperlink>
      <w:r>
        <w:rPr>
          <w:rFonts w:ascii="Arial" w:cs="Arial" w:eastAsia="Arial" w:hAnsi="Arial"/>
          <w:sz w:val="16"/>
          <w:szCs w:val="16"/>
          <w:u w:val="single" w:color="auto"/>
          <w:color w:val="0000FF"/>
        </w:rPr>
        <w:t xml:space="preserve"> </w:t>
      </w:r>
      <w:hyperlink r:id="rId92">
        <w:r>
          <w:rPr>
            <w:rFonts w:ascii="Arial" w:cs="Arial" w:eastAsia="Arial" w:hAnsi="Arial"/>
            <w:sz w:val="16"/>
            <w:szCs w:val="16"/>
            <w:u w:val="single" w:color="auto"/>
            <w:color w:val="0000FF"/>
          </w:rPr>
          <w:t>LLC, dated as of May 8, 2015.</w:t>
        </w:r>
      </w:hyperlink>
    </w:p>
    <w:p>
      <w:pPr>
        <w:spacing w:after="0" w:line="212" w:lineRule="exact"/>
        <w:rPr>
          <w:sz w:val="20"/>
          <w:szCs w:val="20"/>
          <w:color w:val="auto"/>
        </w:rPr>
      </w:pPr>
    </w:p>
    <w:p>
      <w:pPr>
        <w:jc w:val="both"/>
        <w:ind w:right="80"/>
        <w:spacing w:after="0" w:line="305" w:lineRule="auto"/>
        <w:rPr>
          <w:rFonts w:ascii="Arial" w:cs="Arial" w:eastAsia="Arial" w:hAnsi="Arial"/>
          <w:sz w:val="15"/>
          <w:szCs w:val="15"/>
          <w:u w:val="single" w:color="auto"/>
          <w:color w:val="0000FF"/>
        </w:rPr>
      </w:pPr>
      <w:hyperlink r:id="rId93">
        <w:r>
          <w:rPr>
            <w:rFonts w:ascii="Arial" w:cs="Arial" w:eastAsia="Arial" w:hAnsi="Arial"/>
            <w:sz w:val="15"/>
            <w:szCs w:val="15"/>
            <w:u w:val="single" w:color="auto"/>
            <w:color w:val="0000FF"/>
          </w:rPr>
          <w:t>Amendment No. 1 to Amended and Restated Limited Liability Company Agreement of</w:t>
        </w:r>
      </w:hyperlink>
      <w:r>
        <w:rPr>
          <w:rFonts w:ascii="Arial" w:cs="Arial" w:eastAsia="Arial" w:hAnsi="Arial"/>
          <w:sz w:val="15"/>
          <w:szCs w:val="15"/>
          <w:u w:val="single" w:color="auto"/>
          <w:color w:val="0000FF"/>
        </w:rPr>
        <w:t xml:space="preserve"> </w:t>
      </w:r>
      <w:hyperlink r:id="rId93">
        <w:r>
          <w:rPr>
            <w:rFonts w:ascii="Arial" w:cs="Arial" w:eastAsia="Arial" w:hAnsi="Arial"/>
            <w:sz w:val="15"/>
            <w:szCs w:val="15"/>
            <w:u w:val="single" w:color="auto"/>
            <w:color w:val="0000FF"/>
          </w:rPr>
          <w:t>NRG RPV Holdco 1 LLC, dated as of March 1, 2016, by and between NRG Yield RPV</w:t>
        </w:r>
      </w:hyperlink>
      <w:r>
        <w:rPr>
          <w:rFonts w:ascii="Arial" w:cs="Arial" w:eastAsia="Arial" w:hAnsi="Arial"/>
          <w:sz w:val="15"/>
          <w:szCs w:val="15"/>
          <w:u w:val="single" w:color="auto"/>
          <w:color w:val="0000FF"/>
        </w:rPr>
        <w:t xml:space="preserve"> </w:t>
      </w:r>
      <w:hyperlink r:id="rId93">
        <w:r>
          <w:rPr>
            <w:rFonts w:ascii="Arial" w:cs="Arial" w:eastAsia="Arial" w:hAnsi="Arial"/>
            <w:sz w:val="15"/>
            <w:szCs w:val="15"/>
            <w:u w:val="single" w:color="auto"/>
            <w:color w:val="0000FF"/>
          </w:rPr>
          <w:t>Holding LLC and NRG Residential Solar Solutions LLC.</w:t>
        </w:r>
      </w:hyperlink>
    </w:p>
    <w:p>
      <w:pPr>
        <w:spacing w:after="0" w:line="287" w:lineRule="exact"/>
        <w:rPr>
          <w:rFonts w:ascii="Arial" w:cs="Arial" w:eastAsia="Arial" w:hAnsi="Arial"/>
          <w:sz w:val="15"/>
          <w:szCs w:val="15"/>
          <w:u w:val="single" w:color="auto"/>
          <w:color w:val="0000FF"/>
        </w:rPr>
      </w:pPr>
    </w:p>
    <w:p>
      <w:pPr>
        <w:ind w:right="80"/>
        <w:spacing w:after="0" w:line="305" w:lineRule="auto"/>
        <w:rPr>
          <w:rFonts w:ascii="Arial" w:cs="Arial" w:eastAsia="Arial" w:hAnsi="Arial"/>
          <w:sz w:val="15"/>
          <w:szCs w:val="15"/>
          <w:u w:val="single" w:color="auto"/>
          <w:color w:val="0000FF"/>
        </w:rPr>
      </w:pPr>
      <w:hyperlink r:id="rId94">
        <w:r>
          <w:rPr>
            <w:rFonts w:ascii="Arial" w:cs="Arial" w:eastAsia="Arial" w:hAnsi="Arial"/>
            <w:sz w:val="15"/>
            <w:szCs w:val="15"/>
            <w:u w:val="single" w:color="auto"/>
            <w:color w:val="0000FF"/>
          </w:rPr>
          <w:t>Amendment No. 2 to Amended and Restated Limited Liability Company Agreement of</w:t>
        </w:r>
      </w:hyperlink>
      <w:r>
        <w:rPr>
          <w:rFonts w:ascii="Arial" w:cs="Arial" w:eastAsia="Arial" w:hAnsi="Arial"/>
          <w:sz w:val="15"/>
          <w:szCs w:val="15"/>
          <w:u w:val="single" w:color="auto"/>
          <w:color w:val="0000FF"/>
        </w:rPr>
        <w:t xml:space="preserve"> </w:t>
      </w:r>
      <w:hyperlink r:id="rId94">
        <w:r>
          <w:rPr>
            <w:rFonts w:ascii="Arial" w:cs="Arial" w:eastAsia="Arial" w:hAnsi="Arial"/>
            <w:sz w:val="15"/>
            <w:szCs w:val="15"/>
            <w:u w:val="single" w:color="auto"/>
            <w:color w:val="0000FF"/>
          </w:rPr>
          <w:t>NRG DGPV Holdco 1 LLC, dated as of March 1, 2016, by and among NRG Yield</w:t>
        </w:r>
      </w:hyperlink>
      <w:r>
        <w:rPr>
          <w:rFonts w:ascii="Arial" w:cs="Arial" w:eastAsia="Arial" w:hAnsi="Arial"/>
          <w:sz w:val="15"/>
          <w:szCs w:val="15"/>
          <w:u w:val="single" w:color="auto"/>
          <w:color w:val="0000FF"/>
        </w:rPr>
        <w:t xml:space="preserve"> </w:t>
      </w:r>
      <w:hyperlink r:id="rId94">
        <w:r>
          <w:rPr>
            <w:rFonts w:ascii="Arial" w:cs="Arial" w:eastAsia="Arial" w:hAnsi="Arial"/>
            <w:sz w:val="15"/>
            <w:szCs w:val="15"/>
            <w:u w:val="single" w:color="auto"/>
            <w:color w:val="0000FF"/>
          </w:rPr>
          <w:t>DGPV Holding LLC, NRG Renew DG Holdings LLC and NRG Renew LLC.</w:t>
        </w:r>
      </w:hyperlink>
    </w:p>
    <w:p>
      <w:pPr>
        <w:spacing w:after="0" w:line="166" w:lineRule="exact"/>
        <w:rPr>
          <w:rFonts w:ascii="Arial" w:cs="Arial" w:eastAsia="Arial" w:hAnsi="Arial"/>
          <w:sz w:val="15"/>
          <w:szCs w:val="15"/>
          <w:u w:val="single" w:color="auto"/>
          <w:color w:val="0000FF"/>
        </w:rPr>
      </w:pPr>
    </w:p>
    <w:p>
      <w:pPr>
        <w:spacing w:after="0" w:line="278" w:lineRule="auto"/>
        <w:rPr>
          <w:rFonts w:ascii="Arial" w:cs="Arial" w:eastAsia="Arial" w:hAnsi="Arial"/>
          <w:sz w:val="16"/>
          <w:szCs w:val="16"/>
          <w:u w:val="single" w:color="auto"/>
          <w:color w:val="0000FF"/>
        </w:rPr>
      </w:pPr>
      <w:hyperlink r:id="rId95">
        <w:r>
          <w:rPr>
            <w:rFonts w:ascii="Arial" w:cs="Arial" w:eastAsia="Arial" w:hAnsi="Arial"/>
            <w:sz w:val="16"/>
            <w:szCs w:val="16"/>
            <w:u w:val="single" w:color="auto"/>
            <w:color w:val="0000FF"/>
          </w:rPr>
          <w:t>Amended and Restated Limited Liability Company Agreement of NRG DGPV Holdco 2</w:t>
        </w:r>
      </w:hyperlink>
      <w:r>
        <w:rPr>
          <w:rFonts w:ascii="Arial" w:cs="Arial" w:eastAsia="Arial" w:hAnsi="Arial"/>
          <w:sz w:val="16"/>
          <w:szCs w:val="16"/>
          <w:u w:val="single" w:color="auto"/>
          <w:color w:val="0000FF"/>
        </w:rPr>
        <w:t xml:space="preserve"> </w:t>
      </w:r>
      <w:hyperlink r:id="rId95">
        <w:r>
          <w:rPr>
            <w:rFonts w:ascii="Arial" w:cs="Arial" w:eastAsia="Arial" w:hAnsi="Arial"/>
            <w:sz w:val="16"/>
            <w:szCs w:val="16"/>
            <w:u w:val="single" w:color="auto"/>
            <w:color w:val="0000FF"/>
          </w:rPr>
          <w:t>LLC, dated as of March 1, 2016, by and among NRG Yield DGPV Holding LLC, NRG</w:t>
        </w:r>
      </w:hyperlink>
      <w:r>
        <w:rPr>
          <w:rFonts w:ascii="Arial" w:cs="Arial" w:eastAsia="Arial" w:hAnsi="Arial"/>
          <w:sz w:val="16"/>
          <w:szCs w:val="16"/>
          <w:u w:val="single" w:color="auto"/>
          <w:color w:val="0000FF"/>
        </w:rPr>
        <w:t xml:space="preserve"> </w:t>
      </w:r>
      <w:hyperlink r:id="rId95">
        <w:r>
          <w:rPr>
            <w:rFonts w:ascii="Arial" w:cs="Arial" w:eastAsia="Arial" w:hAnsi="Arial"/>
            <w:sz w:val="16"/>
            <w:szCs w:val="16"/>
            <w:u w:val="single" w:color="auto"/>
            <w:color w:val="0000FF"/>
          </w:rPr>
          <w:t>Renew DG Holdings LLC, and NRG Renew LLC.</w:t>
        </w:r>
      </w:hyperlink>
    </w:p>
    <w:p>
      <w:pPr>
        <w:spacing w:after="0" w:line="225" w:lineRule="exact"/>
        <w:rPr>
          <w:rFonts w:ascii="Arial" w:cs="Arial" w:eastAsia="Arial" w:hAnsi="Arial"/>
          <w:sz w:val="16"/>
          <w:szCs w:val="16"/>
          <w:u w:val="single" w:color="auto"/>
          <w:color w:val="0000FF"/>
        </w:rPr>
      </w:pPr>
    </w:p>
    <w:p>
      <w:pPr>
        <w:jc w:val="both"/>
        <w:ind w:right="40"/>
        <w:spacing w:after="0" w:line="305" w:lineRule="auto"/>
        <w:rPr>
          <w:rFonts w:ascii="Arial" w:cs="Arial" w:eastAsia="Arial" w:hAnsi="Arial"/>
          <w:sz w:val="15"/>
          <w:szCs w:val="15"/>
          <w:u w:val="single" w:color="auto"/>
          <w:color w:val="0000FF"/>
        </w:rPr>
      </w:pPr>
      <w:hyperlink r:id="rId96">
        <w:r>
          <w:rPr>
            <w:rFonts w:ascii="Arial" w:cs="Arial" w:eastAsia="Arial" w:hAnsi="Arial"/>
            <w:sz w:val="15"/>
            <w:szCs w:val="15"/>
            <w:u w:val="single" w:color="auto"/>
            <w:color w:val="0000FF"/>
          </w:rPr>
          <w:t>Amendment No. 2 to Amended and Restated Limited Liability Company Agreement of</w:t>
        </w:r>
      </w:hyperlink>
      <w:r>
        <w:rPr>
          <w:rFonts w:ascii="Arial" w:cs="Arial" w:eastAsia="Arial" w:hAnsi="Arial"/>
          <w:sz w:val="15"/>
          <w:szCs w:val="15"/>
          <w:u w:val="single" w:color="auto"/>
          <w:color w:val="0000FF"/>
        </w:rPr>
        <w:t xml:space="preserve"> </w:t>
      </w:r>
      <w:hyperlink r:id="rId96">
        <w:r>
          <w:rPr>
            <w:rFonts w:ascii="Arial" w:cs="Arial" w:eastAsia="Arial" w:hAnsi="Arial"/>
            <w:sz w:val="15"/>
            <w:szCs w:val="15"/>
            <w:u w:val="single" w:color="auto"/>
            <w:color w:val="0000FF"/>
          </w:rPr>
          <w:t>NRG RPV Holdco 1 LLC, dated as of August 5, 2016, by and between NRG Yield RPV</w:t>
        </w:r>
      </w:hyperlink>
      <w:r>
        <w:rPr>
          <w:rFonts w:ascii="Arial" w:cs="Arial" w:eastAsia="Arial" w:hAnsi="Arial"/>
          <w:sz w:val="15"/>
          <w:szCs w:val="15"/>
          <w:u w:val="single" w:color="auto"/>
          <w:color w:val="0000FF"/>
        </w:rPr>
        <w:t xml:space="preserve"> </w:t>
      </w:r>
      <w:hyperlink r:id="rId96">
        <w:r>
          <w:rPr>
            <w:rFonts w:ascii="Arial" w:cs="Arial" w:eastAsia="Arial" w:hAnsi="Arial"/>
            <w:sz w:val="15"/>
            <w:szCs w:val="15"/>
            <w:u w:val="single" w:color="auto"/>
            <w:color w:val="0000FF"/>
          </w:rPr>
          <w:t>Holding LLC and NRG Residential Solar Solutions LLC.</w:t>
        </w:r>
      </w:hyperlink>
    </w:p>
    <w:p>
      <w:pPr>
        <w:spacing w:after="0" w:line="206" w:lineRule="exact"/>
        <w:rPr>
          <w:rFonts w:ascii="Arial" w:cs="Arial" w:eastAsia="Arial" w:hAnsi="Arial"/>
          <w:sz w:val="15"/>
          <w:szCs w:val="15"/>
          <w:u w:val="single" w:color="auto"/>
          <w:color w:val="0000FF"/>
        </w:rPr>
      </w:pPr>
    </w:p>
    <w:p>
      <w:pPr>
        <w:ind w:right="520"/>
        <w:spacing w:after="0" w:line="293" w:lineRule="auto"/>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Employment Agreement, dated as of May 6, 2016, between NRG Yield, Inc. and</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Christopher S. Sotos.</w:t>
        </w:r>
      </w:hyperlink>
    </w:p>
    <w:p>
      <w:pPr>
        <w:spacing w:after="0" w:line="20" w:lineRule="exact"/>
        <w:rPr>
          <w:sz w:val="20"/>
          <w:szCs w:val="20"/>
          <w:color w:val="auto"/>
        </w:rPr>
      </w:pPr>
      <w:r>
        <w:rPr>
          <w:sz w:val="20"/>
          <w:szCs w:val="20"/>
          <w:color w:val="auto"/>
        </w:rPr>
        <w:br w:type="column"/>
      </w:r>
    </w:p>
    <w:p>
      <w:pPr>
        <w:ind w:right="60"/>
        <w:spacing w:after="0" w:line="278" w:lineRule="auto"/>
        <w:rPr>
          <w:sz w:val="20"/>
          <w:szCs w:val="20"/>
          <w:color w:val="auto"/>
        </w:rPr>
      </w:pPr>
      <w:r>
        <w:rPr>
          <w:rFonts w:ascii="Arial" w:cs="Arial" w:eastAsia="Arial" w:hAnsi="Arial"/>
          <w:sz w:val="16"/>
          <w:szCs w:val="16"/>
          <w:color w:val="auto"/>
        </w:rPr>
        <w:t>Incorporated herein by reference to Exhibit 10.6 to the Company's Quarterly Report on Form 10-Q filed on August 7, 2014.</w:t>
      </w:r>
    </w:p>
    <w:p>
      <w:pPr>
        <w:spacing w:after="0" w:line="225"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4, 2015.</w:t>
      </w:r>
    </w:p>
    <w:p>
      <w:pPr>
        <w:spacing w:after="0" w:line="18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10.2 to the Company's Quarterly Report on Form 10-Q filed on August 4, 2015.</w:t>
      </w:r>
    </w:p>
    <w:p>
      <w:pPr>
        <w:spacing w:after="0" w:line="22"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May 5, 2016.</w:t>
      </w:r>
    </w:p>
    <w:p>
      <w:pPr>
        <w:spacing w:after="0" w:line="225"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Incorporated herein by reference to Exhibit 10.2 to the Company's Quarterly Report on Form 10-Q filed on May 5, 2016.</w:t>
      </w:r>
    </w:p>
    <w:p>
      <w:pPr>
        <w:spacing w:after="0" w:line="184"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Incorporated herein by reference to Exhibit 10.3 to the Company's Quarterly Report on Form 10-Q filed on May 5, 2016.</w:t>
      </w:r>
    </w:p>
    <w:p>
      <w:pPr>
        <w:spacing w:after="0" w:line="225"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9, 2016.</w:t>
      </w:r>
    </w:p>
    <w:p>
      <w:pPr>
        <w:spacing w:after="0" w:line="306"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8-K/A, filed on August 9, 2016.</w:t>
      </w:r>
    </w:p>
    <w:p>
      <w:pPr>
        <w:spacing w:after="0" w:line="103" w:lineRule="exact"/>
        <w:rPr>
          <w:sz w:val="20"/>
          <w:szCs w:val="20"/>
          <w:color w:val="auto"/>
        </w:rPr>
      </w:pPr>
    </w:p>
    <w:p>
      <w:pPr>
        <w:sectPr>
          <w:pgSz w:w="11900" w:h="16838" w:orient="portrait"/>
          <w:cols w:equalWidth="0" w:num="3">
            <w:col w:w="480" w:space="540"/>
            <w:col w:w="5760" w:space="180"/>
            <w:col w:w="4100"/>
          </w:cols>
          <w:pgMar w:left="360" w:top="724" w:right="479" w:bottom="0" w:gutter="0" w:footer="0" w:header="0"/>
        </w:sectPr>
      </w:pPr>
    </w:p>
    <w:p>
      <w:pPr>
        <w:spacing w:after="0"/>
        <w:rPr>
          <w:sz w:val="20"/>
          <w:szCs w:val="20"/>
          <w:color w:val="auto"/>
        </w:rPr>
      </w:pPr>
      <w:r>
        <w:rPr>
          <w:rFonts w:ascii="Arial" w:cs="Arial" w:eastAsia="Arial" w:hAnsi="Arial"/>
          <w:sz w:val="14"/>
          <w:szCs w:val="14"/>
          <w:color w:val="auto"/>
        </w:rPr>
        <w:t>10.21†</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10.25†</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80"/>
        <w:spacing w:after="0" w:line="293" w:lineRule="auto"/>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Amendment, dated January 1, 2018 to Employment Agreement between NRG Yield,</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Inc. and Christopher Sotos.</w:t>
        </w:r>
      </w:hyperlink>
    </w:p>
    <w:p>
      <w:pPr>
        <w:spacing w:after="0" w:line="212" w:lineRule="exact"/>
        <w:rPr>
          <w:sz w:val="20"/>
          <w:szCs w:val="20"/>
          <w:color w:val="auto"/>
        </w:rPr>
      </w:pPr>
    </w:p>
    <w:p>
      <w:pPr>
        <w:ind w:right="420"/>
        <w:spacing w:after="0" w:line="293" w:lineRule="auto"/>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Form of Clearway Energy, Inc. 2013 Equity Incentive Plan Restricted Stock Unit</w:t>
        </w:r>
      </w:hyperlink>
      <w:r>
        <w:rPr>
          <w:rFonts w:ascii="Arial" w:cs="Arial" w:eastAsia="Arial" w:hAnsi="Arial"/>
          <w:sz w:val="16"/>
          <w:szCs w:val="16"/>
          <w:u w:val="single" w:color="auto"/>
          <w:color w:val="0000FF"/>
        </w:rPr>
        <w:t xml:space="preserve"> </w:t>
      </w:r>
      <w:hyperlink r:id="rId99">
        <w:r>
          <w:rPr>
            <w:rFonts w:ascii="Arial" w:cs="Arial" w:eastAsia="Arial" w:hAnsi="Arial"/>
            <w:sz w:val="16"/>
            <w:szCs w:val="16"/>
            <w:u w:val="single" w:color="auto"/>
            <w:color w:val="0000FF"/>
          </w:rPr>
          <w:t>Agreement for Officers.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20"/>
        <w:spacing w:after="0" w:line="293" w:lineRule="auto"/>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Form of Clearway Energy, Inc. 2013 Equity Incentive Plan Restricted Stock Unit</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Agreement for Non-officers.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93" w:lineRule="auto"/>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Form of Clearway Energy, Inc. 2013 Equity Incentive Plan Relative Performance Stock</w:t>
        </w:r>
      </w:hyperlink>
      <w:r>
        <w:rPr>
          <w:rFonts w:ascii="Arial" w:cs="Arial" w:eastAsia="Arial" w:hAnsi="Arial"/>
          <w:sz w:val="16"/>
          <w:szCs w:val="16"/>
          <w:u w:val="single" w:color="auto"/>
          <w:color w:val="0000FF"/>
        </w:rPr>
        <w:t xml:space="preserve"> </w:t>
      </w:r>
      <w:hyperlink r:id="rId101">
        <w:r>
          <w:rPr>
            <w:rFonts w:ascii="Arial" w:cs="Arial" w:eastAsia="Arial" w:hAnsi="Arial"/>
            <w:sz w:val="16"/>
            <w:szCs w:val="16"/>
            <w:u w:val="single" w:color="auto"/>
            <w:color w:val="0000FF"/>
          </w:rPr>
          <w:t>Unit Agreement.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Clearway Energy, Inc. Annual Incentive Plan.</w:t>
        </w:r>
      </w:hyperlink>
    </w:p>
    <w:p>
      <w:pPr>
        <w:spacing w:after="0" w:line="20" w:lineRule="exact"/>
        <w:rPr>
          <w:sz w:val="20"/>
          <w:szCs w:val="20"/>
          <w:color w:val="auto"/>
        </w:rPr>
      </w:pPr>
      <w:r>
        <w:rPr>
          <w:sz w:val="20"/>
          <w:szCs w:val="20"/>
          <w:color w:val="auto"/>
        </w:rPr>
        <w:br w:type="column"/>
      </w:r>
    </w:p>
    <w:p>
      <w:pPr>
        <w:ind w:right="240"/>
        <w:spacing w:after="0" w:line="278" w:lineRule="auto"/>
        <w:rPr>
          <w:sz w:val="20"/>
          <w:szCs w:val="20"/>
          <w:color w:val="auto"/>
        </w:rPr>
      </w:pPr>
      <w:r>
        <w:rPr>
          <w:rFonts w:ascii="Arial" w:cs="Arial" w:eastAsia="Arial" w:hAnsi="Arial"/>
          <w:sz w:val="16"/>
          <w:szCs w:val="16"/>
          <w:color w:val="auto"/>
        </w:rPr>
        <w:t>Incorporated herein by reference to Exhibit 10.28 to the Company's Annual Report on Form 10-K filed on March 1, 2018.</w:t>
      </w:r>
    </w:p>
    <w:p>
      <w:pPr>
        <w:spacing w:after="0" w:line="10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10.22 to the Company's Annual Report on Form 10-K filed on February 28,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10.23 to the Company's Annual Report on Form 10-K filed on February 28,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10.24 to the Company's Annual Report on Form 10-K filed on February 28,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10.25 to the Company's Annual Report on Form 10-K filed on February 28, 2019.</w:t>
      </w:r>
    </w:p>
    <w:p>
      <w:pPr>
        <w:spacing w:after="0" w:line="103" w:lineRule="exact"/>
        <w:rPr>
          <w:sz w:val="20"/>
          <w:szCs w:val="20"/>
          <w:color w:val="auto"/>
        </w:rPr>
      </w:pPr>
    </w:p>
    <w:p>
      <w:pPr>
        <w:sectPr>
          <w:pgSz w:w="11900" w:h="16838" w:orient="portrait"/>
          <w:cols w:equalWidth="0" w:num="3">
            <w:col w:w="440" w:space="580"/>
            <w:col w:w="5680" w:space="260"/>
            <w:col w:w="4100"/>
          </w:cols>
          <w:pgMar w:left="360" w:top="724" w:right="479" w:bottom="0" w:gutter="0" w:footer="0" w:header="0"/>
          <w:type w:val="continuous"/>
        </w:sectPr>
      </w:pPr>
    </w:p>
    <w:p>
      <w:pPr>
        <w:spacing w:after="0"/>
        <w:rPr>
          <w:sz w:val="20"/>
          <w:szCs w:val="20"/>
          <w:color w:val="auto"/>
        </w:rPr>
      </w:pPr>
      <w:r>
        <w:rPr>
          <w:rFonts w:ascii="Arial" w:cs="Arial" w:eastAsia="Arial" w:hAnsi="Arial"/>
          <w:sz w:val="14"/>
          <w:szCs w:val="14"/>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10.28†</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620" w:type="dxa"/>
            <w:vAlign w:val="bottom"/>
            <w:gridSpan w:val="3"/>
          </w:tcPr>
          <w:p>
            <w:pPr>
              <w:spacing w:after="0"/>
              <w:rPr>
                <w:rFonts w:ascii="Arial" w:cs="Arial" w:eastAsia="Arial" w:hAnsi="Arial"/>
                <w:sz w:val="16"/>
                <w:szCs w:val="16"/>
                <w:color w:val="0000FF"/>
              </w:rPr>
            </w:pPr>
            <w:hyperlink r:id="rId103">
              <w:r>
                <w:rPr>
                  <w:rFonts w:ascii="Arial" w:cs="Arial" w:eastAsia="Arial" w:hAnsi="Arial"/>
                  <w:sz w:val="16"/>
                  <w:szCs w:val="16"/>
                  <w:color w:val="0000FF"/>
                </w:rPr>
                <w:t>Clearway Energy, Inc. Involuntary Severance Plan.</w:t>
              </w:r>
            </w:hyperlink>
          </w:p>
        </w:tc>
        <w:tc>
          <w:tcPr>
            <w:tcW w:w="4180" w:type="dxa"/>
            <w:vAlign w:val="bottom"/>
          </w:tcPr>
          <w:p>
            <w:pPr>
              <w:ind w:left="320"/>
              <w:spacing w:after="0"/>
              <w:rPr>
                <w:sz w:val="20"/>
                <w:szCs w:val="20"/>
                <w:color w:val="auto"/>
              </w:rPr>
            </w:pPr>
            <w:r>
              <w:rPr>
                <w:rFonts w:ascii="Arial" w:cs="Arial" w:eastAsia="Arial" w:hAnsi="Arial"/>
                <w:sz w:val="16"/>
                <w:szCs w:val="16"/>
                <w:color w:val="auto"/>
                <w:w w:val="98"/>
              </w:rPr>
              <w:t>Incorporated herein by reference to Exhibit 10.26 to the</w:t>
            </w:r>
          </w:p>
        </w:tc>
      </w:tr>
      <w:tr>
        <w:trPr>
          <w:trHeight w:val="213"/>
        </w:trPr>
        <w:tc>
          <w:tcPr>
            <w:tcW w:w="3320" w:type="dxa"/>
            <w:vAlign w:val="bottom"/>
            <w:tcBorders>
              <w:top w:val="single" w:sz="8" w:color="0000FF"/>
            </w:tcBorders>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6"/>
                <w:szCs w:val="16"/>
                <w:color w:val="auto"/>
                <w:w w:val="93"/>
              </w:rPr>
              <w:t>Company's Annual Report on Form 10-K filed on March 2,</w:t>
            </w:r>
          </w:p>
        </w:tc>
      </w:tr>
      <w:tr>
        <w:trPr>
          <w:trHeight w:val="206"/>
        </w:trPr>
        <w:tc>
          <w:tcPr>
            <w:tcW w:w="33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6"/>
                <w:szCs w:val="16"/>
                <w:color w:val="auto"/>
              </w:rPr>
              <w:t>2020.</w:t>
            </w:r>
          </w:p>
        </w:tc>
      </w:tr>
      <w:tr>
        <w:trPr>
          <w:trHeight w:val="748"/>
        </w:trPr>
        <w:tc>
          <w:tcPr>
            <w:tcW w:w="5620" w:type="dxa"/>
            <w:vAlign w:val="bottom"/>
            <w:gridSpan w:val="3"/>
          </w:tcPr>
          <w:p>
            <w:pPr>
              <w:spacing w:after="0"/>
              <w:rPr>
                <w:rFonts w:ascii="Arial" w:cs="Arial" w:eastAsia="Arial" w:hAnsi="Arial"/>
                <w:sz w:val="16"/>
                <w:szCs w:val="16"/>
                <w:color w:val="0000FF"/>
                <w:w w:val="96"/>
              </w:rPr>
            </w:pPr>
            <w:hyperlink r:id="rId104">
              <w:r>
                <w:rPr>
                  <w:rFonts w:ascii="Arial" w:cs="Arial" w:eastAsia="Arial" w:hAnsi="Arial"/>
                  <w:sz w:val="16"/>
                  <w:szCs w:val="16"/>
                  <w:color w:val="0000FF"/>
                  <w:w w:val="96"/>
                </w:rPr>
                <w:t>Clearway Energy, Inc. Executive Change-in-Control and General Severance Plan.</w:t>
              </w:r>
            </w:hyperlink>
          </w:p>
        </w:tc>
        <w:tc>
          <w:tcPr>
            <w:tcW w:w="4180" w:type="dxa"/>
            <w:vAlign w:val="bottom"/>
          </w:tcPr>
          <w:p>
            <w:pPr>
              <w:ind w:left="320"/>
              <w:spacing w:after="0"/>
              <w:rPr>
                <w:sz w:val="20"/>
                <w:szCs w:val="20"/>
                <w:color w:val="auto"/>
              </w:rPr>
            </w:pPr>
            <w:r>
              <w:rPr>
                <w:rFonts w:ascii="Arial" w:cs="Arial" w:eastAsia="Arial" w:hAnsi="Arial"/>
                <w:sz w:val="16"/>
                <w:szCs w:val="16"/>
                <w:color w:val="auto"/>
                <w:w w:val="98"/>
              </w:rPr>
              <w:t>Incorporated herein by reference to Exhibit 10.27 to the</w:t>
            </w:r>
          </w:p>
        </w:tc>
      </w:tr>
      <w:tr>
        <w:trPr>
          <w:trHeight w:val="213"/>
        </w:trPr>
        <w:tc>
          <w:tcPr>
            <w:tcW w:w="3320" w:type="dxa"/>
            <w:vAlign w:val="bottom"/>
            <w:tcBorders>
              <w:top w:val="single" w:sz="8" w:color="0000FF"/>
            </w:tcBorders>
          </w:tcPr>
          <w:p>
            <w:pPr>
              <w:spacing w:after="0"/>
              <w:rPr>
                <w:sz w:val="18"/>
                <w:szCs w:val="18"/>
                <w:color w:val="auto"/>
              </w:rPr>
            </w:pPr>
          </w:p>
        </w:tc>
        <w:tc>
          <w:tcPr>
            <w:tcW w:w="198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6"/>
                <w:szCs w:val="16"/>
                <w:color w:val="auto"/>
                <w:w w:val="93"/>
              </w:rPr>
              <w:t>Company's Annual Report on Form 10-K filed on March 2,</w:t>
            </w:r>
          </w:p>
        </w:tc>
      </w:tr>
      <w:tr>
        <w:trPr>
          <w:trHeight w:val="206"/>
        </w:trPr>
        <w:tc>
          <w:tcPr>
            <w:tcW w:w="33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6"/>
                <w:szCs w:val="16"/>
                <w:color w:val="auto"/>
              </w:rPr>
              <w:t>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Borders>
              <w:bottom w:val="single" w:sz="8" w:color="0000FF"/>
            </w:tcBorders>
            <w:gridSpan w:val="2"/>
          </w:tcPr>
          <w:p>
            <w:pPr>
              <w:spacing w:after="0"/>
              <w:rPr>
                <w:rFonts w:ascii="Arial" w:cs="Arial" w:eastAsia="Arial" w:hAnsi="Arial"/>
                <w:sz w:val="16"/>
                <w:szCs w:val="16"/>
                <w:color w:val="0000FF"/>
                <w:w w:val="91"/>
              </w:rPr>
            </w:pPr>
            <w:hyperlink r:id="rId105">
              <w:r>
                <w:rPr>
                  <w:rFonts w:ascii="Arial" w:cs="Arial" w:eastAsia="Arial" w:hAnsi="Arial"/>
                  <w:sz w:val="16"/>
                  <w:szCs w:val="16"/>
                  <w:color w:val="0000FF"/>
                  <w:w w:val="91"/>
                </w:rPr>
                <w:t>Clearway Energy, Inc. Key Management Change-in-Control and General Severance</w:t>
              </w:r>
            </w:hyperlink>
          </w:p>
        </w:tc>
        <w:tc>
          <w:tcPr>
            <w:tcW w:w="260" w:type="dxa"/>
            <w:vAlign w:val="bottom"/>
          </w:tcPr>
          <w:p>
            <w:pPr>
              <w:spacing w:after="0"/>
              <w:rPr>
                <w:sz w:val="16"/>
                <w:szCs w:val="16"/>
                <w:color w:val="auto"/>
              </w:rPr>
            </w:pPr>
          </w:p>
        </w:tc>
        <w:tc>
          <w:tcPr>
            <w:tcW w:w="4100" w:type="dxa"/>
            <w:vAlign w:val="bottom"/>
          </w:tcPr>
          <w:p>
            <w:pPr>
              <w:ind w:left="240"/>
              <w:spacing w:after="0"/>
              <w:rPr>
                <w:sz w:val="20"/>
                <w:szCs w:val="20"/>
                <w:color w:val="auto"/>
              </w:rPr>
            </w:pPr>
            <w:r>
              <w:rPr>
                <w:rFonts w:ascii="Arial" w:cs="Arial" w:eastAsia="Arial" w:hAnsi="Arial"/>
                <w:sz w:val="16"/>
                <w:szCs w:val="16"/>
                <w:color w:val="auto"/>
                <w:w w:val="98"/>
              </w:rPr>
              <w:t>Incorporated herein by reference to Exhibit 10.28 to the</w:t>
            </w:r>
          </w:p>
        </w:tc>
      </w:tr>
      <w:tr>
        <w:trPr>
          <w:trHeight w:val="182"/>
        </w:trPr>
        <w:tc>
          <w:tcPr>
            <w:tcW w:w="5700" w:type="dxa"/>
            <w:vAlign w:val="bottom"/>
            <w:gridSpan w:val="3"/>
          </w:tcPr>
          <w:p>
            <w:pPr>
              <w:spacing w:after="0" w:line="183" w:lineRule="exact"/>
              <w:rPr>
                <w:rFonts w:ascii="Arial" w:cs="Arial" w:eastAsia="Arial" w:hAnsi="Arial"/>
                <w:sz w:val="16"/>
                <w:szCs w:val="16"/>
                <w:color w:val="0000FF"/>
              </w:rPr>
            </w:pPr>
            <w:hyperlink r:id="rId105">
              <w:r>
                <w:rPr>
                  <w:rFonts w:ascii="Arial" w:cs="Arial" w:eastAsia="Arial" w:hAnsi="Arial"/>
                  <w:sz w:val="16"/>
                  <w:szCs w:val="16"/>
                  <w:color w:val="0000FF"/>
                </w:rPr>
                <w:t>Plan.</w:t>
              </w:r>
            </w:hyperlink>
          </w:p>
        </w:tc>
        <w:tc>
          <w:tcPr>
            <w:tcW w:w="4100" w:type="dxa"/>
            <w:vAlign w:val="bottom"/>
          </w:tcPr>
          <w:p>
            <w:pPr>
              <w:ind w:left="240"/>
              <w:spacing w:after="0" w:line="183" w:lineRule="exact"/>
              <w:rPr>
                <w:sz w:val="20"/>
                <w:szCs w:val="20"/>
                <w:color w:val="auto"/>
              </w:rPr>
            </w:pPr>
            <w:r>
              <w:rPr>
                <w:rFonts w:ascii="Arial" w:cs="Arial" w:eastAsia="Arial" w:hAnsi="Arial"/>
                <w:sz w:val="16"/>
                <w:szCs w:val="16"/>
                <w:color w:val="auto"/>
                <w:w w:val="93"/>
              </w:rPr>
              <w:t>Company's Annual Report on Form 10-K filed on March 2,</w:t>
            </w:r>
          </w:p>
        </w:tc>
      </w:tr>
      <w:tr>
        <w:trPr>
          <w:trHeight w:val="217"/>
        </w:trPr>
        <w:tc>
          <w:tcPr>
            <w:tcW w:w="320" w:type="dxa"/>
            <w:vAlign w:val="bottom"/>
            <w:tcBorders>
              <w:top w:val="single" w:sz="8" w:color="0000FF"/>
            </w:tcBorders>
          </w:tcPr>
          <w:p>
            <w:pPr>
              <w:spacing w:after="0"/>
              <w:rPr>
                <w:sz w:val="18"/>
                <w:szCs w:val="18"/>
                <w:color w:val="auto"/>
              </w:rPr>
            </w:pPr>
          </w:p>
        </w:tc>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6"/>
                <w:szCs w:val="16"/>
                <w:color w:val="auto"/>
              </w:rPr>
              <w:t>2020.</w:t>
            </w:r>
          </w:p>
        </w:tc>
      </w:tr>
    </w:tbl>
    <w:p>
      <w:pPr>
        <w:sectPr>
          <w:pgSz w:w="11900" w:h="16838" w:orient="portrait"/>
          <w:cols w:equalWidth="0" w:num="2">
            <w:col w:w="440" w:space="580"/>
            <w:col w:w="10040"/>
          </w:cols>
          <w:pgMar w:left="360" w:top="724" w:right="479" w:bottom="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10.30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73" w:lineRule="auto"/>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Consent and Indemnity Agreement, dated as of February 6, 2018, by and among NRG</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Energy, Inc., NRG Repowering Holdings LLC, NRG Yield, Inc., and GIP III Zephyr</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Acquisition Partners, L.P., and NRG Yield Operating LLC (solely with respect to</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Sections E.5, E.6 and G.12).</w:t>
        </w:r>
      </w:hyperlink>
    </w:p>
    <w:p>
      <w:pPr>
        <w:spacing w:after="0" w:line="189" w:lineRule="exact"/>
        <w:rPr>
          <w:rFonts w:ascii="Arial" w:cs="Arial" w:eastAsia="Arial" w:hAnsi="Arial"/>
          <w:sz w:val="16"/>
          <w:szCs w:val="16"/>
          <w:u w:val="single" w:color="auto"/>
          <w:color w:val="0000FF"/>
        </w:rPr>
      </w:pPr>
    </w:p>
    <w:p>
      <w:pPr>
        <w:ind w:right="200"/>
        <w:spacing w:after="0" w:line="369" w:lineRule="auto"/>
        <w:rPr>
          <w:rFonts w:ascii="Arial" w:cs="Arial" w:eastAsia="Arial" w:hAnsi="Arial"/>
          <w:sz w:val="14"/>
          <w:szCs w:val="14"/>
          <w:u w:val="single" w:color="auto"/>
          <w:color w:val="0000FF"/>
        </w:rPr>
      </w:pPr>
      <w:hyperlink r:id="rId107">
        <w:r>
          <w:rPr>
            <w:rFonts w:ascii="Arial" w:cs="Arial" w:eastAsia="Arial" w:hAnsi="Arial"/>
            <w:sz w:val="14"/>
            <w:szCs w:val="14"/>
            <w:u w:val="single" w:color="auto"/>
            <w:color w:val="0000FF"/>
          </w:rPr>
          <w:t>Assignment and Assumption Agreement, effective as of February 26, 2019, among</w:t>
        </w:r>
      </w:hyperlink>
      <w:r>
        <w:rPr>
          <w:rFonts w:ascii="Arial" w:cs="Arial" w:eastAsia="Arial" w:hAnsi="Arial"/>
          <w:sz w:val="14"/>
          <w:szCs w:val="14"/>
          <w:u w:val="single" w:color="auto"/>
          <w:color w:val="0000FF"/>
        </w:rPr>
        <w:t xml:space="preserve"> </w:t>
      </w:r>
      <w:hyperlink r:id="rId107">
        <w:r>
          <w:rPr>
            <w:rFonts w:ascii="Arial" w:cs="Arial" w:eastAsia="Arial" w:hAnsi="Arial"/>
            <w:sz w:val="14"/>
            <w:szCs w:val="14"/>
            <w:u w:val="single" w:color="auto"/>
            <w:color w:val="0000FF"/>
          </w:rPr>
          <w:t>Clearway Energy Operating LLC and GIP III Zephyr Carlsbad Holdings, LLC.</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60"/>
        <w:spacing w:after="0" w:line="369" w:lineRule="auto"/>
        <w:rPr>
          <w:sz w:val="20"/>
          <w:szCs w:val="20"/>
          <w:color w:val="auto"/>
        </w:rPr>
      </w:pPr>
      <w:r>
        <w:rPr>
          <w:rFonts w:ascii="Arial" w:cs="Arial" w:eastAsia="Arial" w:hAnsi="Arial"/>
          <w:sz w:val="14"/>
          <w:szCs w:val="14"/>
          <w:color w:val="auto"/>
        </w:rPr>
        <w:t>Incorporated by reference to Exhibit 10.34 to the Company's Annual Report on Form 10-K, filed on March 1, 2018.</w:t>
      </w:r>
    </w:p>
    <w:p>
      <w:pPr>
        <w:spacing w:after="0" w:line="200" w:lineRule="exact"/>
        <w:rPr>
          <w:sz w:val="20"/>
          <w:szCs w:val="20"/>
          <w:color w:val="auto"/>
        </w:rPr>
      </w:pPr>
    </w:p>
    <w:p>
      <w:pPr>
        <w:spacing w:after="0" w:line="33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10.30 to the Company's Annual Report on Form 10-K filed on February 28, 2019.</w:t>
      </w:r>
    </w:p>
    <w:p>
      <w:pPr>
        <w:spacing w:after="0" w:line="200" w:lineRule="exact"/>
        <w:rPr>
          <w:sz w:val="20"/>
          <w:szCs w:val="20"/>
          <w:color w:val="auto"/>
        </w:rPr>
      </w:pPr>
    </w:p>
    <w:p>
      <w:pPr>
        <w:sectPr>
          <w:pgSz w:w="11900" w:h="16838" w:orient="portrait"/>
          <w:cols w:equalWidth="0" w:num="3">
            <w:col w:w="440" w:space="580"/>
            <w:col w:w="5580" w:space="360"/>
            <w:col w:w="4100"/>
          </w:cols>
          <w:pgMar w:left="360" w:top="913" w:right="47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60"/>
          </w:cols>
          <w:pgMar w:left="360" w:top="913" w:right="479" w:bottom="1440" w:gutter="0" w:footer="0" w:header="0"/>
          <w:type w:val="continuous"/>
        </w:sectPr>
      </w:pPr>
    </w:p>
    <w:bookmarkStart w:id="11" w:name="page12"/>
    <w:bookmarkEnd w:id="11"/>
    <w:p>
      <w:pPr>
        <w:ind w:left="5"/>
        <w:spacing w:after="0"/>
        <w:rPr>
          <w:sz w:val="20"/>
          <w:szCs w:val="20"/>
          <w:color w:val="auto"/>
        </w:rPr>
      </w:pPr>
      <w:r>
        <w:rPr>
          <w:rFonts w:ascii="Arial" w:cs="Arial" w:eastAsia="Arial" w:hAnsi="Arial"/>
          <w:sz w:val="15"/>
          <w:szCs w:val="15"/>
          <w:color w:val="auto"/>
        </w:rPr>
        <w:t>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
        <w:spacing w:after="0"/>
        <w:rPr>
          <w:sz w:val="20"/>
          <w:szCs w:val="20"/>
          <w:color w:val="auto"/>
        </w:rPr>
      </w:pPr>
      <w:r>
        <w:rPr>
          <w:rFonts w:ascii="Arial" w:cs="Arial" w:eastAsia="Arial" w:hAnsi="Arial"/>
          <w:sz w:val="15"/>
          <w:szCs w:val="15"/>
          <w:color w:val="auto"/>
        </w:rPr>
        <w:t>10.32*+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78" w:lineRule="auto"/>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Amended and Restated Limited Liability Company Agreement of NRG DGPV Holdco 3</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LLC, dated September 26, 2017 by and amount NRG Yield DGPV Holding LLC and</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NRG Renew DG Holdings LLC.</w:t>
        </w:r>
      </w:hyperlink>
    </w:p>
    <w:p>
      <w:pPr>
        <w:spacing w:after="0" w:line="200" w:lineRule="exact"/>
        <w:rPr>
          <w:rFonts w:ascii="Arial" w:cs="Arial" w:eastAsia="Arial" w:hAnsi="Arial"/>
          <w:sz w:val="16"/>
          <w:szCs w:val="16"/>
          <w:u w:val="single" w:color="auto"/>
          <w:color w:val="0000FF"/>
        </w:rPr>
      </w:pPr>
    </w:p>
    <w:p>
      <w:pPr>
        <w:spacing w:after="0" w:line="349" w:lineRule="exact"/>
        <w:rPr>
          <w:rFonts w:ascii="Arial" w:cs="Arial" w:eastAsia="Arial" w:hAnsi="Arial"/>
          <w:sz w:val="16"/>
          <w:szCs w:val="16"/>
          <w:u w:val="single" w:color="auto"/>
          <w:color w:val="0000FF"/>
        </w:rPr>
      </w:pPr>
    </w:p>
    <w:p>
      <w:pPr>
        <w:ind w:right="140"/>
        <w:spacing w:after="0" w:line="297" w:lineRule="auto"/>
        <w:rPr>
          <w:rFonts w:ascii="Arial" w:cs="Arial" w:eastAsia="Arial" w:hAnsi="Arial"/>
          <w:sz w:val="15"/>
          <w:szCs w:val="15"/>
          <w:u w:val="single" w:color="auto"/>
          <w:color w:val="0000FF"/>
        </w:rPr>
      </w:pPr>
      <w:hyperlink r:id="rId109">
        <w:r>
          <w:rPr>
            <w:rFonts w:ascii="Arial" w:cs="Arial" w:eastAsia="Arial" w:hAnsi="Arial"/>
            <w:sz w:val="15"/>
            <w:szCs w:val="15"/>
            <w:u w:val="single" w:color="auto"/>
            <w:color w:val="0000FF"/>
          </w:rPr>
          <w:t>First Amendment to Amended and Restated Limited Liability Company Agreement,</w:t>
        </w:r>
      </w:hyperlink>
      <w:r>
        <w:rPr>
          <w:rFonts w:ascii="Arial" w:cs="Arial" w:eastAsia="Arial" w:hAnsi="Arial"/>
          <w:sz w:val="15"/>
          <w:szCs w:val="15"/>
          <w:u w:val="single" w:color="auto"/>
          <w:color w:val="0000FF"/>
        </w:rPr>
        <w:t xml:space="preserve"> </w:t>
      </w:r>
      <w:hyperlink r:id="rId109">
        <w:r>
          <w:rPr>
            <w:rFonts w:ascii="Arial" w:cs="Arial" w:eastAsia="Arial" w:hAnsi="Arial"/>
            <w:sz w:val="15"/>
            <w:szCs w:val="15"/>
            <w:u w:val="single" w:color="auto"/>
            <w:color w:val="0000FF"/>
          </w:rPr>
          <w:t>dated as of December 26, 2018, by and among DGPV Holding LLC (f/k/a NRG Yield</w:t>
        </w:r>
      </w:hyperlink>
      <w:r>
        <w:rPr>
          <w:rFonts w:ascii="Arial" w:cs="Arial" w:eastAsia="Arial" w:hAnsi="Arial"/>
          <w:sz w:val="15"/>
          <w:szCs w:val="15"/>
          <w:u w:val="single" w:color="auto"/>
          <w:color w:val="0000FF"/>
        </w:rPr>
        <w:t xml:space="preserve"> </w:t>
      </w:r>
      <w:hyperlink r:id="rId109">
        <w:r>
          <w:rPr>
            <w:rFonts w:ascii="Arial" w:cs="Arial" w:eastAsia="Arial" w:hAnsi="Arial"/>
            <w:sz w:val="15"/>
            <w:szCs w:val="15"/>
            <w:u w:val="single" w:color="auto"/>
            <w:color w:val="0000FF"/>
          </w:rPr>
          <w:t>DGPV Holding LLC), a Delaware limited liability company, and Renew DG Holdings</w:t>
        </w:r>
      </w:hyperlink>
      <w:r>
        <w:rPr>
          <w:rFonts w:ascii="Arial" w:cs="Arial" w:eastAsia="Arial" w:hAnsi="Arial"/>
          <w:sz w:val="15"/>
          <w:szCs w:val="15"/>
          <w:u w:val="single" w:color="auto"/>
          <w:color w:val="0000FF"/>
        </w:rPr>
        <w:t xml:space="preserve"> </w:t>
      </w:r>
      <w:hyperlink r:id="rId109">
        <w:r>
          <w:rPr>
            <w:rFonts w:ascii="Arial" w:cs="Arial" w:eastAsia="Arial" w:hAnsi="Arial"/>
            <w:sz w:val="15"/>
            <w:szCs w:val="15"/>
            <w:u w:val="single" w:color="auto"/>
            <w:color w:val="0000FF"/>
          </w:rPr>
          <w:t>LLC (f/k/a NRG Renew DG Holdings LLC), a Delaware limited liability company.</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line="61" w:lineRule="exact"/>
        <w:rPr>
          <w:rFonts w:ascii="Arial" w:cs="Arial" w:eastAsia="Arial" w:hAnsi="Arial"/>
          <w:sz w:val="15"/>
          <w:szCs w:val="15"/>
          <w:u w:val="single" w:color="auto"/>
          <w:color w:val="0000FF"/>
        </w:rPr>
      </w:pPr>
    </w:p>
    <w:p>
      <w:pPr>
        <w:ind w:right="300"/>
        <w:spacing w:after="0" w:line="278" w:lineRule="auto"/>
        <w:rPr>
          <w:sz w:val="20"/>
          <w:szCs w:val="20"/>
          <w:color w:val="auto"/>
        </w:rPr>
      </w:pPr>
      <w:r>
        <w:rPr>
          <w:rFonts w:ascii="Arial" w:cs="Arial" w:eastAsia="Arial" w:hAnsi="Arial"/>
          <w:sz w:val="16"/>
          <w:szCs w:val="16"/>
          <w:color w:val="auto"/>
        </w:rPr>
        <w:t>Incorporated herein by reference to Exhibit 10.31 to the Company's Annual Report on Form 10-K filed on March 2, 2020.</w:t>
      </w:r>
    </w:p>
    <w:p>
      <w:pPr>
        <w:spacing w:after="0" w:line="200" w:lineRule="exact"/>
        <w:rPr>
          <w:rFonts w:ascii="Arial" w:cs="Arial" w:eastAsia="Arial" w:hAnsi="Arial"/>
          <w:sz w:val="15"/>
          <w:szCs w:val="15"/>
          <w:u w:val="single" w:color="auto"/>
          <w:color w:val="0000FF"/>
        </w:rPr>
      </w:pPr>
    </w:p>
    <w:p>
      <w:pPr>
        <w:spacing w:after="0" w:line="349" w:lineRule="exact"/>
        <w:rPr>
          <w:rFonts w:ascii="Arial" w:cs="Arial" w:eastAsia="Arial" w:hAnsi="Arial"/>
          <w:sz w:val="15"/>
          <w:szCs w:val="15"/>
          <w:u w:val="single" w:color="auto"/>
          <w:color w:val="0000FF"/>
        </w:rPr>
      </w:pPr>
    </w:p>
    <w:p>
      <w:pPr>
        <w:ind w:right="300"/>
        <w:spacing w:after="0" w:line="278" w:lineRule="auto"/>
        <w:rPr>
          <w:sz w:val="20"/>
          <w:szCs w:val="20"/>
          <w:color w:val="auto"/>
        </w:rPr>
      </w:pPr>
      <w:r>
        <w:rPr>
          <w:rFonts w:ascii="Arial" w:cs="Arial" w:eastAsia="Arial" w:hAnsi="Arial"/>
          <w:sz w:val="16"/>
          <w:szCs w:val="16"/>
          <w:color w:val="auto"/>
        </w:rPr>
        <w:t>Incorporated herein by reference to Exhibit 10.32 to the Company's Annual Report on Form 10-K filed on March 2, 2020.</w:t>
      </w:r>
    </w:p>
    <w:p>
      <w:pPr>
        <w:spacing w:after="0" w:line="414" w:lineRule="exact"/>
        <w:rPr>
          <w:rFonts w:ascii="Arial" w:cs="Arial" w:eastAsia="Arial" w:hAnsi="Arial"/>
          <w:sz w:val="15"/>
          <w:szCs w:val="15"/>
          <w:u w:val="single" w:color="auto"/>
          <w:color w:val="0000FF"/>
        </w:rPr>
      </w:pPr>
    </w:p>
    <w:p>
      <w:pPr>
        <w:sectPr>
          <w:pgSz w:w="11900" w:h="16838" w:orient="portrait"/>
          <w:cols w:equalWidth="0" w:num="3">
            <w:col w:w="545" w:space="480"/>
            <w:col w:w="5760" w:space="180"/>
            <w:col w:w="4160"/>
          </w:cols>
          <w:pgMar w:left="355" w:top="724" w:right="419" w:bottom="0" w:gutter="0" w:footer="0" w:header="0"/>
        </w:sectPr>
      </w:pPr>
    </w:p>
    <w:p>
      <w:pPr>
        <w:spacing w:after="0" w:line="41" w:lineRule="exact"/>
        <w:rPr>
          <w:rFonts w:ascii="Arial" w:cs="Arial" w:eastAsia="Arial" w:hAnsi="Arial"/>
          <w:sz w:val="15"/>
          <w:szCs w:val="15"/>
          <w:u w:val="single" w:color="auto"/>
          <w:color w:val="0000FF"/>
        </w:rPr>
      </w:pPr>
    </w:p>
    <w:tbl>
      <w:tblPr>
        <w:tblLayout w:type="fixed"/>
        <w:tblInd w:w="5"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Arial" w:cs="Arial" w:eastAsia="Arial" w:hAnsi="Arial"/>
                <w:sz w:val="16"/>
                <w:szCs w:val="16"/>
                <w:color w:val="auto"/>
              </w:rPr>
              <w:t>10.33</w:t>
            </w:r>
          </w:p>
        </w:tc>
        <w:tc>
          <w:tcPr>
            <w:tcW w:w="5660" w:type="dxa"/>
            <w:vAlign w:val="bottom"/>
            <w:tcBorders>
              <w:bottom w:val="single" w:sz="8" w:color="0000FF"/>
            </w:tcBorders>
            <w:gridSpan w:val="7"/>
          </w:tcPr>
          <w:p>
            <w:pPr>
              <w:spacing w:after="0"/>
              <w:rPr>
                <w:rFonts w:ascii="Arial" w:cs="Arial" w:eastAsia="Arial" w:hAnsi="Arial"/>
                <w:sz w:val="16"/>
                <w:szCs w:val="16"/>
                <w:color w:val="0000FF"/>
                <w:w w:val="90"/>
              </w:rPr>
            </w:pPr>
            <w:hyperlink r:id="rId110">
              <w:r>
                <w:rPr>
                  <w:rFonts w:ascii="Arial" w:cs="Arial" w:eastAsia="Arial" w:hAnsi="Arial"/>
                  <w:sz w:val="16"/>
                  <w:szCs w:val="16"/>
                  <w:color w:val="0000FF"/>
                  <w:w w:val="90"/>
                </w:rPr>
                <w:t>Amended and Restated Exchange Agreement, dated as of May 14, 2015, by and among</w:t>
              </w:r>
            </w:hyperlink>
          </w:p>
        </w:tc>
      </w:tr>
      <w:tr>
        <w:trPr>
          <w:trHeight w:val="182"/>
        </w:trPr>
        <w:tc>
          <w:tcPr>
            <w:tcW w:w="1020" w:type="dxa"/>
            <w:vAlign w:val="bottom"/>
          </w:tcPr>
          <w:p>
            <w:pPr>
              <w:spacing w:after="0"/>
              <w:rPr>
                <w:sz w:val="15"/>
                <w:szCs w:val="15"/>
                <w:color w:val="auto"/>
              </w:rPr>
            </w:pPr>
          </w:p>
        </w:tc>
        <w:tc>
          <w:tcPr>
            <w:tcW w:w="5440" w:type="dxa"/>
            <w:vAlign w:val="bottom"/>
            <w:tcBorders>
              <w:bottom w:val="single" w:sz="8" w:color="0000FF"/>
            </w:tcBorders>
            <w:gridSpan w:val="4"/>
          </w:tcPr>
          <w:p>
            <w:pPr>
              <w:spacing w:after="0" w:line="183" w:lineRule="exact"/>
              <w:rPr>
                <w:rFonts w:ascii="Arial" w:cs="Arial" w:eastAsia="Arial" w:hAnsi="Arial"/>
                <w:sz w:val="16"/>
                <w:szCs w:val="16"/>
                <w:color w:val="0000FF"/>
                <w:w w:val="93"/>
              </w:rPr>
            </w:pPr>
            <w:hyperlink r:id="rId110">
              <w:r>
                <w:rPr>
                  <w:rFonts w:ascii="Arial" w:cs="Arial" w:eastAsia="Arial" w:hAnsi="Arial"/>
                  <w:sz w:val="16"/>
                  <w:szCs w:val="16"/>
                  <w:color w:val="0000FF"/>
                  <w:w w:val="93"/>
                </w:rPr>
                <w:t>NRG Energy, Inc., NRG Yield, Inc., and NRG Yield LLC and, pursuant to a joinder</w:t>
              </w:r>
            </w:hyperlink>
          </w:p>
        </w:tc>
        <w:tc>
          <w:tcPr>
            <w:tcW w:w="220" w:type="dxa"/>
            <w:vAlign w:val="bottom"/>
            <w:gridSpan w:val="3"/>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5660" w:type="dxa"/>
            <w:vAlign w:val="bottom"/>
            <w:gridSpan w:val="7"/>
          </w:tcPr>
          <w:p>
            <w:pPr>
              <w:spacing w:after="0" w:line="183" w:lineRule="exact"/>
              <w:rPr>
                <w:rFonts w:ascii="Arial" w:cs="Arial" w:eastAsia="Arial" w:hAnsi="Arial"/>
                <w:sz w:val="16"/>
                <w:szCs w:val="16"/>
                <w:color w:val="0000FF"/>
              </w:rPr>
            </w:pPr>
            <w:hyperlink r:id="rId110">
              <w:r>
                <w:rPr>
                  <w:rFonts w:ascii="Arial" w:cs="Arial" w:eastAsia="Arial" w:hAnsi="Arial"/>
                  <w:sz w:val="16"/>
                  <w:szCs w:val="16"/>
                  <w:color w:val="0000FF"/>
                </w:rPr>
                <w:t>thereto, dated as of August 31, 2018, Zephyr Renewables LLC.</w:t>
              </w:r>
            </w:hyperlink>
          </w:p>
        </w:tc>
      </w:tr>
      <w:tr>
        <w:trPr>
          <w:trHeight w:val="20"/>
        </w:trPr>
        <w:tc>
          <w:tcPr>
            <w:tcW w:w="10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17"/>
        </w:trPr>
        <w:tc>
          <w:tcPr>
            <w:tcW w:w="1020" w:type="dxa"/>
            <w:vAlign w:val="bottom"/>
          </w:tcPr>
          <w:p>
            <w:pPr>
              <w:spacing w:after="0"/>
              <w:rPr>
                <w:sz w:val="20"/>
                <w:szCs w:val="20"/>
                <w:color w:val="auto"/>
              </w:rPr>
            </w:pPr>
            <w:r>
              <w:rPr>
                <w:rFonts w:ascii="Arial" w:cs="Arial" w:eastAsia="Arial" w:hAnsi="Arial"/>
                <w:sz w:val="16"/>
                <w:szCs w:val="16"/>
                <w:color w:val="auto"/>
              </w:rPr>
              <w:t>10.34</w:t>
            </w:r>
          </w:p>
        </w:tc>
        <w:tc>
          <w:tcPr>
            <w:tcW w:w="5540" w:type="dxa"/>
            <w:vAlign w:val="bottom"/>
            <w:tcBorders>
              <w:bottom w:val="single" w:sz="8" w:color="0000FF"/>
            </w:tcBorders>
            <w:gridSpan w:val="5"/>
          </w:tcPr>
          <w:p>
            <w:pPr>
              <w:spacing w:after="0"/>
              <w:rPr>
                <w:rFonts w:ascii="Arial" w:cs="Arial" w:eastAsia="Arial" w:hAnsi="Arial"/>
                <w:sz w:val="16"/>
                <w:szCs w:val="16"/>
                <w:color w:val="0000FF"/>
                <w:w w:val="91"/>
              </w:rPr>
            </w:pPr>
            <w:hyperlink r:id="rId111">
              <w:r>
                <w:rPr>
                  <w:rFonts w:ascii="Arial" w:cs="Arial" w:eastAsia="Arial" w:hAnsi="Arial"/>
                  <w:sz w:val="16"/>
                  <w:szCs w:val="16"/>
                  <w:color w:val="0000FF"/>
                  <w:w w:val="91"/>
                </w:rPr>
                <w:t>Amended and Restated Registration Rights Agreement, dated as of May 14, 2015, by</w:t>
              </w:r>
            </w:hyperlink>
          </w:p>
        </w:tc>
        <w:tc>
          <w:tcPr>
            <w:tcW w:w="120" w:type="dxa"/>
            <w:vAlign w:val="bottom"/>
            <w:gridSpan w:val="2"/>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5660" w:type="dxa"/>
            <w:vAlign w:val="bottom"/>
            <w:gridSpan w:val="7"/>
          </w:tcPr>
          <w:p>
            <w:pPr>
              <w:spacing w:after="0" w:line="183" w:lineRule="exact"/>
              <w:rPr>
                <w:rFonts w:ascii="Arial" w:cs="Arial" w:eastAsia="Arial" w:hAnsi="Arial"/>
                <w:sz w:val="16"/>
                <w:szCs w:val="16"/>
                <w:color w:val="0000FF"/>
                <w:w w:val="92"/>
              </w:rPr>
            </w:pPr>
            <w:hyperlink r:id="rId111">
              <w:r>
                <w:rPr>
                  <w:rFonts w:ascii="Arial" w:cs="Arial" w:eastAsia="Arial" w:hAnsi="Arial"/>
                  <w:sz w:val="16"/>
                  <w:szCs w:val="16"/>
                  <w:color w:val="0000FF"/>
                  <w:w w:val="92"/>
                </w:rPr>
                <w:t>and between NRG Energy, Inc. and NRG Yield, Inc. and, pursuant to a joinder thereto,</w:t>
              </w:r>
            </w:hyperlink>
          </w:p>
        </w:tc>
      </w:tr>
      <w:tr>
        <w:trPr>
          <w:trHeight w:val="183"/>
        </w:trPr>
        <w:tc>
          <w:tcPr>
            <w:tcW w:w="102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1"/>
              </w:rPr>
            </w:pPr>
            <w:hyperlink r:id="rId111">
              <w:r>
                <w:rPr>
                  <w:rFonts w:ascii="Arial" w:cs="Arial" w:eastAsia="Arial" w:hAnsi="Arial"/>
                  <w:sz w:val="16"/>
                  <w:szCs w:val="16"/>
                  <w:color w:val="0000FF"/>
                  <w:w w:val="91"/>
                </w:rPr>
                <w:t>dated as of August 31, 2018, Zephyr Renewables LLC.</w:t>
              </w:r>
            </w:hyperlink>
          </w:p>
        </w:tc>
        <w:tc>
          <w:tcPr>
            <w:tcW w:w="2040" w:type="dxa"/>
            <w:vAlign w:val="bottom"/>
            <w:tcBorders>
              <w:top w:val="single" w:sz="8" w:color="0000FF"/>
            </w:tcBorders>
            <w:gridSpan w:val="4"/>
          </w:tcPr>
          <w:p>
            <w:pPr>
              <w:spacing w:after="0"/>
              <w:rPr>
                <w:sz w:val="15"/>
                <w:szCs w:val="15"/>
                <w:color w:val="auto"/>
              </w:rPr>
            </w:pPr>
          </w:p>
        </w:tc>
        <w:tc>
          <w:tcPr>
            <w:tcW w:w="40" w:type="dxa"/>
            <w:vAlign w:val="bottom"/>
          </w:tcPr>
          <w:p>
            <w:pPr>
              <w:spacing w:after="0"/>
              <w:rPr>
                <w:sz w:val="15"/>
                <w:szCs w:val="15"/>
                <w:color w:val="auto"/>
              </w:rPr>
            </w:pPr>
          </w:p>
        </w:tc>
      </w:tr>
      <w:tr>
        <w:trPr>
          <w:trHeight w:val="898"/>
        </w:trPr>
        <w:tc>
          <w:tcPr>
            <w:tcW w:w="1020" w:type="dxa"/>
            <w:vAlign w:val="bottom"/>
          </w:tcPr>
          <w:p>
            <w:pPr>
              <w:spacing w:after="0"/>
              <w:rPr>
                <w:sz w:val="20"/>
                <w:szCs w:val="20"/>
                <w:color w:val="auto"/>
              </w:rPr>
            </w:pPr>
            <w:r>
              <w:rPr>
                <w:rFonts w:ascii="Arial" w:cs="Arial" w:eastAsia="Arial" w:hAnsi="Arial"/>
                <w:sz w:val="16"/>
                <w:szCs w:val="16"/>
                <w:color w:val="auto"/>
              </w:rPr>
              <w:t>21.1</w:t>
            </w:r>
          </w:p>
        </w:tc>
        <w:tc>
          <w:tcPr>
            <w:tcW w:w="2460" w:type="dxa"/>
            <w:vAlign w:val="bottom"/>
            <w:tcBorders>
              <w:bottom w:val="single" w:sz="8" w:color="0000FF"/>
            </w:tcBorders>
          </w:tcPr>
          <w:p>
            <w:pPr>
              <w:spacing w:after="0"/>
              <w:rPr>
                <w:rFonts w:ascii="Arial" w:cs="Arial" w:eastAsia="Arial" w:hAnsi="Arial"/>
                <w:sz w:val="16"/>
                <w:szCs w:val="16"/>
                <w:color w:val="0000FF"/>
                <w:w w:val="91"/>
              </w:rPr>
            </w:pPr>
            <w:hyperlink r:id="rId112">
              <w:r>
                <w:rPr>
                  <w:rFonts w:ascii="Arial" w:cs="Arial" w:eastAsia="Arial" w:hAnsi="Arial"/>
                  <w:sz w:val="16"/>
                  <w:szCs w:val="16"/>
                  <w:color w:val="0000FF"/>
                  <w:w w:val="91"/>
                </w:rPr>
                <w:t>Subsidiaries of Clearway Energy, Inc.</w:t>
              </w:r>
            </w:hyperlink>
          </w:p>
        </w:tc>
        <w:tc>
          <w:tcPr>
            <w:tcW w:w="3200" w:type="dxa"/>
            <w:vAlign w:val="bottom"/>
            <w:gridSpan w:val="6"/>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10.1 to the Company's Current Report on Form 8-K filed on May 15, 2015.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10.2 to the Company's Current Report on Form 8-K filed on May 15,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Incorporated herein by reference to Exhibit 21.1 to the Company's Annual Report on Form 10-K filed on March 2, 2020.</w:t>
      </w:r>
    </w:p>
    <w:p>
      <w:pPr>
        <w:spacing w:after="0" w:line="200" w:lineRule="exact"/>
        <w:rPr>
          <w:sz w:val="20"/>
          <w:szCs w:val="20"/>
          <w:color w:val="auto"/>
        </w:rPr>
      </w:pPr>
    </w:p>
    <w:p>
      <w:pPr>
        <w:sectPr>
          <w:pgSz w:w="11900" w:h="16838" w:orient="portrait"/>
          <w:cols w:equalWidth="0" w:num="2">
            <w:col w:w="6685" w:space="280"/>
            <w:col w:w="4160"/>
          </w:cols>
          <w:pgMar w:left="355" w:top="724" w:right="419" w:bottom="0" w:gutter="0" w:footer="0" w:header="0"/>
          <w:type w:val="continuous"/>
        </w:sectPr>
      </w:pPr>
    </w:p>
    <w:p>
      <w:pPr>
        <w:spacing w:after="0" w:line="94"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020" w:type="dxa"/>
            <w:vAlign w:val="bottom"/>
            <w:gridSpan w:val="2"/>
          </w:tcPr>
          <w:p>
            <w:pPr>
              <w:spacing w:after="0"/>
              <w:rPr>
                <w:sz w:val="20"/>
                <w:szCs w:val="20"/>
                <w:color w:val="auto"/>
              </w:rPr>
            </w:pPr>
            <w:r>
              <w:rPr>
                <w:rFonts w:ascii="Arial" w:cs="Arial" w:eastAsia="Arial" w:hAnsi="Arial"/>
                <w:sz w:val="16"/>
                <w:szCs w:val="16"/>
                <w:color w:val="auto"/>
              </w:rPr>
              <w:t>23.1</w:t>
            </w:r>
          </w:p>
        </w:tc>
        <w:tc>
          <w:tcPr>
            <w:tcW w:w="5660" w:type="dxa"/>
            <w:vAlign w:val="bottom"/>
            <w:gridSpan w:val="8"/>
          </w:tcPr>
          <w:p>
            <w:pPr>
              <w:spacing w:after="0"/>
              <w:rPr>
                <w:rFonts w:ascii="Arial" w:cs="Arial" w:eastAsia="Arial" w:hAnsi="Arial"/>
                <w:sz w:val="16"/>
                <w:szCs w:val="16"/>
                <w:color w:val="0000FF"/>
              </w:rPr>
            </w:pPr>
            <w:hyperlink r:id="rId113">
              <w:r>
                <w:rPr>
                  <w:rFonts w:ascii="Arial" w:cs="Arial" w:eastAsia="Arial" w:hAnsi="Arial"/>
                  <w:sz w:val="16"/>
                  <w:szCs w:val="16"/>
                  <w:color w:val="0000FF"/>
                </w:rPr>
                <w:t>Consent of KPMG LLP.</w:t>
              </w:r>
            </w:hyperlink>
          </w:p>
        </w:tc>
        <w:tc>
          <w:tcPr>
            <w:tcW w:w="4140" w:type="dxa"/>
            <w:vAlign w:val="bottom"/>
            <w:vMerge w:val="restart"/>
          </w:tcPr>
          <w:p>
            <w:pPr>
              <w:ind w:left="280"/>
              <w:spacing w:after="0"/>
              <w:rPr>
                <w:sz w:val="20"/>
                <w:szCs w:val="20"/>
                <w:color w:val="auto"/>
              </w:rPr>
            </w:pPr>
            <w:r>
              <w:rPr>
                <w:rFonts w:ascii="Arial" w:cs="Arial" w:eastAsia="Arial" w:hAnsi="Arial"/>
                <w:sz w:val="16"/>
                <w:szCs w:val="16"/>
                <w:color w:val="auto"/>
              </w:rPr>
              <w:t>Incorporated herein by reference to Exhibit 23.1 to the</w:t>
            </w:r>
          </w:p>
        </w:tc>
        <w:tc>
          <w:tcPr>
            <w:tcW w:w="0" w:type="dxa"/>
            <w:vAlign w:val="bottom"/>
          </w:tcPr>
          <w:p>
            <w:pPr>
              <w:spacing w:after="0"/>
              <w:rPr>
                <w:sz w:val="1"/>
                <w:szCs w:val="1"/>
                <w:color w:val="auto"/>
              </w:rPr>
            </w:pPr>
          </w:p>
        </w:tc>
      </w:tr>
      <w:tr>
        <w:trPr>
          <w:trHeight w:val="92"/>
        </w:trPr>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560" w:type="dxa"/>
            <w:vAlign w:val="bottom"/>
            <w:tcBorders>
              <w:top w:val="single" w:sz="8" w:color="0000FF"/>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40" w:type="dxa"/>
            <w:vAlign w:val="bottom"/>
          </w:tcPr>
          <w:p>
            <w:pPr>
              <w:ind w:left="280"/>
              <w:spacing w:after="0"/>
              <w:rPr>
                <w:sz w:val="20"/>
                <w:szCs w:val="20"/>
                <w:color w:val="auto"/>
              </w:rPr>
            </w:pPr>
            <w:r>
              <w:rPr>
                <w:rFonts w:ascii="Arial" w:cs="Arial" w:eastAsia="Arial" w:hAnsi="Arial"/>
                <w:sz w:val="16"/>
                <w:szCs w:val="16"/>
                <w:color w:val="auto"/>
                <w:w w:val="93"/>
              </w:rPr>
              <w:t>Company's Annual Report on Form 10-K filed on March 2,</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40" w:type="dxa"/>
            <w:vAlign w:val="bottom"/>
          </w:tcPr>
          <w:p>
            <w:pPr>
              <w:ind w:left="28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505"/>
        </w:trPr>
        <w:tc>
          <w:tcPr>
            <w:tcW w:w="1020" w:type="dxa"/>
            <w:vAlign w:val="bottom"/>
            <w:gridSpan w:val="2"/>
          </w:tcPr>
          <w:p>
            <w:pPr>
              <w:spacing w:after="0"/>
              <w:rPr>
                <w:sz w:val="20"/>
                <w:szCs w:val="20"/>
                <w:color w:val="auto"/>
              </w:rPr>
            </w:pPr>
            <w:r>
              <w:rPr>
                <w:rFonts w:ascii="Arial" w:cs="Arial" w:eastAsia="Arial" w:hAnsi="Arial"/>
                <w:sz w:val="16"/>
                <w:szCs w:val="16"/>
                <w:color w:val="auto"/>
              </w:rPr>
              <w:t>23.2</w:t>
            </w:r>
          </w:p>
        </w:tc>
        <w:tc>
          <w:tcPr>
            <w:tcW w:w="5660" w:type="dxa"/>
            <w:vAlign w:val="bottom"/>
            <w:gridSpan w:val="8"/>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Consent of KPMG LLP.</w:t>
              </w:r>
            </w:hyperlink>
          </w:p>
        </w:tc>
        <w:tc>
          <w:tcPr>
            <w:tcW w:w="4140" w:type="dxa"/>
            <w:vAlign w:val="bottom"/>
          </w:tcPr>
          <w:p>
            <w:pPr>
              <w:ind w:left="2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6"/>
                <w:szCs w:val="16"/>
                <w:color w:val="auto"/>
              </w:rPr>
              <w:t>31.1</w:t>
            </w:r>
          </w:p>
        </w:tc>
        <w:tc>
          <w:tcPr>
            <w:tcW w:w="408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15">
              <w:r>
                <w:rPr>
                  <w:rFonts w:ascii="Arial" w:cs="Arial" w:eastAsia="Arial" w:hAnsi="Arial"/>
                  <w:sz w:val="16"/>
                  <w:szCs w:val="16"/>
                  <w:color w:val="0000FF"/>
                  <w:w w:val="92"/>
                </w:rPr>
                <w:t>Rule 13a-14(a)/15d-14(a) certification of Christopher S. Sotos.</w:t>
              </w:r>
            </w:hyperlink>
          </w:p>
        </w:tc>
        <w:tc>
          <w:tcPr>
            <w:tcW w:w="1580" w:type="dxa"/>
            <w:vAlign w:val="bottom"/>
            <w:gridSpan w:val="2"/>
          </w:tcPr>
          <w:p>
            <w:pPr>
              <w:spacing w:after="0"/>
              <w:rPr>
                <w:sz w:val="22"/>
                <w:szCs w:val="22"/>
                <w:color w:val="auto"/>
              </w:rPr>
            </w:pPr>
          </w:p>
        </w:tc>
        <w:tc>
          <w:tcPr>
            <w:tcW w:w="4140" w:type="dxa"/>
            <w:vAlign w:val="bottom"/>
          </w:tcPr>
          <w:p>
            <w:pPr>
              <w:ind w:left="2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50"/>
        </w:trPr>
        <w:tc>
          <w:tcPr>
            <w:tcW w:w="1020" w:type="dxa"/>
            <w:vAlign w:val="bottom"/>
            <w:gridSpan w:val="2"/>
          </w:tcPr>
          <w:p>
            <w:pPr>
              <w:spacing w:after="0"/>
              <w:rPr>
                <w:sz w:val="20"/>
                <w:szCs w:val="20"/>
                <w:color w:val="auto"/>
              </w:rPr>
            </w:pPr>
            <w:r>
              <w:rPr>
                <w:rFonts w:ascii="Arial" w:cs="Arial" w:eastAsia="Arial" w:hAnsi="Arial"/>
                <w:sz w:val="16"/>
                <w:szCs w:val="16"/>
                <w:color w:val="auto"/>
              </w:rPr>
              <w:t>31.2</w:t>
            </w:r>
          </w:p>
        </w:tc>
        <w:tc>
          <w:tcPr>
            <w:tcW w:w="360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16">
              <w:r>
                <w:rPr>
                  <w:rFonts w:ascii="Arial" w:cs="Arial" w:eastAsia="Arial" w:hAnsi="Arial"/>
                  <w:sz w:val="16"/>
                  <w:szCs w:val="16"/>
                  <w:color w:val="0000FF"/>
                  <w:w w:val="93"/>
                </w:rPr>
                <w:t>Rule 13a-14(a)/15d-14(a) certification of Chad Plotkin.</w:t>
              </w:r>
            </w:hyperlink>
          </w:p>
        </w:tc>
        <w:tc>
          <w:tcPr>
            <w:tcW w:w="2060" w:type="dxa"/>
            <w:vAlign w:val="bottom"/>
            <w:gridSpan w:val="4"/>
          </w:tcPr>
          <w:p>
            <w:pPr>
              <w:spacing w:after="0"/>
              <w:rPr>
                <w:sz w:val="21"/>
                <w:szCs w:val="21"/>
                <w:color w:val="auto"/>
              </w:rPr>
            </w:pPr>
          </w:p>
        </w:tc>
        <w:tc>
          <w:tcPr>
            <w:tcW w:w="4140" w:type="dxa"/>
            <w:vAlign w:val="bottom"/>
          </w:tcPr>
          <w:p>
            <w:pPr>
              <w:ind w:left="2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50"/>
        </w:trPr>
        <w:tc>
          <w:tcPr>
            <w:tcW w:w="1020" w:type="dxa"/>
            <w:vAlign w:val="bottom"/>
            <w:gridSpan w:val="2"/>
          </w:tcPr>
          <w:p>
            <w:pPr>
              <w:spacing w:after="0"/>
              <w:rPr>
                <w:sz w:val="20"/>
                <w:szCs w:val="20"/>
                <w:color w:val="auto"/>
              </w:rPr>
            </w:pPr>
            <w:r>
              <w:rPr>
                <w:rFonts w:ascii="Arial" w:cs="Arial" w:eastAsia="Arial" w:hAnsi="Arial"/>
                <w:sz w:val="16"/>
                <w:szCs w:val="16"/>
                <w:color w:val="auto"/>
              </w:rPr>
              <w:t>31.3</w:t>
            </w:r>
          </w:p>
        </w:tc>
        <w:tc>
          <w:tcPr>
            <w:tcW w:w="3980" w:type="dxa"/>
            <w:vAlign w:val="bottom"/>
            <w:tcBorders>
              <w:bottom w:val="single" w:sz="8" w:color="0000FF"/>
            </w:tcBorders>
            <w:gridSpan w:val="5"/>
          </w:tcPr>
          <w:p>
            <w:pPr>
              <w:spacing w:after="0"/>
              <w:rPr>
                <w:rFonts w:ascii="Arial" w:cs="Arial" w:eastAsia="Arial" w:hAnsi="Arial"/>
                <w:sz w:val="16"/>
                <w:szCs w:val="16"/>
                <w:color w:val="0000FF"/>
                <w:w w:val="94"/>
              </w:rPr>
            </w:pPr>
            <w:hyperlink w:anchor="page17">
              <w:r>
                <w:rPr>
                  <w:rFonts w:ascii="Arial" w:cs="Arial" w:eastAsia="Arial" w:hAnsi="Arial"/>
                  <w:sz w:val="16"/>
                  <w:szCs w:val="16"/>
                  <w:color w:val="0000FF"/>
                  <w:w w:val="94"/>
                </w:rPr>
                <w:t>Rule 13a-14(a)/15d-14(a) certification of Mary-Lee Stillwell.</w:t>
              </w:r>
            </w:hyperlink>
          </w:p>
        </w:tc>
        <w:tc>
          <w:tcPr>
            <w:tcW w:w="1680" w:type="dxa"/>
            <w:vAlign w:val="bottom"/>
            <w:gridSpan w:val="3"/>
          </w:tcPr>
          <w:p>
            <w:pPr>
              <w:spacing w:after="0"/>
              <w:rPr>
                <w:sz w:val="21"/>
                <w:szCs w:val="21"/>
                <w:color w:val="auto"/>
              </w:rPr>
            </w:pPr>
          </w:p>
        </w:tc>
        <w:tc>
          <w:tcPr>
            <w:tcW w:w="4140" w:type="dxa"/>
            <w:vAlign w:val="bottom"/>
          </w:tcPr>
          <w:p>
            <w:pPr>
              <w:ind w:left="2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Arial" w:cs="Arial" w:eastAsia="Arial" w:hAnsi="Arial"/>
                <w:sz w:val="16"/>
                <w:szCs w:val="16"/>
                <w:color w:val="auto"/>
              </w:rPr>
              <w:t>32</w:t>
            </w:r>
          </w:p>
        </w:tc>
        <w:tc>
          <w:tcPr>
            <w:tcW w:w="760" w:type="dxa"/>
            <w:vAlign w:val="bottom"/>
          </w:tcPr>
          <w:p>
            <w:pPr>
              <w:spacing w:after="0"/>
              <w:rPr>
                <w:sz w:val="21"/>
                <w:szCs w:val="21"/>
                <w:color w:val="auto"/>
              </w:rPr>
            </w:pPr>
          </w:p>
        </w:tc>
        <w:tc>
          <w:tcPr>
            <w:tcW w:w="1760" w:type="dxa"/>
            <w:vAlign w:val="bottom"/>
            <w:tcBorders>
              <w:bottom w:val="single" w:sz="8" w:color="0000FF"/>
            </w:tcBorders>
            <w:gridSpan w:val="2"/>
          </w:tcPr>
          <w:p>
            <w:pPr>
              <w:spacing w:after="0"/>
              <w:rPr>
                <w:rFonts w:ascii="Arial" w:cs="Arial" w:eastAsia="Arial" w:hAnsi="Arial"/>
                <w:sz w:val="16"/>
                <w:szCs w:val="16"/>
                <w:color w:val="0000FF"/>
                <w:w w:val="93"/>
              </w:rPr>
            </w:pPr>
            <w:hyperlink w:anchor="page18">
              <w:r>
                <w:rPr>
                  <w:rFonts w:ascii="Arial" w:cs="Arial" w:eastAsia="Arial" w:hAnsi="Arial"/>
                  <w:sz w:val="16"/>
                  <w:szCs w:val="16"/>
                  <w:color w:val="0000FF"/>
                  <w:w w:val="93"/>
                </w:rPr>
                <w:t>Section 1350 Certification.</w:t>
              </w:r>
            </w:hyperlink>
          </w:p>
        </w:tc>
        <w:tc>
          <w:tcPr>
            <w:tcW w:w="3900" w:type="dxa"/>
            <w:vAlign w:val="bottom"/>
            <w:gridSpan w:val="6"/>
          </w:tcPr>
          <w:p>
            <w:pPr>
              <w:spacing w:after="0"/>
              <w:rPr>
                <w:sz w:val="21"/>
                <w:szCs w:val="21"/>
                <w:color w:val="auto"/>
              </w:rPr>
            </w:pPr>
          </w:p>
        </w:tc>
        <w:tc>
          <w:tcPr>
            <w:tcW w:w="4140" w:type="dxa"/>
            <w:vAlign w:val="bottom"/>
          </w:tcPr>
          <w:p>
            <w:pPr>
              <w:ind w:left="280"/>
              <w:spacing w:after="0"/>
              <w:rPr>
                <w:sz w:val="20"/>
                <w:szCs w:val="20"/>
                <w:color w:val="auto"/>
              </w:rPr>
            </w:pPr>
            <w:r>
              <w:rPr>
                <w:rFonts w:ascii="Arial" w:cs="Arial" w:eastAsia="Arial" w:hAnsi="Arial"/>
                <w:sz w:val="16"/>
                <w:szCs w:val="16"/>
                <w:color w:val="auto"/>
              </w:rPr>
              <w:t>Furnished herewith.</w:t>
            </w:r>
          </w:p>
        </w:tc>
        <w:tc>
          <w:tcPr>
            <w:tcW w:w="0" w:type="dxa"/>
            <w:vAlign w:val="bottom"/>
          </w:tcPr>
          <w:p>
            <w:pPr>
              <w:spacing w:after="0"/>
              <w:rPr>
                <w:sz w:val="1"/>
                <w:szCs w:val="1"/>
                <w:color w:val="auto"/>
              </w:rPr>
            </w:pPr>
          </w:p>
        </w:tc>
      </w:tr>
      <w:tr>
        <w:trPr>
          <w:trHeight w:val="237"/>
        </w:trPr>
        <w:tc>
          <w:tcPr>
            <w:tcW w:w="1020" w:type="dxa"/>
            <w:vAlign w:val="bottom"/>
            <w:gridSpan w:val="2"/>
          </w:tcPr>
          <w:p>
            <w:pPr>
              <w:spacing w:after="0"/>
              <w:rPr>
                <w:sz w:val="20"/>
                <w:szCs w:val="20"/>
                <w:color w:val="auto"/>
              </w:rPr>
            </w:pPr>
            <w:r>
              <w:rPr>
                <w:rFonts w:ascii="Arial" w:cs="Arial" w:eastAsia="Arial" w:hAnsi="Arial"/>
                <w:sz w:val="16"/>
                <w:szCs w:val="16"/>
                <w:color w:val="auto"/>
              </w:rPr>
              <w:t>99.1</w:t>
            </w:r>
          </w:p>
        </w:tc>
        <w:tc>
          <w:tcPr>
            <w:tcW w:w="5660" w:type="dxa"/>
            <w:vAlign w:val="bottom"/>
            <w:gridSpan w:val="8"/>
          </w:tcPr>
          <w:p>
            <w:pPr>
              <w:spacing w:after="0"/>
              <w:rPr>
                <w:rFonts w:ascii="Arial" w:cs="Arial" w:eastAsia="Arial" w:hAnsi="Arial"/>
                <w:sz w:val="16"/>
                <w:szCs w:val="16"/>
                <w:color w:val="0000FF"/>
                <w:w w:val="96"/>
              </w:rPr>
            </w:pPr>
            <w:hyperlink w:anchor="page19">
              <w:r>
                <w:rPr>
                  <w:rFonts w:ascii="Arial" w:cs="Arial" w:eastAsia="Arial" w:hAnsi="Arial"/>
                  <w:sz w:val="16"/>
                  <w:szCs w:val="16"/>
                  <w:color w:val="0000FF"/>
                  <w:w w:val="96"/>
                </w:rPr>
                <w:t>Financial Statements of DGPV Holdco 3 LLC and Subsidiaries for the years ended</w:t>
              </w:r>
            </w:hyperlink>
          </w:p>
        </w:tc>
        <w:tc>
          <w:tcPr>
            <w:tcW w:w="4140" w:type="dxa"/>
            <w:vAlign w:val="bottom"/>
          </w:tcPr>
          <w:p>
            <w:pPr>
              <w:ind w:left="2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380" w:type="dxa"/>
            <w:vAlign w:val="bottom"/>
            <w:tcBorders>
              <w:top w:val="single" w:sz="8" w:color="0000FF"/>
            </w:tcBorders>
            <w:gridSpan w:val="7"/>
          </w:tcPr>
          <w:p>
            <w:pPr>
              <w:spacing w:after="0" w:line="183" w:lineRule="exact"/>
              <w:rPr>
                <w:rFonts w:ascii="Arial" w:cs="Arial" w:eastAsia="Arial" w:hAnsi="Arial"/>
                <w:sz w:val="16"/>
                <w:szCs w:val="16"/>
                <w:color w:val="0000FF"/>
              </w:rPr>
            </w:pPr>
            <w:hyperlink w:anchor="page19">
              <w:r>
                <w:rPr>
                  <w:rFonts w:ascii="Arial" w:cs="Arial" w:eastAsia="Arial" w:hAnsi="Arial"/>
                  <w:sz w:val="16"/>
                  <w:szCs w:val="16"/>
                  <w:color w:val="0000FF"/>
                </w:rPr>
                <w:t>December 31, 2019 and 2018</w:t>
              </w:r>
              <w:r>
                <w:rPr>
                  <w:rFonts w:ascii="Arial" w:cs="Arial" w:eastAsia="Arial" w:hAnsi="Arial"/>
                  <w:sz w:val="16"/>
                  <w:szCs w:val="16"/>
                  <w:color w:val="000000"/>
                </w:rPr>
                <w:t>.</w:t>
              </w:r>
            </w:hyperlink>
          </w:p>
        </w:tc>
        <w:tc>
          <w:tcPr>
            <w:tcW w:w="2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760" w:type="dxa"/>
            <w:vAlign w:val="bottom"/>
          </w:tcPr>
          <w:p>
            <w:pPr>
              <w:ind w:left="20"/>
              <w:spacing w:after="0"/>
              <w:rPr>
                <w:sz w:val="20"/>
                <w:szCs w:val="20"/>
                <w:color w:val="auto"/>
              </w:rPr>
            </w:pPr>
            <w:r>
              <w:rPr>
                <w:rFonts w:ascii="Arial" w:cs="Arial" w:eastAsia="Arial" w:hAnsi="Arial"/>
                <w:sz w:val="16"/>
                <w:szCs w:val="16"/>
                <w:color w:val="auto"/>
              </w:rPr>
              <w:t>INS</w:t>
            </w: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Instance Document.</w:t>
            </w:r>
          </w:p>
        </w:tc>
        <w:tc>
          <w:tcPr>
            <w:tcW w:w="4140" w:type="dxa"/>
            <w:vAlign w:val="bottom"/>
          </w:tcPr>
          <w:p>
            <w:pPr>
              <w:ind w:left="2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661"/>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760" w:type="dxa"/>
            <w:vAlign w:val="bottom"/>
          </w:tcPr>
          <w:p>
            <w:pPr>
              <w:ind w:left="20"/>
              <w:spacing w:after="0"/>
              <w:rPr>
                <w:sz w:val="20"/>
                <w:szCs w:val="20"/>
                <w:color w:val="auto"/>
              </w:rPr>
            </w:pPr>
            <w:r>
              <w:rPr>
                <w:rFonts w:ascii="Arial" w:cs="Arial" w:eastAsia="Arial" w:hAnsi="Arial"/>
                <w:sz w:val="16"/>
                <w:szCs w:val="16"/>
                <w:color w:val="auto"/>
              </w:rPr>
              <w:t>SCH</w:t>
            </w: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w:t>
            </w:r>
          </w:p>
        </w:tc>
        <w:tc>
          <w:tcPr>
            <w:tcW w:w="4140" w:type="dxa"/>
            <w:vAlign w:val="bottom"/>
          </w:tcPr>
          <w:p>
            <w:pPr>
              <w:ind w:left="2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760" w:type="dxa"/>
            <w:vAlign w:val="bottom"/>
          </w:tcPr>
          <w:p>
            <w:pPr>
              <w:ind w:left="20"/>
              <w:spacing w:after="0"/>
              <w:rPr>
                <w:sz w:val="20"/>
                <w:szCs w:val="20"/>
                <w:color w:val="auto"/>
              </w:rPr>
            </w:pPr>
            <w:r>
              <w:rPr>
                <w:rFonts w:ascii="Arial" w:cs="Arial" w:eastAsia="Arial" w:hAnsi="Arial"/>
                <w:sz w:val="16"/>
                <w:szCs w:val="16"/>
                <w:color w:val="auto"/>
              </w:rPr>
              <w:t>CAL</w:t>
            </w: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w:t>
            </w:r>
          </w:p>
        </w:tc>
        <w:tc>
          <w:tcPr>
            <w:tcW w:w="4140" w:type="dxa"/>
            <w:vAlign w:val="bottom"/>
          </w:tcPr>
          <w:p>
            <w:pPr>
              <w:ind w:left="2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760" w:type="dxa"/>
            <w:vAlign w:val="bottom"/>
          </w:tcPr>
          <w:p>
            <w:pPr>
              <w:ind w:left="20"/>
              <w:spacing w:after="0"/>
              <w:rPr>
                <w:sz w:val="20"/>
                <w:szCs w:val="20"/>
                <w:color w:val="auto"/>
              </w:rPr>
            </w:pPr>
            <w:r>
              <w:rPr>
                <w:rFonts w:ascii="Arial" w:cs="Arial" w:eastAsia="Arial" w:hAnsi="Arial"/>
                <w:sz w:val="16"/>
                <w:szCs w:val="16"/>
                <w:color w:val="auto"/>
              </w:rPr>
              <w:t>DEF</w:t>
            </w: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w:t>
            </w:r>
          </w:p>
        </w:tc>
        <w:tc>
          <w:tcPr>
            <w:tcW w:w="4140" w:type="dxa"/>
            <w:vAlign w:val="bottom"/>
          </w:tcPr>
          <w:p>
            <w:pPr>
              <w:ind w:left="2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760" w:type="dxa"/>
            <w:vAlign w:val="bottom"/>
          </w:tcPr>
          <w:p>
            <w:pPr>
              <w:ind w:left="20"/>
              <w:spacing w:after="0"/>
              <w:rPr>
                <w:sz w:val="20"/>
                <w:szCs w:val="20"/>
                <w:color w:val="auto"/>
              </w:rPr>
            </w:pPr>
            <w:r>
              <w:rPr>
                <w:rFonts w:ascii="Arial" w:cs="Arial" w:eastAsia="Arial" w:hAnsi="Arial"/>
                <w:sz w:val="16"/>
                <w:szCs w:val="16"/>
                <w:color w:val="auto"/>
              </w:rPr>
              <w:t>LAB</w:t>
            </w: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Label Linkbase.</w:t>
            </w:r>
          </w:p>
        </w:tc>
        <w:tc>
          <w:tcPr>
            <w:tcW w:w="4140" w:type="dxa"/>
            <w:vAlign w:val="bottom"/>
          </w:tcPr>
          <w:p>
            <w:pPr>
              <w:ind w:left="2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760" w:type="dxa"/>
            <w:vAlign w:val="bottom"/>
          </w:tcPr>
          <w:p>
            <w:pPr>
              <w:ind w:left="20"/>
              <w:spacing w:after="0"/>
              <w:rPr>
                <w:sz w:val="20"/>
                <w:szCs w:val="20"/>
                <w:color w:val="auto"/>
              </w:rPr>
            </w:pPr>
            <w:r>
              <w:rPr>
                <w:rFonts w:ascii="Arial" w:cs="Arial" w:eastAsia="Arial" w:hAnsi="Arial"/>
                <w:sz w:val="16"/>
                <w:szCs w:val="16"/>
                <w:color w:val="auto"/>
              </w:rPr>
              <w:t>PRE</w:t>
            </w: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4140" w:type="dxa"/>
            <w:vAlign w:val="bottom"/>
          </w:tcPr>
          <w:p>
            <w:pPr>
              <w:ind w:left="2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025" w:right="4420" w:hanging="1025"/>
        <w:spacing w:after="0" w:line="278" w:lineRule="auto"/>
        <w:tabs>
          <w:tab w:leader="none" w:pos="1025" w:val="left"/>
        </w:tabs>
        <w:numPr>
          <w:ilvl w:val="0"/>
          <w:numId w:val="4"/>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date file does not appear in Exhibit 104 because its Inline XBRL tags are embedded within the Inline XBRL document)</w:t>
      </w:r>
    </w:p>
    <w:p>
      <w:pPr>
        <w:spacing w:after="0" w:line="200" w:lineRule="exact"/>
        <w:rPr>
          <w:sz w:val="20"/>
          <w:szCs w:val="20"/>
          <w:color w:val="auto"/>
        </w:rPr>
      </w:pPr>
    </w:p>
    <w:p>
      <w:pPr>
        <w:spacing w:after="0" w:line="389" w:lineRule="exact"/>
        <w:rPr>
          <w:sz w:val="20"/>
          <w:szCs w:val="20"/>
          <w:color w:val="auto"/>
        </w:rPr>
      </w:pPr>
    </w:p>
    <w:p>
      <w:pPr>
        <w:ind w:left="565" w:hanging="565"/>
        <w:spacing w:after="0"/>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Indicates exhibits that constitute compensatory plans or arrangements.</w:t>
      </w:r>
    </w:p>
    <w:p>
      <w:pPr>
        <w:spacing w:after="0" w:line="86" w:lineRule="exact"/>
        <w:rPr>
          <w:sz w:val="20"/>
          <w:szCs w:val="20"/>
          <w:color w:val="auto"/>
        </w:rPr>
      </w:pPr>
    </w:p>
    <w:p>
      <w:pPr>
        <w:ind w:left="565" w:right="1960" w:hanging="565"/>
        <w:spacing w:after="0" w:line="293" w:lineRule="auto"/>
        <w:tabs>
          <w:tab w:leader="none" w:pos="5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filing excludes schedules pursuant to Item 601(b)(2) of Regulation S-K, which the registrant agrees to furnish supplementary to the Securities and Exchange Commission upon request by the Commission.</w:t>
      </w:r>
    </w:p>
    <w:p>
      <w:pPr>
        <w:spacing w:after="0" w:line="10" w:lineRule="exact"/>
        <w:rPr>
          <w:sz w:val="20"/>
          <w:szCs w:val="20"/>
          <w:color w:val="auto"/>
        </w:rPr>
      </w:pPr>
    </w:p>
    <w:p>
      <w:pPr>
        <w:ind w:left="565" w:right="1960" w:hanging="565"/>
        <w:spacing w:after="0" w:line="328" w:lineRule="auto"/>
        <w:tabs>
          <w:tab w:leader="none" w:pos="565" w:val="left"/>
        </w:tabs>
        <w:numPr>
          <w:ilvl w:val="0"/>
          <w:numId w:val="7"/>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190" w:lineRule="exact"/>
        <w:rPr>
          <w:sz w:val="20"/>
          <w:szCs w:val="20"/>
          <w:color w:val="auto"/>
        </w:rPr>
      </w:pPr>
    </w:p>
    <w:p>
      <w:pPr>
        <w:ind w:left="565" w:right="1960" w:hanging="565"/>
        <w:spacing w:after="0" w:line="328" w:lineRule="auto"/>
        <w:tabs>
          <w:tab w:leader="none" w:pos="565" w:val="left"/>
        </w:tabs>
        <w:numPr>
          <w:ilvl w:val="0"/>
          <w:numId w:val="8"/>
        </w:numPr>
        <w:rPr>
          <w:rFonts w:ascii="Arial" w:cs="Arial" w:eastAsia="Arial" w:hAnsi="Arial"/>
          <w:sz w:val="15"/>
          <w:szCs w:val="15"/>
          <w:color w:val="auto"/>
        </w:rPr>
      </w:pPr>
      <w:r>
        <w:rPr>
          <w:rFonts w:ascii="Arial" w:cs="Arial" w:eastAsia="Arial" w:hAnsi="Arial"/>
          <w:sz w:val="15"/>
          <w:szCs w:val="15"/>
          <w:color w:val="auto"/>
        </w:rPr>
        <w:t>Information in this exhibit identified by the mark “[***]” is confidential and has been excluded pursuant to Item 601(b)(10)(iv) of Regulation S-K because it (i) is not material and (ii) would likely cause competitive harm to the Registrant if disclosed.</w:t>
      </w:r>
    </w:p>
    <w:p>
      <w:pPr>
        <w:sectPr>
          <w:pgSz w:w="11900" w:h="16838" w:orient="portrait"/>
          <w:cols w:equalWidth="0" w:num="1">
            <w:col w:w="11125"/>
          </w:cols>
          <w:pgMar w:left="355" w:top="724" w:right="419" w:bottom="0" w:gutter="0" w:footer="0" w:header="0"/>
          <w:type w:val="continuous"/>
        </w:sectPr>
      </w:pPr>
    </w:p>
    <w:p>
      <w:pPr>
        <w:spacing w:after="0" w:line="388" w:lineRule="exact"/>
        <w:rPr>
          <w:sz w:val="20"/>
          <w:szCs w:val="20"/>
          <w:color w:val="auto"/>
        </w:rPr>
      </w:pPr>
    </w:p>
    <w:p>
      <w:pPr>
        <w:jc w:val="center"/>
        <w:ind w:right="-64"/>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5"/>
          </w:cols>
          <w:pgMar w:left="355" w:top="724" w:right="419" w:bottom="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212529"/>
        </w:rPr>
        <w:t>Pursuant to the requirements of Section 13 or 15(d) of the Securities Exchange Act of 1934, the registrant has duly caused this report to be signed on its behalf by the undersigned thereunto duly authorized.</w:t>
      </w:r>
    </w:p>
    <w:p>
      <w:pPr>
        <w:spacing w:after="0" w:line="29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34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065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30, 2020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553" w:right="35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Numbers 333-206061 and 333-190071 on Form S-8, and Numbers 333-224684, 333-212096, 333-205140, 333-204589 on Form S-3 of Clearway Energy, Inc. of our report dated March 30, 2020, with respect to the consolidated balance sheets of DGPV HoldCo 3 LLC, as of December 31, 2019 and 2018, and the related consolidated statements of operations, members’ equity (deficit), and cash flows for the years then ended, and the related notes (collectively, the "financial statements"), which report appears in the Form 10-K/A of Clearway Energy, Inc. dated March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report dated March 30, 2020 refers to changes in accounting principle, the Company’s adoption of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(signed)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ectPr>
          <w:pgSz w:w="11900" w:h="16838" w:orient="portrait"/>
          <w:cols w:equalWidth="0" w:num="1">
            <w:col w:w="11240"/>
          </w:cols>
          <w:pgMar w:left="320" w:top="553" w:right="339" w:bottom="1440" w:gutter="0" w:footer="0" w:header="0"/>
        </w:sectPr>
      </w:pPr>
    </w:p>
    <w:bookmarkStart w:id="14" w:name="page15"/>
    <w:bookmarkEnd w:id="14"/>
    <w:p>
      <w:pPr>
        <w:ind w:left="1012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31750</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ectPr>
          <w:pgSz w:w="11900" w:h="16838" w:orient="portrait"/>
          <w:cols w:equalWidth="0" w:num="1">
            <w:col w:w="11240"/>
          </w:cols>
          <w:pgMar w:left="320" w:top="634" w:right="339" w:bottom="1440" w:gutter="0" w:footer="0" w:header="0"/>
        </w:sectPr>
      </w:pPr>
    </w:p>
    <w:bookmarkStart w:id="15" w:name="page16"/>
    <w:bookmarkEnd w:id="15"/>
    <w:p>
      <w:pPr>
        <w:ind w:left="1012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31750</wp:posOffset>
            </wp:positionV>
            <wp:extent cx="1619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5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ectPr>
          <w:pgSz w:w="11900" w:h="16838" w:orient="portrait"/>
          <w:cols w:equalWidth="0" w:num="1">
            <w:col w:w="11240"/>
          </w:cols>
          <w:pgMar w:left="320" w:top="634" w:right="339" w:bottom="1440" w:gutter="0" w:footer="0" w:header="0"/>
        </w:sectPr>
      </w:pPr>
    </w:p>
    <w:bookmarkStart w:id="16" w:name="page17"/>
    <w:bookmarkEnd w:id="16"/>
    <w:p>
      <w:pPr>
        <w:ind w:left="10120"/>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31750</wp:posOffset>
            </wp:positionV>
            <wp:extent cx="1817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Mary-Lee Stillwell</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ectPr>
          <w:pgSz w:w="11900" w:h="16838" w:orient="portrait"/>
          <w:cols w:equalWidth="0" w:num="1">
            <w:col w:w="11240"/>
          </w:cols>
          <w:pgMar w:left="320" w:top="553"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Annual Report of Clearway Energy LLC on Form 10-K/A for the year ended December 31, 2019, as filed with the Securities and Exchange Commission on the date hereof (the “Form 10-K/A”),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Form 10-K/A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Form 10-K/A fairly presents, in all material respects, the financial condition and results of operations of the Company as of the dates and for the periods expressed in the Form 10-K/A.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00" w:lineRule="exact"/>
        <w:rPr>
          <w:sz w:val="20"/>
          <w:szCs w:val="20"/>
          <w:color w:val="auto"/>
        </w:rPr>
      </w:pPr>
    </w:p>
    <w:p>
      <w:pPr>
        <w:spacing w:after="0" w:line="24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2425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2425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Mary-Lee Stillwell</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10-K/A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p>
      <w:pPr>
        <w:sectPr>
          <w:pgSz w:w="11900" w:h="16838" w:orient="portrait"/>
          <w:cols w:equalWidth="0" w:num="1">
            <w:col w:w="11240"/>
          </w:cols>
          <w:pgMar w:left="320" w:top="553" w:right="339" w:bottom="1440" w:gutter="0" w:footer="0" w:header="0"/>
        </w:sectPr>
      </w:pPr>
    </w:p>
    <w:bookmarkStart w:id="18" w:name="page19"/>
    <w:bookmarkEnd w:id="18"/>
    <w:p>
      <w:pPr>
        <w:ind w:left="6660"/>
        <w:spacing w:after="0"/>
        <w:rPr>
          <w:sz w:val="20"/>
          <w:szCs w:val="20"/>
          <w:color w:val="auto"/>
        </w:rPr>
      </w:pPr>
      <w:r>
        <w:rPr>
          <w:rFonts w:ascii="Arial" w:cs="Arial" w:eastAsia="Arial" w:hAnsi="Arial"/>
          <w:sz w:val="18"/>
          <w:szCs w:val="18"/>
          <w:color w:val="auto"/>
        </w:rPr>
        <w:t>Exhibit 99.1</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DGPV HOLDCO 3 LLC AND SUBSIDIARIES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256"/>
        </w:trPr>
        <w:tc>
          <w:tcPr>
            <w:tcW w:w="8100" w:type="dxa"/>
            <w:vAlign w:val="bottom"/>
          </w:tcPr>
          <w:p>
            <w:pPr>
              <w:spacing w:after="0"/>
              <w:rPr>
                <w:sz w:val="22"/>
                <w:szCs w:val="22"/>
                <w:color w:val="auto"/>
              </w:rPr>
            </w:pPr>
          </w:p>
        </w:tc>
        <w:tc>
          <w:tcPr>
            <w:tcW w:w="520" w:type="dxa"/>
            <w:vAlign w:val="bottom"/>
          </w:tcPr>
          <w:p>
            <w:pPr>
              <w:jc w:val="center"/>
              <w:ind w:left="21"/>
              <w:spacing w:after="0"/>
              <w:rPr>
                <w:sz w:val="20"/>
                <w:szCs w:val="20"/>
                <w:color w:val="auto"/>
              </w:rPr>
            </w:pPr>
            <w:r>
              <w:rPr>
                <w:rFonts w:ascii="Arial" w:cs="Arial" w:eastAsia="Arial" w:hAnsi="Arial"/>
                <w:sz w:val="20"/>
                <w:szCs w:val="20"/>
                <w:b w:val="1"/>
                <w:bCs w:val="1"/>
                <w:color w:val="auto"/>
                <w:w w:val="83"/>
              </w:rPr>
              <w:t>Page</w:t>
            </w:r>
          </w:p>
        </w:tc>
        <w:tc>
          <w:tcPr>
            <w:tcW w:w="0" w:type="dxa"/>
            <w:vAlign w:val="bottom"/>
          </w:tcPr>
          <w:p>
            <w:pPr>
              <w:spacing w:after="0"/>
              <w:rPr>
                <w:sz w:val="1"/>
                <w:szCs w:val="1"/>
                <w:color w:val="auto"/>
              </w:rPr>
            </w:pPr>
          </w:p>
        </w:tc>
      </w:tr>
      <w:tr>
        <w:trPr>
          <w:trHeight w:val="283"/>
        </w:trPr>
        <w:tc>
          <w:tcPr>
            <w:tcW w:w="8100" w:type="dxa"/>
            <w:vAlign w:val="bottom"/>
          </w:tcPr>
          <w:p>
            <w:pPr>
              <w:ind w:left="20"/>
              <w:spacing w:after="0"/>
              <w:rPr>
                <w:sz w:val="20"/>
                <w:szCs w:val="20"/>
                <w:color w:val="auto"/>
              </w:rPr>
            </w:pPr>
            <w:r>
              <w:rPr>
                <w:rFonts w:ascii="Arial" w:cs="Arial" w:eastAsia="Arial" w:hAnsi="Arial"/>
                <w:sz w:val="20"/>
                <w:szCs w:val="20"/>
                <w:color w:val="auto"/>
              </w:rPr>
              <w:t>Independent Auditors' Report</w:t>
            </w:r>
          </w:p>
        </w:tc>
        <w:tc>
          <w:tcPr>
            <w:tcW w:w="520" w:type="dxa"/>
            <w:vAlign w:val="bottom"/>
          </w:tcPr>
          <w:p>
            <w:pPr>
              <w:jc w:val="center"/>
              <w:ind w:left="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84"/>
        </w:trPr>
        <w:tc>
          <w:tcPr>
            <w:tcW w:w="8100" w:type="dxa"/>
            <w:vAlign w:val="bottom"/>
          </w:tcPr>
          <w:p>
            <w:pPr>
              <w:spacing w:after="0"/>
              <w:rPr>
                <w:sz w:val="20"/>
                <w:szCs w:val="20"/>
                <w:color w:val="auto"/>
              </w:rPr>
            </w:pPr>
            <w:r>
              <w:rPr>
                <w:rFonts w:ascii="Arial" w:cs="Arial" w:eastAsia="Arial" w:hAnsi="Arial"/>
                <w:sz w:val="20"/>
                <w:szCs w:val="20"/>
                <w:color w:val="auto"/>
              </w:rPr>
              <w:t>Consolidated Balance Sheets — December 31, 2019 and 2018</w:t>
            </w:r>
          </w:p>
        </w:tc>
        <w:tc>
          <w:tcPr>
            <w:tcW w:w="520" w:type="dxa"/>
            <w:vAlign w:val="bottom"/>
            <w:vMerge w:val="restart"/>
          </w:tcPr>
          <w:p>
            <w:pPr>
              <w:jc w:val="center"/>
              <w:ind w:left="1"/>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r>
        <w:trPr>
          <w:trHeight w:val="175"/>
        </w:trPr>
        <w:tc>
          <w:tcPr>
            <w:tcW w:w="8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8100" w:type="dxa"/>
            <w:vAlign w:val="bottom"/>
          </w:tcPr>
          <w:p>
            <w:pPr>
              <w:ind w:left="20"/>
              <w:spacing w:after="0"/>
              <w:rPr>
                <w:sz w:val="20"/>
                <w:szCs w:val="20"/>
                <w:color w:val="auto"/>
              </w:rPr>
            </w:pPr>
            <w:r>
              <w:rPr>
                <w:rFonts w:ascii="Arial" w:cs="Arial" w:eastAsia="Arial" w:hAnsi="Arial"/>
                <w:sz w:val="20"/>
                <w:szCs w:val="20"/>
                <w:color w:val="auto"/>
              </w:rPr>
              <w:t>Consolidated Statements of Operations — Years ended December 31, 2019 and 2018</w:t>
            </w:r>
          </w:p>
        </w:tc>
        <w:tc>
          <w:tcPr>
            <w:tcW w:w="520" w:type="dxa"/>
            <w:vAlign w:val="bottom"/>
          </w:tcPr>
          <w:p>
            <w:pPr>
              <w:jc w:val="center"/>
              <w:ind w:left="1"/>
              <w:spacing w:after="0"/>
              <w:rPr>
                <w:sz w:val="20"/>
                <w:szCs w:val="20"/>
                <w:color w:val="auto"/>
              </w:rPr>
            </w:pPr>
            <w:r>
              <w:rPr>
                <w:rFonts w:ascii="Arial" w:cs="Arial" w:eastAsia="Arial" w:hAnsi="Arial"/>
                <w:sz w:val="20"/>
                <w:szCs w:val="20"/>
                <w:color w:val="auto"/>
                <w:w w:val="89"/>
              </w:rPr>
              <w:t>3</w:t>
            </w:r>
          </w:p>
        </w:tc>
        <w:tc>
          <w:tcPr>
            <w:tcW w:w="0" w:type="dxa"/>
            <w:vAlign w:val="bottom"/>
          </w:tcPr>
          <w:p>
            <w:pPr>
              <w:spacing w:after="0"/>
              <w:rPr>
                <w:sz w:val="1"/>
                <w:szCs w:val="1"/>
                <w:color w:val="auto"/>
              </w:rPr>
            </w:pPr>
          </w:p>
        </w:tc>
      </w:tr>
      <w:tr>
        <w:trPr>
          <w:trHeight w:val="283"/>
        </w:trPr>
        <w:tc>
          <w:tcPr>
            <w:tcW w:w="8100" w:type="dxa"/>
            <w:vAlign w:val="bottom"/>
          </w:tcPr>
          <w:p>
            <w:pPr>
              <w:ind w:left="20"/>
              <w:spacing w:after="0"/>
              <w:rPr>
                <w:sz w:val="20"/>
                <w:szCs w:val="20"/>
                <w:color w:val="auto"/>
              </w:rPr>
            </w:pPr>
            <w:r>
              <w:rPr>
                <w:rFonts w:ascii="Arial" w:cs="Arial" w:eastAsia="Arial" w:hAnsi="Arial"/>
                <w:sz w:val="20"/>
                <w:szCs w:val="20"/>
                <w:color w:val="auto"/>
                <w:w w:val="90"/>
              </w:rPr>
              <w:t>Consolidated Statements of Member's Equity (Deficit) — Years ended December 31, 2019 and 2018</w:t>
            </w:r>
          </w:p>
        </w:tc>
        <w:tc>
          <w:tcPr>
            <w:tcW w:w="520" w:type="dxa"/>
            <w:vAlign w:val="bottom"/>
          </w:tcPr>
          <w:p>
            <w:pPr>
              <w:jc w:val="center"/>
              <w:ind w:left="1"/>
              <w:spacing w:after="0"/>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84"/>
        </w:trPr>
        <w:tc>
          <w:tcPr>
            <w:tcW w:w="8100" w:type="dxa"/>
            <w:vAlign w:val="bottom"/>
          </w:tcPr>
          <w:p>
            <w:pPr>
              <w:ind w:left="20"/>
              <w:spacing w:after="0"/>
              <w:rPr>
                <w:sz w:val="20"/>
                <w:szCs w:val="20"/>
                <w:color w:val="auto"/>
              </w:rPr>
            </w:pPr>
            <w:r>
              <w:rPr>
                <w:rFonts w:ascii="Arial" w:cs="Arial" w:eastAsia="Arial" w:hAnsi="Arial"/>
                <w:sz w:val="20"/>
                <w:szCs w:val="20"/>
                <w:color w:val="auto"/>
              </w:rPr>
              <w:t>Consolidated Statements of Cash Flows — Years ended December 31, 2019 and 2018</w:t>
            </w:r>
          </w:p>
        </w:tc>
        <w:tc>
          <w:tcPr>
            <w:tcW w:w="520" w:type="dxa"/>
            <w:vAlign w:val="bottom"/>
          </w:tcPr>
          <w:p>
            <w:pPr>
              <w:jc w:val="center"/>
              <w:ind w:left="1"/>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83"/>
        </w:trPr>
        <w:tc>
          <w:tcPr>
            <w:tcW w:w="8100" w:type="dxa"/>
            <w:vAlign w:val="bottom"/>
          </w:tcPr>
          <w:p>
            <w:pPr>
              <w:ind w:left="20"/>
              <w:spacing w:after="0"/>
              <w:rPr>
                <w:sz w:val="20"/>
                <w:szCs w:val="20"/>
                <w:color w:val="auto"/>
              </w:rPr>
            </w:pPr>
            <w:r>
              <w:rPr>
                <w:rFonts w:ascii="Arial" w:cs="Arial" w:eastAsia="Arial" w:hAnsi="Arial"/>
                <w:sz w:val="20"/>
                <w:szCs w:val="20"/>
                <w:color w:val="auto"/>
              </w:rPr>
              <w:t>Notes to Consolidated Financial Statements</w:t>
            </w:r>
          </w:p>
        </w:tc>
        <w:tc>
          <w:tcPr>
            <w:tcW w:w="520" w:type="dxa"/>
            <w:vAlign w:val="bottom"/>
            <w:vMerge w:val="restart"/>
          </w:tcPr>
          <w:p>
            <w:pPr>
              <w:jc w:val="center"/>
              <w:ind w:left="1"/>
              <w:spacing w:after="0"/>
              <w:rPr>
                <w:sz w:val="20"/>
                <w:szCs w:val="20"/>
                <w:color w:val="auto"/>
              </w:rPr>
            </w:pPr>
            <w:r>
              <w:rPr>
                <w:rFonts w:ascii="Arial" w:cs="Arial" w:eastAsia="Arial" w:hAnsi="Arial"/>
                <w:sz w:val="20"/>
                <w:szCs w:val="20"/>
                <w:color w:val="auto"/>
                <w:w w:val="89"/>
              </w:rPr>
              <w:t>6</w:t>
            </w:r>
          </w:p>
        </w:tc>
        <w:tc>
          <w:tcPr>
            <w:tcW w:w="0" w:type="dxa"/>
            <w:vAlign w:val="bottom"/>
          </w:tcPr>
          <w:p>
            <w:pPr>
              <w:spacing w:after="0"/>
              <w:rPr>
                <w:sz w:val="1"/>
                <w:szCs w:val="1"/>
                <w:color w:val="auto"/>
              </w:rPr>
            </w:pPr>
          </w:p>
        </w:tc>
      </w:tr>
      <w:tr>
        <w:trPr>
          <w:trHeight w:val="175"/>
        </w:trPr>
        <w:tc>
          <w:tcPr>
            <w:tcW w:w="8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9" w:name="page20"/>
    <w:bookmarkEnd w:id="19"/>
    <w:p>
      <w:pPr>
        <w:ind w:left="7780"/>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Report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Members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DGPV HoldCo 3 LLC:</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audited the accompanying consolidated financial statements of DGPV HoldCo 3 LLC and its subsidiaries, which comprise the consolidated balance sheets as of December 31, 2019 and 2018, and the related consolidated statements of operations, members’ equity (deficit), and cash flows for the years then ended, and the related notes to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Responsibility for the Financial Statements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is responsible for the preparation and fair presentation of these consolidated financial statements in accordance with U.S. generally accepted accounting principles; this includes the design, implementation, and maintenance of internal control relevant to the preparation and fair presentation of consolidated financial statements that are free from material misstatement, whether due to fraud or error.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Auditors’ Responsibility</w:t>
      </w:r>
    </w:p>
    <w:p>
      <w:pPr>
        <w:spacing w:after="0" w:line="9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DGPV HoldCo 3 LLC and its subsidiaries as of December 31, 2019 and 2018, and the results of their operations and their cash flows for the years then ended in accordance with U.S. generally accepted accounting principles.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2(h) to the consolidated financial statements, DGPV HoldCo 3 LLC changed its method of accounting for leases as of January 1, 2019, due to the adoption of Accounting Standards Update 2016-02, Leases (Topic 842) and related amendments. Our opinion is not modified with respect to this matter.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(signed)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20" w:name="page21"/>
    <w:bookmarkEnd w:id="20"/>
    <w:p>
      <w:pPr>
        <w:ind w:left="698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40" w:type="dxa"/>
            <w:vAlign w:val="bottom"/>
            <w:gridSpan w:val="2"/>
          </w:tcPr>
          <w:p>
            <w:pPr>
              <w:jc w:val="center"/>
              <w:ind w:left="2529"/>
              <w:spacing w:after="0"/>
              <w:rPr>
                <w:sz w:val="20"/>
                <w:szCs w:val="20"/>
                <w:color w:val="auto"/>
              </w:rPr>
            </w:pPr>
            <w:r>
              <w:rPr>
                <w:rFonts w:ascii="Arial" w:cs="Arial" w:eastAsia="Arial" w:hAnsi="Arial"/>
                <w:sz w:val="20"/>
                <w:szCs w:val="20"/>
                <w:b w:val="1"/>
                <w:bCs w:val="1"/>
                <w:color w:val="auto"/>
                <w:w w:val="98"/>
              </w:rPr>
              <w:t>DGPV HOLDCO 3 LLC AND SUBSIDIARIES</w:t>
            </w: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740" w:type="dxa"/>
            <w:vAlign w:val="bottom"/>
          </w:tcPr>
          <w:p>
            <w:pPr>
              <w:jc w:val="center"/>
              <w:ind w:left="2829"/>
              <w:spacing w:after="0"/>
              <w:rPr>
                <w:sz w:val="20"/>
                <w:szCs w:val="20"/>
                <w:color w:val="auto"/>
              </w:rPr>
            </w:pPr>
            <w:r>
              <w:rPr>
                <w:rFonts w:ascii="Arial" w:cs="Arial" w:eastAsia="Arial" w:hAnsi="Arial"/>
                <w:sz w:val="20"/>
                <w:szCs w:val="20"/>
                <w:color w:val="auto"/>
                <w:w w:val="87"/>
              </w:rPr>
              <w:t>Consolidated Balance Sheets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740" w:type="dxa"/>
            <w:vAlign w:val="bottom"/>
          </w:tcPr>
          <w:p>
            <w:pPr>
              <w:jc w:val="center"/>
              <w:ind w:left="2829"/>
              <w:spacing w:after="0"/>
              <w:rPr>
                <w:sz w:val="20"/>
                <w:szCs w:val="20"/>
                <w:color w:val="auto"/>
              </w:rPr>
            </w:pPr>
            <w:r>
              <w:rPr>
                <w:rFonts w:ascii="Arial" w:cs="Arial" w:eastAsia="Arial" w:hAnsi="Arial"/>
                <w:sz w:val="20"/>
                <w:szCs w:val="20"/>
                <w:color w:val="auto"/>
                <w:w w:val="88"/>
              </w:rPr>
              <w:t>December 31, 2019 and 2018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740" w:type="dxa"/>
            <w:vAlign w:val="bottom"/>
          </w:tcPr>
          <w:p>
            <w:pPr>
              <w:jc w:val="center"/>
              <w:ind w:left="2829"/>
              <w:spacing w:after="0"/>
              <w:rPr>
                <w:sz w:val="20"/>
                <w:szCs w:val="20"/>
                <w:color w:val="auto"/>
              </w:rPr>
            </w:pPr>
            <w:r>
              <w:rPr>
                <w:rFonts w:ascii="Arial" w:cs="Arial" w:eastAsia="Arial" w:hAnsi="Arial"/>
                <w:sz w:val="20"/>
                <w:szCs w:val="20"/>
                <w:color w:val="auto"/>
                <w:w w:val="89"/>
              </w:rPr>
              <w:t>(In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740" w:type="dxa"/>
            <w:vAlign w:val="bottom"/>
          </w:tcPr>
          <w:p>
            <w:pPr>
              <w:ind w:left="3040"/>
              <w:spacing w:after="0"/>
              <w:rPr>
                <w:sz w:val="20"/>
                <w:szCs w:val="20"/>
                <w:color w:val="auto"/>
              </w:rPr>
            </w:pPr>
            <w:r>
              <w:rPr>
                <w:rFonts w:ascii="Arial" w:cs="Arial" w:eastAsia="Arial" w:hAnsi="Arial"/>
                <w:sz w:val="20"/>
                <w:szCs w:val="20"/>
                <w:b w:val="1"/>
                <w:bCs w:val="1"/>
                <w:color w:val="auto"/>
              </w:rPr>
              <w:t>Assets</w:t>
            </w:r>
          </w:p>
        </w:tc>
        <w:tc>
          <w:tcPr>
            <w:tcW w:w="30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20"/>
                <w:szCs w:val="20"/>
                <w:b w:val="1"/>
                <w:bCs w:val="1"/>
                <w:color w:val="auto"/>
              </w:rPr>
              <w:t>2019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Arial" w:cs="Arial" w:eastAsia="Arial" w:hAnsi="Arial"/>
                <w:sz w:val="20"/>
                <w:szCs w:val="20"/>
                <w:b w:val="1"/>
                <w:bCs w:val="1"/>
                <w:color w:val="auto"/>
              </w:rPr>
              <w:t>2018</w:t>
            </w: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6,862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16,022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 – trade,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Accounts receivable – affiliate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Prepayments and other current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3,153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38,597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29,941</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332,176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247,759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 for power purchase agreement,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2,599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409,816</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280,926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Liabilities and Member's Equity</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Short-term debt – affiliate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1,598</w:t>
            </w:r>
          </w:p>
        </w:tc>
        <w:tc>
          <w:tcPr>
            <w:tcW w:w="2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40,996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27,050</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3,765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payable – affiliate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Accrued interest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Lease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6740" w:type="dxa"/>
            <w:vAlign w:val="bottom"/>
          </w:tcPr>
          <w:p>
            <w:pPr>
              <w:ind w:left="24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60,663</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169,612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133,277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Asset retirement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Long-term lease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34,703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8"/>
                <w:szCs w:val="18"/>
                <w:color w:val="auto"/>
              </w:rPr>
              <w:t>Total non-current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216,331</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136,633</w:t>
            </w:r>
          </w:p>
        </w:tc>
        <w:tc>
          <w:tcPr>
            <w:tcW w:w="0" w:type="dxa"/>
            <w:vAlign w:val="bottom"/>
          </w:tcPr>
          <w:p>
            <w:pPr>
              <w:spacing w:after="0"/>
              <w:rPr>
                <w:sz w:val="1"/>
                <w:szCs w:val="1"/>
                <w:color w:val="auto"/>
              </w:rPr>
            </w:pPr>
          </w:p>
        </w:tc>
      </w:tr>
      <w:tr>
        <w:trPr>
          <w:trHeight w:val="237"/>
        </w:trPr>
        <w:tc>
          <w:tcPr>
            <w:tcW w:w="6740" w:type="dxa"/>
            <w:vAlign w:val="bottom"/>
          </w:tcPr>
          <w:p>
            <w:pPr>
              <w:ind w:left="24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276,994</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186,778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132,498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96,094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36"/>
        </w:trPr>
        <w:tc>
          <w:tcPr>
            <w:tcW w:w="6740" w:type="dxa"/>
            <w:vAlign w:val="bottom"/>
          </w:tcPr>
          <w:p>
            <w:pPr>
              <w:ind w:left="2440"/>
              <w:spacing w:after="0"/>
              <w:rPr>
                <w:sz w:val="20"/>
                <w:szCs w:val="20"/>
                <w:color w:val="auto"/>
              </w:rPr>
            </w:pPr>
            <w:r>
              <w:rPr>
                <w:rFonts w:ascii="Arial" w:cs="Arial" w:eastAsia="Arial" w:hAnsi="Arial"/>
                <w:sz w:val="18"/>
                <w:szCs w:val="18"/>
                <w:color w:val="auto"/>
              </w:rPr>
              <w:t>Total equity</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133,559</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94,442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8"/>
                <w:szCs w:val="18"/>
                <w:color w:val="auto"/>
              </w:rPr>
              <w:t>Total liabilities and member's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409,816</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280,926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8"/>
                <w:szCs w:val="18"/>
                <w:color w:val="auto"/>
              </w:rPr>
              <w:t>See accompanying notes to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60"/>
          </w:cols>
          <w:pgMar w:left="1120" w:top="125" w:right="111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660"/>
          </w:cols>
          <w:pgMar w:left="1120" w:top="125" w:right="111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Exhibit 99.1</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2"/>
        </w:trPr>
        <w:tc>
          <w:tcPr>
            <w:tcW w:w="6820" w:type="dxa"/>
            <w:vAlign w:val="bottom"/>
            <w:gridSpan w:val="2"/>
          </w:tcPr>
          <w:p>
            <w:pPr>
              <w:jc w:val="center"/>
              <w:ind w:left="2588"/>
              <w:spacing w:after="0"/>
              <w:rPr>
                <w:sz w:val="20"/>
                <w:szCs w:val="20"/>
                <w:color w:val="auto"/>
              </w:rPr>
            </w:pPr>
            <w:r>
              <w:rPr>
                <w:rFonts w:ascii="Arial" w:cs="Arial" w:eastAsia="Arial" w:hAnsi="Arial"/>
                <w:sz w:val="20"/>
                <w:szCs w:val="20"/>
                <w:b w:val="1"/>
                <w:bCs w:val="1"/>
                <w:color w:val="auto"/>
                <w:w w:val="98"/>
              </w:rPr>
              <w:t>DGPV HOLDCO 3 LLC AND SUBSIDIARIES</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60" w:type="dxa"/>
            <w:vAlign w:val="bottom"/>
          </w:tcPr>
          <w:p>
            <w:pPr>
              <w:jc w:val="center"/>
              <w:ind w:left="3048"/>
              <w:spacing w:after="0"/>
              <w:rPr>
                <w:sz w:val="20"/>
                <w:szCs w:val="20"/>
                <w:color w:val="auto"/>
              </w:rPr>
            </w:pPr>
            <w:r>
              <w:rPr>
                <w:rFonts w:ascii="Arial" w:cs="Arial" w:eastAsia="Arial" w:hAnsi="Arial"/>
                <w:sz w:val="20"/>
                <w:szCs w:val="20"/>
                <w:color w:val="auto"/>
                <w:w w:val="88"/>
              </w:rPr>
              <w:t>Consolidated Statements of Operations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20" w:type="dxa"/>
            <w:vAlign w:val="bottom"/>
            <w:gridSpan w:val="2"/>
          </w:tcPr>
          <w:p>
            <w:pPr>
              <w:jc w:val="center"/>
              <w:ind w:left="2588"/>
              <w:spacing w:after="0"/>
              <w:rPr>
                <w:sz w:val="20"/>
                <w:szCs w:val="20"/>
                <w:color w:val="auto"/>
              </w:rPr>
            </w:pPr>
            <w:r>
              <w:rPr>
                <w:rFonts w:ascii="Arial" w:cs="Arial" w:eastAsia="Arial" w:hAnsi="Arial"/>
                <w:sz w:val="20"/>
                <w:szCs w:val="20"/>
                <w:color w:val="auto"/>
                <w:w w:val="87"/>
              </w:rPr>
              <w:t>Years ended December 31, 2019 and 2018</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360" w:type="dxa"/>
            <w:vAlign w:val="bottom"/>
          </w:tcPr>
          <w:p>
            <w:pPr>
              <w:jc w:val="center"/>
              <w:ind w:left="3048"/>
              <w:spacing w:after="0"/>
              <w:rPr>
                <w:sz w:val="20"/>
                <w:szCs w:val="20"/>
                <w:color w:val="auto"/>
              </w:rPr>
            </w:pPr>
            <w:r>
              <w:rPr>
                <w:rFonts w:ascii="Arial" w:cs="Arial" w:eastAsia="Arial" w:hAnsi="Arial"/>
                <w:sz w:val="20"/>
                <w:szCs w:val="20"/>
                <w:color w:val="auto"/>
                <w:w w:val="89"/>
              </w:rPr>
              <w:t>(In thousands)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429"/>
              <w:spacing w:after="0"/>
              <w:rPr>
                <w:sz w:val="20"/>
                <w:szCs w:val="20"/>
                <w:color w:val="auto"/>
              </w:rPr>
            </w:pPr>
            <w:r>
              <w:rPr>
                <w:rFonts w:ascii="Arial" w:cs="Arial" w:eastAsia="Arial" w:hAnsi="Arial"/>
                <w:sz w:val="20"/>
                <w:szCs w:val="20"/>
                <w:b w:val="1"/>
                <w:bCs w:val="1"/>
                <w:color w:val="auto"/>
                <w:w w:val="94"/>
              </w:rPr>
              <w:t>2019</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29"/>
              <w:spacing w:after="0"/>
              <w:rPr>
                <w:sz w:val="20"/>
                <w:szCs w:val="20"/>
                <w:color w:val="auto"/>
              </w:rPr>
            </w:pPr>
            <w:r>
              <w:rPr>
                <w:rFonts w:ascii="Arial" w:cs="Arial" w:eastAsia="Arial" w:hAnsi="Arial"/>
                <w:sz w:val="20"/>
                <w:szCs w:val="20"/>
                <w:b w:val="1"/>
                <w:bCs w:val="1"/>
                <w:color w:val="auto"/>
              </w:rPr>
              <w:t>2018</w:t>
            </w: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Arial" w:cs="Arial" w:eastAsia="Arial" w:hAnsi="Arial"/>
                <w:sz w:val="18"/>
                <w:szCs w:val="18"/>
                <w:color w:val="auto"/>
              </w:rPr>
              <w:t>Operating revenues:</w:t>
            </w: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Electric revenue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16,023</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Renewable energy certificates</w:t>
            </w:r>
          </w:p>
        </w:tc>
        <w:tc>
          <w:tcPr>
            <w:tcW w:w="460" w:type="dxa"/>
            <w:vAlign w:val="bottom"/>
          </w:tcPr>
          <w:p>
            <w:pPr>
              <w:spacing w:after="0"/>
              <w:rPr>
                <w:sz w:val="21"/>
                <w:szCs w:val="21"/>
                <w:color w:val="auto"/>
              </w:rPr>
            </w:pPr>
          </w:p>
        </w:tc>
        <w:tc>
          <w:tcPr>
            <w:tcW w:w="960" w:type="dxa"/>
            <w:vAlign w:val="bottom"/>
          </w:tcPr>
          <w:p>
            <w:pPr>
              <w:jc w:val="right"/>
              <w:ind w:right="9"/>
              <w:spacing w:after="0"/>
              <w:rPr>
                <w:sz w:val="20"/>
                <w:szCs w:val="20"/>
                <w:color w:val="auto"/>
              </w:rPr>
            </w:pPr>
            <w:r>
              <w:rPr>
                <w:rFonts w:ascii="Arial" w:cs="Arial" w:eastAsia="Arial" w:hAnsi="Arial"/>
                <w:sz w:val="18"/>
                <w:szCs w:val="18"/>
                <w:color w:val="auto"/>
              </w:rPr>
              <w:t>11,534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9,699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Government incentives</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500</w:t>
            </w: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6360" w:type="dxa"/>
            <w:vAlign w:val="bottom"/>
          </w:tcPr>
          <w:p>
            <w:pPr>
              <w:ind w:left="1220"/>
              <w:spacing w:after="0"/>
              <w:rPr>
                <w:sz w:val="20"/>
                <w:szCs w:val="20"/>
                <w:color w:val="auto"/>
              </w:rPr>
            </w:pPr>
            <w:r>
              <w:rPr>
                <w:rFonts w:ascii="Arial" w:cs="Arial" w:eastAsia="Arial" w:hAnsi="Arial"/>
                <w:sz w:val="18"/>
                <w:szCs w:val="18"/>
                <w:color w:val="auto"/>
              </w:rPr>
              <w:t>Total operating revenues</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28,057</w:t>
            </w:r>
          </w:p>
        </w:tc>
        <w:tc>
          <w:tcPr>
            <w:tcW w:w="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17,199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Cost of operations</w:t>
            </w:r>
          </w:p>
        </w:tc>
        <w:tc>
          <w:tcPr>
            <w:tcW w:w="460" w:type="dxa"/>
            <w:vAlign w:val="bottom"/>
          </w:tcPr>
          <w:p>
            <w:pPr>
              <w:spacing w:after="0"/>
              <w:rPr>
                <w:sz w:val="21"/>
                <w:szCs w:val="21"/>
                <w:color w:val="auto"/>
              </w:rPr>
            </w:pPr>
          </w:p>
        </w:tc>
        <w:tc>
          <w:tcPr>
            <w:tcW w:w="960" w:type="dxa"/>
            <w:vAlign w:val="bottom"/>
          </w:tcPr>
          <w:p>
            <w:pPr>
              <w:jc w:val="right"/>
              <w:ind w:right="9"/>
              <w:spacing w:after="0"/>
              <w:rPr>
                <w:sz w:val="20"/>
                <w:szCs w:val="20"/>
                <w:color w:val="auto"/>
              </w:rPr>
            </w:pPr>
            <w:r>
              <w:rPr>
                <w:rFonts w:ascii="Arial" w:cs="Arial" w:eastAsia="Arial" w:hAnsi="Arial"/>
                <w:sz w:val="18"/>
                <w:szCs w:val="18"/>
                <w:color w:val="auto"/>
              </w:rPr>
              <w:t>4,335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Cost of operations – affiliate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2,073</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Depreciation and accretion</w:t>
            </w:r>
          </w:p>
        </w:tc>
        <w:tc>
          <w:tcPr>
            <w:tcW w:w="460" w:type="dxa"/>
            <w:vAlign w:val="bottom"/>
          </w:tcPr>
          <w:p>
            <w:pPr>
              <w:spacing w:after="0"/>
              <w:rPr>
                <w:sz w:val="21"/>
                <w:szCs w:val="21"/>
                <w:color w:val="auto"/>
              </w:rPr>
            </w:pPr>
          </w:p>
        </w:tc>
        <w:tc>
          <w:tcPr>
            <w:tcW w:w="960" w:type="dxa"/>
            <w:vAlign w:val="bottom"/>
          </w:tcPr>
          <w:p>
            <w:pPr>
              <w:jc w:val="right"/>
              <w:ind w:right="9"/>
              <w:spacing w:after="0"/>
              <w:rPr>
                <w:sz w:val="20"/>
                <w:szCs w:val="20"/>
                <w:color w:val="auto"/>
              </w:rPr>
            </w:pPr>
            <w:r>
              <w:rPr>
                <w:rFonts w:ascii="Arial" w:cs="Arial" w:eastAsia="Arial" w:hAnsi="Arial"/>
                <w:sz w:val="18"/>
                <w:szCs w:val="18"/>
                <w:color w:val="auto"/>
              </w:rPr>
              <w:t>8,891</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3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Total operating costs and expenses</w:t>
            </w: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15,299</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37"/>
        </w:trPr>
        <w:tc>
          <w:tcPr>
            <w:tcW w:w="6360" w:type="dxa"/>
            <w:vAlign w:val="bottom"/>
          </w:tcPr>
          <w:p>
            <w:pPr>
              <w:ind w:left="1220"/>
              <w:spacing w:after="0"/>
              <w:rPr>
                <w:sz w:val="20"/>
                <w:szCs w:val="20"/>
                <w:color w:val="auto"/>
              </w:rPr>
            </w:pPr>
            <w:r>
              <w:rPr>
                <w:rFonts w:ascii="Arial" w:cs="Arial" w:eastAsia="Arial" w:hAnsi="Arial"/>
                <w:sz w:val="18"/>
                <w:szCs w:val="18"/>
                <w:color w:val="auto"/>
              </w:rPr>
              <w:t>Operating income</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12,758</w:t>
            </w:r>
          </w:p>
        </w:tc>
        <w:tc>
          <w:tcPr>
            <w:tcW w:w="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21"/>
                <w:szCs w:val="21"/>
                <w:color w:val="auto"/>
              </w:rPr>
            </w:pPr>
          </w:p>
        </w:tc>
        <w:tc>
          <w:tcPr>
            <w:tcW w:w="960" w:type="dxa"/>
            <w:vAlign w:val="bottom"/>
          </w:tcPr>
          <w:p>
            <w:pPr>
              <w:jc w:val="right"/>
              <w:ind w:right="9"/>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37"/>
        </w:trPr>
        <w:tc>
          <w:tcPr>
            <w:tcW w:w="6360" w:type="dxa"/>
            <w:vAlign w:val="bottom"/>
          </w:tcPr>
          <w:p>
            <w:pPr>
              <w:ind w:left="1220"/>
              <w:spacing w:after="0"/>
              <w:rPr>
                <w:sz w:val="20"/>
                <w:szCs w:val="20"/>
                <w:color w:val="auto"/>
              </w:rPr>
            </w:pPr>
            <w:r>
              <w:rPr>
                <w:rFonts w:ascii="Arial" w:cs="Arial" w:eastAsia="Arial" w:hAnsi="Arial"/>
                <w:sz w:val="18"/>
                <w:szCs w:val="18"/>
                <w:color w:val="auto"/>
              </w:rPr>
              <w:t>Total other expense</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(18,947)</w:t>
            </w:r>
          </w:p>
        </w:tc>
        <w:tc>
          <w:tcPr>
            <w:tcW w:w="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Net (loss) income before noncontrolling interest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43"/>
        </w:trPr>
        <w:tc>
          <w:tcPr>
            <w:tcW w:w="6360" w:type="dxa"/>
            <w:vAlign w:val="bottom"/>
          </w:tcPr>
          <w:p>
            <w:pPr>
              <w:ind w:left="1220"/>
              <w:spacing w:after="0"/>
              <w:rPr>
                <w:sz w:val="20"/>
                <w:szCs w:val="20"/>
                <w:color w:val="auto"/>
              </w:rPr>
            </w:pPr>
            <w:r>
              <w:rPr>
                <w:rFonts w:ascii="Arial" w:cs="Arial" w:eastAsia="Arial" w:hAnsi="Arial"/>
                <w:sz w:val="18"/>
                <w:szCs w:val="18"/>
                <w:color w:val="auto"/>
              </w:rPr>
              <w:t>Less: noncontrolling interest</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(53,058)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(54,498)</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Net income attributable to DGPV Holdco 3 LLC</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46,869</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57,327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Arial" w:cs="Arial" w:eastAsia="Arial" w:hAnsi="Arial"/>
                <w:sz w:val="20"/>
                <w:szCs w:val="20"/>
                <w:color w:val="auto"/>
              </w:rPr>
              <w:t>See accompanying notes to consolidated financial statements.</w:t>
            </w: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3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1"/>
        </w:trPr>
        <w:tc>
          <w:tcPr>
            <w:tcW w:w="6360" w:type="dxa"/>
            <w:vAlign w:val="bottom"/>
          </w:tcPr>
          <w:p>
            <w:pPr>
              <w:jc w:val="center"/>
              <w:ind w:left="3028"/>
              <w:spacing w:after="0"/>
              <w:rPr>
                <w:sz w:val="20"/>
                <w:szCs w:val="20"/>
                <w:color w:val="auto"/>
              </w:rPr>
            </w:pPr>
            <w:r>
              <w:rPr>
                <w:rFonts w:ascii="Arial" w:cs="Arial" w:eastAsia="Arial" w:hAnsi="Arial"/>
                <w:sz w:val="18"/>
                <w:szCs w:val="18"/>
                <w:color w:val="auto"/>
                <w:w w:val="79"/>
              </w:rPr>
              <w:t>3</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00"/>
          </w:cols>
          <w:pgMar w:left="1200" w:top="125" w:right="1199" w:bottom="1440" w:gutter="0" w:footer="0" w:header="0"/>
        </w:sectPr>
      </w:pPr>
    </w:p>
    <w:bookmarkStart w:id="22" w:name="page23"/>
    <w:bookmarkEnd w:id="22"/>
    <w:p>
      <w:pPr>
        <w:ind w:left="7780"/>
        <w:spacing w:after="0"/>
        <w:rPr>
          <w:sz w:val="20"/>
          <w:szCs w:val="20"/>
          <w:color w:val="auto"/>
        </w:rPr>
      </w:pPr>
      <w:r>
        <w:rPr>
          <w:rFonts w:ascii="Arial" w:cs="Arial" w:eastAsia="Arial" w:hAnsi="Arial"/>
          <w:sz w:val="18"/>
          <w:szCs w:val="18"/>
          <w:color w:val="auto"/>
        </w:rPr>
        <w:t>Exhibit 99.1</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DGPV HOLDCO 3 LLC AND SUBSIDIARIES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Members' Equity (Deficit)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Contributed</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Retained</w:t>
            </w:r>
          </w:p>
        </w:tc>
        <w:tc>
          <w:tcPr>
            <w:tcW w:w="160" w:type="dxa"/>
            <w:vAlign w:val="bottom"/>
          </w:tcPr>
          <w:p>
            <w:pPr>
              <w:spacing w:after="0"/>
              <w:rPr>
                <w:sz w:val="23"/>
                <w:szCs w:val="23"/>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Noncontrolling</w:t>
            </w:r>
          </w:p>
        </w:tc>
        <w:tc>
          <w:tcPr>
            <w:tcW w:w="160" w:type="dxa"/>
            <w:vAlign w:val="bottom"/>
          </w:tcPr>
          <w:p>
            <w:pPr>
              <w:spacing w:after="0"/>
              <w:rPr>
                <w:sz w:val="23"/>
                <w:szCs w:val="23"/>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member's</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earnings</w:t>
            </w:r>
          </w:p>
        </w:tc>
        <w:tc>
          <w:tcPr>
            <w:tcW w:w="160" w:type="dxa"/>
            <w:vAlign w:val="bottom"/>
          </w:tcPr>
          <w:p>
            <w:pPr>
              <w:spacing w:after="0"/>
              <w:rPr>
                <w:sz w:val="23"/>
                <w:szCs w:val="23"/>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interest</w:t>
            </w:r>
          </w:p>
        </w:tc>
        <w:tc>
          <w:tcPr>
            <w:tcW w:w="160" w:type="dxa"/>
            <w:vAlign w:val="bottom"/>
          </w:tcPr>
          <w:p>
            <w:pPr>
              <w:spacing w:after="0"/>
              <w:rPr>
                <w:sz w:val="23"/>
                <w:szCs w:val="23"/>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equity (deficit)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57,327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52,978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contributions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120,782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125,848</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Cash distributions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(79,970)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(82,339)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Clearway Renew, non-cash</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85,906</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94,442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46,869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Cash contributions</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123,619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56,774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180,393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distributions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(135,719)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(137,298)</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Contributions, net of distributions, non-cash</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1,635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132,775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133,559</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40"/>
              <w:spacing w:after="0"/>
              <w:rPr>
                <w:sz w:val="20"/>
                <w:szCs w:val="20"/>
                <w:color w:val="auto"/>
              </w:rPr>
            </w:pPr>
            <w:r>
              <w:rPr>
                <w:rFonts w:ascii="Arial" w:cs="Arial" w:eastAsia="Arial" w:hAnsi="Arial"/>
                <w:sz w:val="18"/>
                <w:szCs w:val="18"/>
                <w:color w:val="auto"/>
                <w:w w:val="94"/>
              </w:rPr>
              <w:t>See accompanying notes to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3"/>
          </w:tcPr>
          <w:p>
            <w:pPr>
              <w:ind w:left="360"/>
              <w:spacing w:after="0"/>
              <w:rPr>
                <w:sz w:val="20"/>
                <w:szCs w:val="20"/>
                <w:color w:val="auto"/>
              </w:rPr>
            </w:pPr>
            <w:r>
              <w:rPr>
                <w:rFonts w:ascii="Arial" w:cs="Arial" w:eastAsia="Arial" w:hAnsi="Arial"/>
                <w:sz w:val="18"/>
                <w:szCs w:val="18"/>
                <w:color w:val="auto"/>
              </w:rPr>
              <w:t>Exhibit 99.1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5"/>
        </w:trPr>
        <w:tc>
          <w:tcPr>
            <w:tcW w:w="6020" w:type="dxa"/>
            <w:vAlign w:val="bottom"/>
            <w:gridSpan w:val="3"/>
          </w:tcPr>
          <w:p>
            <w:pPr>
              <w:jc w:val="center"/>
              <w:ind w:left="2339"/>
              <w:spacing w:after="0"/>
              <w:rPr>
                <w:sz w:val="20"/>
                <w:szCs w:val="20"/>
                <w:color w:val="auto"/>
              </w:rPr>
            </w:pPr>
            <w:r>
              <w:rPr>
                <w:rFonts w:ascii="Arial" w:cs="Arial" w:eastAsia="Arial" w:hAnsi="Arial"/>
                <w:sz w:val="16"/>
                <w:szCs w:val="16"/>
                <w:b w:val="1"/>
                <w:bCs w:val="1"/>
                <w:color w:val="auto"/>
              </w:rPr>
              <w:t>DGPV HOLDCO 3 LLC AND SUBSIDIARIES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20" w:type="dxa"/>
            <w:vAlign w:val="bottom"/>
          </w:tcPr>
          <w:p>
            <w:pPr>
              <w:jc w:val="center"/>
              <w:ind w:left="2859"/>
              <w:spacing w:after="0"/>
              <w:rPr>
                <w:sz w:val="20"/>
                <w:szCs w:val="20"/>
                <w:color w:val="auto"/>
              </w:rPr>
            </w:pPr>
            <w:r>
              <w:rPr>
                <w:rFonts w:ascii="Arial" w:cs="Arial" w:eastAsia="Arial" w:hAnsi="Arial"/>
                <w:sz w:val="16"/>
                <w:szCs w:val="16"/>
                <w:color w:val="auto"/>
                <w:w w:val="90"/>
              </w:rPr>
              <w:t>Consolidated Statements of Cash Flows</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gridSpan w:val="3"/>
          </w:tcPr>
          <w:p>
            <w:pPr>
              <w:jc w:val="center"/>
              <w:ind w:left="2359"/>
              <w:spacing w:after="0"/>
              <w:rPr>
                <w:sz w:val="20"/>
                <w:szCs w:val="20"/>
                <w:color w:val="auto"/>
              </w:rPr>
            </w:pPr>
            <w:r>
              <w:rPr>
                <w:rFonts w:ascii="Arial" w:cs="Arial" w:eastAsia="Arial" w:hAnsi="Arial"/>
                <w:sz w:val="16"/>
                <w:szCs w:val="16"/>
                <w:color w:val="auto"/>
                <w:w w:val="89"/>
              </w:rPr>
              <w:t>Years ended December 31, 2019 and 2018</w:t>
            </w: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20" w:type="dxa"/>
            <w:vAlign w:val="bottom"/>
          </w:tcPr>
          <w:p>
            <w:pPr>
              <w:jc w:val="center"/>
              <w:ind w:left="2839"/>
              <w:spacing w:after="0"/>
              <w:rPr>
                <w:sz w:val="20"/>
                <w:szCs w:val="20"/>
                <w:color w:val="auto"/>
              </w:rPr>
            </w:pPr>
            <w:r>
              <w:rPr>
                <w:rFonts w:ascii="Arial" w:cs="Arial" w:eastAsia="Arial" w:hAnsi="Arial"/>
                <w:sz w:val="16"/>
                <w:szCs w:val="16"/>
                <w:color w:val="auto"/>
                <w:w w:val="89"/>
              </w:rPr>
              <w:t>(In thousands)</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520" w:type="dxa"/>
            <w:vAlign w:val="bottom"/>
            <w:vMerge w:val="restart"/>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Net (loss) income</w:t>
            </w: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(6,189)</w:t>
            </w:r>
          </w:p>
        </w:tc>
        <w:tc>
          <w:tcPr>
            <w:tcW w:w="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Adjustments to reconcile net income (loss) to net cash provided by</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400"/>
              <w:spacing w:after="0"/>
              <w:rPr>
                <w:sz w:val="20"/>
                <w:szCs w:val="20"/>
                <w:color w:val="auto"/>
              </w:rPr>
            </w:pPr>
            <w:r>
              <w:rPr>
                <w:rFonts w:ascii="Arial" w:cs="Arial" w:eastAsia="Arial" w:hAnsi="Arial"/>
                <w:sz w:val="16"/>
                <w:szCs w:val="16"/>
                <w:color w:val="auto"/>
              </w:rPr>
              <w:t>operating activities: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Depreciation and accretion</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8,891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5,234</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Right-of-use asset amortization</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900</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Provision for losses on accounts receivable</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Amortization of intangible asset</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Non-cash interest expense applied to long-term debt</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4,205</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Changes in derivative instruments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6,429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Cash provided (used) by changes in other working capital:</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Accounts receivable – trade</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(5,273)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(6,368)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Accounts receivable – affiliate</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Accounts payable – trade</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(9,766)</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Accounts payable – affiliate</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14,164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(9,204)</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Accrued interest expense</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166</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Deferred rent</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Borders>
              <w:bottom w:val="single" w:sz="8" w:color="BFE4FF"/>
            </w:tcBorders>
          </w:tcPr>
          <w:p>
            <w:pPr>
              <w:spacing w:after="0"/>
              <w:rPr>
                <w:sz w:val="2"/>
                <w:szCs w:val="2"/>
                <w:color w:val="auto"/>
              </w:rPr>
            </w:pPr>
          </w:p>
        </w:tc>
        <w:tc>
          <w:tcPr>
            <w:tcW w:w="16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BFE4FF"/>
            </w:tcBorders>
            <w:shd w:val="clear" w:color="auto" w:fill="BFE4FF"/>
          </w:tcPr>
          <w:p>
            <w:pPr>
              <w:ind w:left="1040"/>
              <w:spacing w:after="0"/>
              <w:rPr>
                <w:sz w:val="20"/>
                <w:szCs w:val="20"/>
                <w:color w:val="auto"/>
              </w:rPr>
            </w:pPr>
            <w:r>
              <w:rPr>
                <w:rFonts w:ascii="Arial" w:cs="Arial" w:eastAsia="Arial" w:hAnsi="Arial"/>
                <w:sz w:val="16"/>
                <w:szCs w:val="16"/>
                <w:color w:val="auto"/>
              </w:rPr>
              <w:t>Net cash provided (used) by operating activities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15,356</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(3,960)</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Capital expenditures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(91,909)</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(52,039)</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Acquisition of membership interests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(6,032)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(147,014)</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Receipt of insurance proceeds</w:t>
            </w:r>
          </w:p>
        </w:tc>
        <w:tc>
          <w:tcPr>
            <w:tcW w:w="16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520" w:type="dxa"/>
            <w:vAlign w:val="bottom"/>
          </w:tcPr>
          <w:p>
            <w:pPr>
              <w:ind w:left="1040"/>
              <w:spacing w:after="0"/>
              <w:rPr>
                <w:sz w:val="20"/>
                <w:szCs w:val="20"/>
                <w:color w:val="auto"/>
              </w:rPr>
            </w:pPr>
            <w:r>
              <w:rPr>
                <w:rFonts w:ascii="Arial" w:cs="Arial" w:eastAsia="Arial" w:hAnsi="Arial"/>
                <w:sz w:val="16"/>
                <w:szCs w:val="16"/>
                <w:color w:val="auto"/>
              </w:rPr>
              <w:t>Net cash used by investing activities</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(97,882)</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(199,053)</w:t>
            </w:r>
          </w:p>
        </w:tc>
        <w:tc>
          <w:tcPr>
            <w:tcW w:w="0" w:type="dxa"/>
            <w:vAlign w:val="bottom"/>
          </w:tcPr>
          <w:p>
            <w:pPr>
              <w:spacing w:after="0"/>
              <w:rPr>
                <w:sz w:val="1"/>
                <w:szCs w:val="1"/>
                <w:color w:val="auto"/>
              </w:rPr>
            </w:pPr>
          </w:p>
        </w:tc>
      </w:tr>
      <w:tr>
        <w:trPr>
          <w:trHeight w:val="33"/>
        </w:trPr>
        <w:tc>
          <w:tcPr>
            <w:tcW w:w="5520" w:type="dxa"/>
            <w:vAlign w:val="bottom"/>
            <w:tcBorders>
              <w:bottom w:val="single" w:sz="8" w:color="BFE4FF"/>
            </w:tcBorders>
          </w:tcPr>
          <w:p>
            <w:pPr>
              <w:spacing w:after="0"/>
              <w:rPr>
                <w:sz w:val="2"/>
                <w:szCs w:val="2"/>
                <w:color w:val="auto"/>
              </w:rPr>
            </w:pPr>
          </w:p>
        </w:tc>
        <w:tc>
          <w:tcPr>
            <w:tcW w:w="16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Proceeds from short-term debt – affiliate, net of payments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94,543</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132,289</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Payments for long-term debt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Payment of debt issuance costs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(611)</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(5,680)</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Contributions from noncontrolling interests, net of distributions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55,328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46,035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Contributions from member</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123,619</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125,674</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Distributions to member</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(135,719)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(79,970)</w:t>
            </w:r>
          </w:p>
        </w:tc>
        <w:tc>
          <w:tcPr>
            <w:tcW w:w="0" w:type="dxa"/>
            <w:vAlign w:val="bottom"/>
          </w:tcPr>
          <w:p>
            <w:pPr>
              <w:spacing w:after="0"/>
              <w:rPr>
                <w:sz w:val="1"/>
                <w:szCs w:val="1"/>
                <w:color w:val="auto"/>
              </w:rPr>
            </w:pPr>
          </w:p>
        </w:tc>
      </w:tr>
      <w:tr>
        <w:trPr>
          <w:trHeight w:val="33"/>
        </w:trPr>
        <w:tc>
          <w:tcPr>
            <w:tcW w:w="5520" w:type="dxa"/>
            <w:vAlign w:val="bottom"/>
            <w:tcBorders>
              <w:bottom w:val="single" w:sz="8" w:color="BFE4FF"/>
            </w:tcBorders>
          </w:tcPr>
          <w:p>
            <w:pPr>
              <w:spacing w:after="0"/>
              <w:rPr>
                <w:sz w:val="2"/>
                <w:szCs w:val="2"/>
                <w:color w:val="auto"/>
              </w:rPr>
            </w:pPr>
          </w:p>
        </w:tc>
        <w:tc>
          <w:tcPr>
            <w:tcW w:w="16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BFE4FF"/>
            </w:tcBorders>
            <w:shd w:val="clear" w:color="auto" w:fill="BFE4FF"/>
          </w:tcPr>
          <w:p>
            <w:pPr>
              <w:ind w:left="104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87,435</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218,848</w:t>
            </w:r>
          </w:p>
        </w:tc>
        <w:tc>
          <w:tcPr>
            <w:tcW w:w="0" w:type="dxa"/>
            <w:vAlign w:val="bottom"/>
          </w:tcPr>
          <w:p>
            <w:pPr>
              <w:spacing w:after="0"/>
              <w:rPr>
                <w:sz w:val="1"/>
                <w:szCs w:val="1"/>
                <w:color w:val="auto"/>
              </w:rPr>
            </w:pPr>
          </w:p>
        </w:tc>
      </w:tr>
      <w:tr>
        <w:trPr>
          <w:trHeight w:val="217"/>
        </w:trPr>
        <w:tc>
          <w:tcPr>
            <w:tcW w:w="5520" w:type="dxa"/>
            <w:vAlign w:val="bottom"/>
          </w:tcPr>
          <w:p>
            <w:pPr>
              <w:ind w:left="1040"/>
              <w:spacing w:after="0"/>
              <w:rPr>
                <w:sz w:val="20"/>
                <w:szCs w:val="20"/>
                <w:color w:val="auto"/>
              </w:rPr>
            </w:pPr>
            <w:r>
              <w:rPr>
                <w:rFonts w:ascii="Arial" w:cs="Arial" w:eastAsia="Arial" w:hAnsi="Arial"/>
                <w:sz w:val="16"/>
                <w:szCs w:val="16"/>
                <w:color w:val="auto"/>
              </w:rPr>
              <w:t>Net increase in cash and restricted cash</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4,909</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15,835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Cash and restricted cash at beginning of period</w:t>
            </w:r>
          </w:p>
        </w:tc>
        <w:tc>
          <w:tcPr>
            <w:tcW w:w="16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21,057</w:t>
            </w:r>
          </w:p>
        </w:tc>
        <w:tc>
          <w:tcPr>
            <w:tcW w:w="22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5,222</w:t>
            </w:r>
          </w:p>
        </w:tc>
        <w:tc>
          <w:tcPr>
            <w:tcW w:w="0" w:type="dxa"/>
            <w:vAlign w:val="bottom"/>
          </w:tcPr>
          <w:p>
            <w:pPr>
              <w:spacing w:after="0"/>
              <w:rPr>
                <w:sz w:val="1"/>
                <w:szCs w:val="1"/>
                <w:color w:val="auto"/>
              </w:rPr>
            </w:pPr>
          </w:p>
        </w:tc>
      </w:tr>
      <w:tr>
        <w:trPr>
          <w:trHeight w:val="283"/>
        </w:trPr>
        <w:tc>
          <w:tcPr>
            <w:tcW w:w="552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Cash and restricted cash at end of period</w:t>
            </w:r>
          </w:p>
        </w:tc>
        <w:tc>
          <w:tcPr>
            <w:tcW w:w="160" w:type="dxa"/>
            <w:vAlign w:val="bottom"/>
            <w:tcBorders>
              <w:bottom w:val="single" w:sz="8" w:color="BFE4FF"/>
            </w:tcBorders>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25,966</w:t>
            </w:r>
          </w:p>
        </w:tc>
        <w:tc>
          <w:tcPr>
            <w:tcW w:w="220" w:type="dxa"/>
            <w:vAlign w:val="bottom"/>
            <w:tcBorders>
              <w:bottom w:val="single" w:sz="8" w:color="BFE4FF"/>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21,057</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Supplemental disclosures:</w:t>
            </w:r>
          </w:p>
        </w:tc>
        <w:tc>
          <w:tcPr>
            <w:tcW w:w="16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spacing w:after="0"/>
              <w:rPr>
                <w:sz w:val="20"/>
                <w:szCs w:val="20"/>
                <w:color w:val="auto"/>
              </w:rPr>
            </w:pPr>
          </w:p>
        </w:tc>
        <w:tc>
          <w:tcPr>
            <w:tcW w:w="220" w:type="dxa"/>
            <w:vAlign w:val="bottom"/>
            <w:tcBorders>
              <w:bottom w:val="single" w:sz="8" w:color="BFE4FF"/>
            </w:tcBorders>
            <w:shd w:val="clear" w:color="auto" w:fill="BFE4FF"/>
          </w:tcPr>
          <w:p>
            <w:pPr>
              <w:spacing w:after="0"/>
              <w:rPr>
                <w:sz w:val="20"/>
                <w:szCs w:val="20"/>
                <w:color w:val="auto"/>
              </w:rPr>
            </w:pPr>
          </w:p>
        </w:tc>
        <w:tc>
          <w:tcPr>
            <w:tcW w:w="2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Interest paid by affiliate</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44</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Non-cash investing and financing activities: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400"/>
              <w:spacing w:after="0"/>
              <w:rPr>
                <w:sz w:val="20"/>
                <w:szCs w:val="20"/>
                <w:color w:val="auto"/>
              </w:rPr>
            </w:pPr>
            <w:r>
              <w:rPr>
                <w:rFonts w:ascii="Arial" w:cs="Arial" w:eastAsia="Arial" w:hAnsi="Arial"/>
                <w:sz w:val="16"/>
                <w:szCs w:val="16"/>
                <w:color w:val="auto"/>
              </w:rPr>
              <w:t>Increase to fixed assets for capitalized asset retirement costs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2,127</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37"/>
        </w:trPr>
        <w:tc>
          <w:tcPr>
            <w:tcW w:w="5520" w:type="dxa"/>
            <w:vAlign w:val="bottom"/>
          </w:tcPr>
          <w:p>
            <w:pPr>
              <w:ind w:left="400"/>
              <w:spacing w:after="0"/>
              <w:rPr>
                <w:sz w:val="20"/>
                <w:szCs w:val="20"/>
                <w:color w:val="auto"/>
              </w:rPr>
            </w:pPr>
            <w:r>
              <w:rPr>
                <w:rFonts w:ascii="Arial" w:cs="Arial" w:eastAsia="Arial" w:hAnsi="Arial"/>
                <w:sz w:val="16"/>
                <w:szCs w:val="16"/>
                <w:color w:val="auto"/>
              </w:rPr>
              <w:t>Increase to fixed assets for capitalized debt issuance costs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400"/>
              <w:spacing w:after="0"/>
              <w:rPr>
                <w:sz w:val="20"/>
                <w:szCs w:val="20"/>
                <w:color w:val="auto"/>
              </w:rPr>
            </w:pPr>
            <w:r>
              <w:rPr>
                <w:rFonts w:ascii="Arial" w:cs="Arial" w:eastAsia="Arial" w:hAnsi="Arial"/>
                <w:sz w:val="16"/>
                <w:szCs w:val="16"/>
                <w:color w:val="auto"/>
              </w:rPr>
              <w:t>Reduction to fixed assets for accrued government incentives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(2,835)</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37"/>
        </w:trPr>
        <w:tc>
          <w:tcPr>
            <w:tcW w:w="5520" w:type="dxa"/>
            <w:vAlign w:val="bottom"/>
          </w:tcPr>
          <w:p>
            <w:pPr>
              <w:ind w:left="400"/>
              <w:spacing w:after="0"/>
              <w:rPr>
                <w:sz w:val="20"/>
                <w:szCs w:val="20"/>
                <w:color w:val="auto"/>
              </w:rPr>
            </w:pPr>
            <w:r>
              <w:rPr>
                <w:rFonts w:ascii="Arial" w:cs="Arial" w:eastAsia="Arial" w:hAnsi="Arial"/>
                <w:sz w:val="16"/>
                <w:szCs w:val="16"/>
                <w:color w:val="auto"/>
              </w:rPr>
              <w:t>Additions to fixed assets for accrued capital expenditures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8,820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400"/>
              <w:spacing w:after="0"/>
              <w:rPr>
                <w:sz w:val="20"/>
                <w:szCs w:val="20"/>
                <w:color w:val="auto"/>
              </w:rPr>
            </w:pPr>
            <w:r>
              <w:rPr>
                <w:rFonts w:ascii="Arial" w:cs="Arial" w:eastAsia="Arial" w:hAnsi="Arial"/>
                <w:sz w:val="16"/>
                <w:szCs w:val="16"/>
                <w:color w:val="auto"/>
              </w:rPr>
              <w:t>Debt issuance costs incurred not paid</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7"/>
        </w:trPr>
        <w:tc>
          <w:tcPr>
            <w:tcW w:w="5520" w:type="dxa"/>
            <w:vAlign w:val="bottom"/>
          </w:tcPr>
          <w:p>
            <w:pPr>
              <w:ind w:left="400"/>
              <w:spacing w:after="0"/>
              <w:rPr>
                <w:sz w:val="20"/>
                <w:szCs w:val="20"/>
                <w:color w:val="auto"/>
              </w:rPr>
            </w:pPr>
            <w:r>
              <w:rPr>
                <w:rFonts w:ascii="Arial" w:cs="Arial" w:eastAsia="Arial" w:hAnsi="Arial"/>
                <w:sz w:val="16"/>
                <w:szCs w:val="16"/>
                <w:color w:val="auto"/>
              </w:rPr>
              <w:t>Interest added to long-term debt principal</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4,205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400"/>
              <w:spacing w:after="0"/>
              <w:rPr>
                <w:sz w:val="20"/>
                <w:szCs w:val="20"/>
                <w:color w:val="auto"/>
              </w:rPr>
            </w:pPr>
            <w:r>
              <w:rPr>
                <w:rFonts w:ascii="Arial" w:cs="Arial" w:eastAsia="Arial" w:hAnsi="Arial"/>
                <w:sz w:val="16"/>
                <w:szCs w:val="16"/>
                <w:color w:val="auto"/>
              </w:rPr>
              <w:t>Non-cash contributions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2,220</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37"/>
        </w:trPr>
        <w:tc>
          <w:tcPr>
            <w:tcW w:w="5520" w:type="dxa"/>
            <w:vAlign w:val="bottom"/>
          </w:tcPr>
          <w:p>
            <w:pPr>
              <w:ind w:left="400"/>
              <w:spacing w:after="0"/>
              <w:rPr>
                <w:sz w:val="20"/>
                <w:szCs w:val="20"/>
                <w:color w:val="auto"/>
              </w:rPr>
            </w:pPr>
            <w:r>
              <w:rPr>
                <w:rFonts w:ascii="Arial" w:cs="Arial" w:eastAsia="Arial" w:hAnsi="Arial"/>
                <w:sz w:val="16"/>
                <w:szCs w:val="16"/>
                <w:color w:val="auto"/>
              </w:rPr>
              <w:t>Non-cash distribution – developer fee on fixed assets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(8,678)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400"/>
              <w:spacing w:after="0"/>
              <w:rPr>
                <w:sz w:val="20"/>
                <w:szCs w:val="20"/>
                <w:color w:val="auto"/>
              </w:rPr>
            </w:pPr>
            <w:r>
              <w:rPr>
                <w:rFonts w:ascii="Arial" w:cs="Arial" w:eastAsia="Arial" w:hAnsi="Arial"/>
                <w:sz w:val="16"/>
                <w:szCs w:val="16"/>
                <w:color w:val="auto"/>
              </w:rPr>
              <w:t>Accounts payable – affiliate for capital expenditures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(5,773)</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(82,653)</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See accompanying notes to consolidated financial statements.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0" w:gutter="0" w:footer="0" w:header="0"/>
        </w:sectPr>
      </w:pPr>
    </w:p>
    <w:bookmarkStart w:id="24" w:name="page25"/>
    <w:bookmarkEnd w:id="24"/>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125" w:right="1440" w:bottom="1440" w:gutter="0" w:footer="0" w:header="0"/>
        </w:sectPr>
      </w:pPr>
    </w:p>
    <w:bookmarkStart w:id="25" w:name="page26"/>
    <w:bookmarkEnd w:id="25"/>
    <w:p>
      <w:pPr>
        <w:ind w:left="778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33"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DGPV HOLDCO 3 LLC AND SUBSIDIARIES</w:t>
      </w:r>
    </w:p>
    <w:p>
      <w:pPr>
        <w:spacing w:after="0" w:line="60"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Notes to Consolidated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DGPV Holdco 3, LLC, or the Company, a Delaware limited liability company, is a partnership between Clearway Renew DG Holdings, LLC, a subsidiary of Clearway Renew LLC, and DGPV Holding LLC, a subsidiary of Clearway Energy Operating LLC. Clearway Renew LLC is a wholly owned subsidiary of Clearway Energy Group LLC, or Clearway Energy Group, which is a wholly owned subsidiary of Global Infrastructure Partners III, or GIP. Clearway Energy Operating LLC is a wholly owned subsidiary of Clearway Energy LLC, which is a partnership between Clearway Energy, Inc. and Clearway Energy Group.</w:t>
      </w:r>
    </w:p>
    <w:p>
      <w:pPr>
        <w:spacing w:after="0" w:line="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31, 2018, NRG Energy, Inc., or NRG, transferred its full ownership interest in Clearway Energy, Inc. to Clearway Energy Group, and subsequently sold 100% of its interest in Clearway Energy Group to GIP, including its interests in the Company, referred to as the GIP Transaction. The GIP Transaction did not impact the Company’s direct ownership structure.</w:t>
      </w:r>
    </w:p>
    <w:p>
      <w:pPr>
        <w:spacing w:after="0" w:line="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was formed on April 26, 2017 as a partnership to facilitate investment in an operating portfolio of distributed solar assets, primarily comprised of community solar projects and commercial distributed solar projects developed by Clearway Energy Group. The Company owns an interest in two portfolios of solar projects that participate in tax equity arrangements with tax equity investors, through its wholly owned subsidiaries, Chestnut Borrower, LLC, or Chestnut Borrower, and Renew Solar CS4 Borrower LLC, or CS4 Borrower. See Note 3, </w:t>
      </w:r>
      <w:r>
        <w:rPr>
          <w:rFonts w:ascii="Arial" w:cs="Arial" w:eastAsia="Arial" w:hAnsi="Arial"/>
          <w:sz w:val="17"/>
          <w:szCs w:val="17"/>
          <w:i w:val="1"/>
          <w:iCs w:val="1"/>
          <w:color w:val="auto"/>
        </w:rPr>
        <w:t>Tax Equity Arrangements,</w:t>
      </w:r>
      <w:r>
        <w:rPr>
          <w:rFonts w:ascii="Arial" w:cs="Arial" w:eastAsia="Arial" w:hAnsi="Arial"/>
          <w:sz w:val="17"/>
          <w:szCs w:val="17"/>
          <w:color w:val="auto"/>
        </w:rPr>
        <w:t xml:space="preserve"> for a more detailed description of each tax equity arrangement. Each of the portfolios owns, operates and maintains solar energy systems that sell power to customers through long-term power purchase agreements, or PPAs. The commercial distributed solar projects sell power to a single commercial offtaker and the community solar projects sell power to a group of offtakers in one location.</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governed by an Amended and Restated Operating Agreement, or Operating Agreement, where Clearway DGPV Holding LLC, or DGPV Holding, is the Class A Member and Clearway Renew DG Holdings, LLC, or Renew DG Holdings, is the Class B Member and the Manager of the Company. As Manager, Renew DG Holdings conducts and directs all operating activities of the Company. Contributions are made to the Company pursuant to requests made by the Manager on behalf of a fund company and calculated using specific modeling guidelines outlined in the Operating Agreement.</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Contributions by DGPV Holding are calculated to equal an amount that enables DGPV Holding to achieve an annual yield based on available cash flow of 9.0% on average over the first ten years. Contributions by Renew DG Holdings are calculated based on the purchase price of a project less the relevant contribution from the Fund's tax equity partner and the contribution from DGPV Holding. Pursuant to the Operating Agreement, all tax basis income, gain, loss, deduction and credit, as well as all cash available for distribution, of the Company are allocated at 1% and 99% to the Class B Member and Class A Member,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Chestnut Fund</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Company's wholly owned subsidiary, Chestnut Borrower, was formed on April 26, 2017 for the purpose of acting as a borrower of term loans for the Chestnut Fund, as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and Chestnut Borrower owns a 100% of Chestnut Class B LLC, the Class B Member of the Clearway Chestnut Fund LLC, or Chestnut Fund, tax equity arrangement. Chestnut Class B LLC, or Chestnut Class B, is the Managing Member of Chestnut Fund and conducts and directs all operating activities of the fund. The Class A Member of Chestnut Fund, or Investor Member, is Firstar Development, LLC, or Firstar, an affiliate of U.S. Bancorp.</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26" w:name="page27"/>
    <w:bookmarkEnd w:id="26"/>
    <w:tbl>
      <w:tblPr>
        <w:tblLayout w:type="fixed"/>
        <w:tblInd w:w="32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4"/>
          </w:tcPr>
          <w:p>
            <w:pPr>
              <w:ind w:left="760"/>
              <w:spacing w:after="0"/>
              <w:rPr>
                <w:sz w:val="20"/>
                <w:szCs w:val="20"/>
                <w:color w:val="auto"/>
              </w:rPr>
            </w:pPr>
            <w:r>
              <w:rPr>
                <w:rFonts w:ascii="Arial" w:cs="Arial" w:eastAsia="Arial" w:hAnsi="Arial"/>
                <w:sz w:val="18"/>
                <w:szCs w:val="18"/>
                <w:color w:val="auto"/>
              </w:rPr>
              <w:t>Exhibit 99.1</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gridSpan w:val="9"/>
          </w:tcPr>
          <w:p>
            <w:pPr>
              <w:jc w:val="right"/>
              <w:ind w:right="8"/>
              <w:spacing w:after="0"/>
              <w:rPr>
                <w:sz w:val="20"/>
                <w:szCs w:val="20"/>
                <w:color w:val="auto"/>
              </w:rPr>
            </w:pPr>
            <w:r>
              <w:rPr>
                <w:rFonts w:ascii="Arial" w:cs="Arial" w:eastAsia="Arial" w:hAnsi="Arial"/>
                <w:sz w:val="18"/>
                <w:szCs w:val="18"/>
                <w:color w:val="auto"/>
                <w:w w:val="94"/>
              </w:rPr>
              <w:t>Chestnut Fund's 100% owned subsidiaries and related solar facilities are listed below:</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Commercial</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PPA term</w:t>
            </w:r>
          </w:p>
        </w:tc>
        <w:tc>
          <w:tcPr>
            <w:tcW w:w="0" w:type="dxa"/>
            <w:vAlign w:val="bottom"/>
          </w:tcPr>
          <w:p>
            <w:pPr>
              <w:spacing w:after="0"/>
              <w:rPr>
                <w:sz w:val="1"/>
                <w:szCs w:val="1"/>
                <w:color w:val="auto"/>
              </w:rPr>
            </w:pPr>
          </w:p>
        </w:tc>
      </w:tr>
      <w:tr>
        <w:trPr>
          <w:trHeight w:val="148"/>
        </w:trPr>
        <w:tc>
          <w:tcPr>
            <w:tcW w:w="19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Project company</w:t>
            </w:r>
          </w:p>
        </w:tc>
        <w:tc>
          <w:tcPr>
            <w:tcW w:w="120" w:type="dxa"/>
            <w:vAlign w:val="bottom"/>
            <w:vMerge w:val="restart"/>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40" w:type="dxa"/>
            <w:vAlign w:val="bottom"/>
            <w:vMerge w:val="restart"/>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vMerge w:val="restart"/>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capacity</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PPA offtaker</w:t>
            </w:r>
          </w:p>
        </w:tc>
        <w:tc>
          <w:tcPr>
            <w:tcW w:w="100" w:type="dxa"/>
            <w:vAlign w:val="bottom"/>
            <w:vMerge w:val="restart"/>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(kWdc)</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operations date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0" w:type="dxa"/>
            <w:vAlign w:val="bottom"/>
          </w:tcPr>
          <w:p>
            <w:pPr>
              <w:spacing w:after="0"/>
              <w:rPr>
                <w:sz w:val="1"/>
                <w:szCs w:val="1"/>
                <w:color w:val="auto"/>
              </w:rPr>
            </w:pPr>
          </w:p>
        </w:tc>
      </w:tr>
      <w:tr>
        <w:trPr>
          <w:trHeight w:val="25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Black Cat Road Solar, LLC</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77 Black Cat Rd</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1,321</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08/30/17</w:t>
            </w:r>
          </w:p>
        </w:tc>
        <w:tc>
          <w:tcPr>
            <w:tcW w:w="10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Ahold USA/Various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Brook St Solar 1, LLC</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134 Brook St A, B &amp; C</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6,480</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09/06/17</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 xml:space="preserve">Target Ahold USA/Various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15 20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 Mule, LLC</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Colby College</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Commercial</w:t>
            </w:r>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ME</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1,811</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09/18/17</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Colby College</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 xml:space="preserve">27 </w:t>
            </w:r>
            <w:r>
              <w:rPr>
                <w:rFonts w:ascii="Arial" w:cs="Arial" w:eastAsia="Arial" w:hAnsi="Arial"/>
                <w:sz w:val="12"/>
                <w:szCs w:val="12"/>
                <w:color w:val="auto"/>
                <w:w w:val="93"/>
              </w:rPr>
              <w:t>(b)</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Big Lake Holdco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Big Lake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6,912</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10/01/17</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3"/>
        </w:trPr>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Ahold</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 West Shaft LLC</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N Adams-West Shaft Rd</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1,346</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10/10/17</w:t>
            </w:r>
          </w:p>
        </w:tc>
        <w:tc>
          <w:tcPr>
            <w:tcW w:w="1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USA/Raytheon/Various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1"/>
        </w:trPr>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DG Foxborough Elm LLC</w:t>
            </w: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4"/>
              </w:rPr>
              <w:t>Elm Street</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2,614</w:t>
            </w:r>
          </w:p>
        </w:tc>
        <w:tc>
          <w:tcPr>
            <w:tcW w:w="1280" w:type="dxa"/>
            <w:vAlign w:val="bottom"/>
            <w:gridSpan w:val="2"/>
            <w:vMerge w:val="restart"/>
          </w:tcPr>
          <w:p>
            <w:pPr>
              <w:jc w:val="center"/>
              <w:ind w:left="48"/>
              <w:spacing w:after="0"/>
              <w:rPr>
                <w:sz w:val="20"/>
                <w:szCs w:val="20"/>
                <w:color w:val="auto"/>
              </w:rPr>
            </w:pPr>
            <w:r>
              <w:rPr>
                <w:rFonts w:ascii="Arial" w:cs="Arial" w:eastAsia="Arial" w:hAnsi="Arial"/>
                <w:sz w:val="14"/>
                <w:szCs w:val="14"/>
                <w:color w:val="auto"/>
                <w:w w:val="95"/>
              </w:rPr>
              <w:t>10/12/17</w:t>
            </w:r>
          </w:p>
        </w:tc>
        <w:tc>
          <w:tcPr>
            <w:tcW w:w="100" w:type="dxa"/>
            <w:vAlign w:val="bottom"/>
          </w:tcPr>
          <w:p>
            <w:pPr>
              <w:spacing w:after="0"/>
              <w:rPr>
                <w:sz w:val="14"/>
                <w:szCs w:val="14"/>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Town of Foxborough/Various</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4"/>
        </w:trPr>
        <w:tc>
          <w:tcPr>
            <w:tcW w:w="204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ind w:left="40"/>
              <w:spacing w:after="0"/>
              <w:rPr>
                <w:sz w:val="20"/>
                <w:szCs w:val="20"/>
                <w:color w:val="auto"/>
              </w:rPr>
            </w:pPr>
            <w:r>
              <w:rPr>
                <w:rFonts w:ascii="Arial" w:cs="Arial" w:eastAsia="Arial" w:hAnsi="Arial"/>
                <w:sz w:val="13"/>
                <w:szCs w:val="13"/>
                <w:color w:val="auto"/>
              </w:rPr>
              <w:t>(a)</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Redbrook Solar 1 LLC</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Redbrook B, C &amp; D</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5,568</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11/09/17</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Ahold USA/Various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Northfield Holdco LLC</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rPr>
              <w:t>Northfield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6,962</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12/01/17</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Waterford Holdco LLC</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Waterford</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3,767</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12/01/17</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7"/>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5"/>
              </w:rPr>
              <w:t>12/21/2017 &amp;</w:t>
            </w: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Center St Solar 1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1077 Center St A, B &amp; C</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3,870</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01/03/2018</w:t>
            </w:r>
          </w:p>
        </w:tc>
        <w:tc>
          <w:tcPr>
            <w:tcW w:w="100" w:type="dxa"/>
            <w:vAlign w:val="bottom"/>
          </w:tcPr>
          <w:p>
            <w:pPr>
              <w:spacing w:after="0"/>
              <w:rPr>
                <w:sz w:val="16"/>
                <w:szCs w:val="16"/>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 xml:space="preserve">Target Raytheon/Various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15 20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TOS Solar 1, LLC</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725 Guelphwood</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646</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12/30/17</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15/20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TOS Solar 2, LLC</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726 Guelphwood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1,341</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12/30/17</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15/20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Stafford St Solar 1, LLC</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466 Stafford St Site A</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2,776</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12/31/17</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15/20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Stafford St Solar 3,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466 Stafford St Site C</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1,388</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12/31/17</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 xml:space="preserve">Raytheon/Various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ETCAP NES CS MN 02 LLC</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Nystuen</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1,055</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05/01/18</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100% residential</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ETCAP NES CS MN 06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Armstrong</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3,714</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05/01/18</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Stafford St Solar 2, LLC</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466 Stafford St Site B</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2,776</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05/09/18</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15/20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Bullock Road Solar 1,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247 &amp; 249 Bullock</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5,754</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07/25/18</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Mapleton Solar LLC</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Mapleton</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5,080</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09/01/18</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Osakis Solar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Osakis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7,213</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09/01/18</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 Wauwinet LLC</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85 Wauwinet Rd-Barre</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1,294</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09/17/18</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15/20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Minisink Solar 1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rPr>
              <w:t>Minisink North</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NY</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2,495</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10/26/18</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100% residential</w:t>
            </w:r>
          </w:p>
        </w:tc>
        <w:tc>
          <w:tcPr>
            <w:tcW w:w="740" w:type="dxa"/>
            <w:vAlign w:val="bottom"/>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Minisink Solar 2 LLC</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Minisink South</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NY</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2,795</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11/01/18</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100% residential</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DG Marathon LLC</w:t>
            </w:r>
          </w:p>
        </w:tc>
        <w:tc>
          <w:tcPr>
            <w:tcW w:w="17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7"/>
              </w:rPr>
              <w:t>Sage Stone</w:t>
            </w:r>
          </w:p>
        </w:tc>
        <w:tc>
          <w:tcPr>
            <w:tcW w:w="10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2,614</w:t>
            </w:r>
          </w:p>
        </w:tc>
        <w:tc>
          <w:tcPr>
            <w:tcW w:w="128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w w:val="95"/>
              </w:rPr>
              <w:t>01/04/19</w:t>
            </w:r>
          </w:p>
        </w:tc>
        <w:tc>
          <w:tcPr>
            <w:tcW w:w="10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Ahold USA/Various </w:t>
            </w:r>
            <w:r>
              <w:rPr>
                <w:rFonts w:ascii="Arial" w:cs="Arial" w:eastAsia="Arial" w:hAnsi="Arial"/>
                <w:sz w:val="12"/>
                <w:szCs w:val="12"/>
                <w:color w:val="auto"/>
              </w:rPr>
              <w:t>(a)</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81,592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196850</wp:posOffset>
            </wp:positionV>
            <wp:extent cx="11398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1">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39" w:lineRule="exact"/>
        <w:rPr>
          <w:sz w:val="20"/>
          <w:szCs w:val="20"/>
          <w:color w:val="auto"/>
        </w:rPr>
      </w:pPr>
    </w:p>
    <w:p>
      <w:pPr>
        <w:ind w:left="440" w:hanging="189"/>
        <w:spacing w:after="0"/>
        <w:tabs>
          <w:tab w:leader="none" w:pos="440" w:val="left"/>
        </w:tabs>
        <w:numPr>
          <w:ilvl w:val="1"/>
          <w:numId w:val="13"/>
        </w:numPr>
        <w:rPr>
          <w:rFonts w:ascii="Arial" w:cs="Arial" w:eastAsia="Arial" w:hAnsi="Arial"/>
          <w:sz w:val="14"/>
          <w:szCs w:val="14"/>
          <w:color w:val="auto"/>
        </w:rPr>
      </w:pPr>
      <w:r>
        <w:rPr>
          <w:rFonts w:ascii="Arial" w:cs="Arial" w:eastAsia="Arial" w:hAnsi="Arial"/>
          <w:sz w:val="14"/>
          <w:szCs w:val="14"/>
          <w:color w:val="auto"/>
        </w:rPr>
        <w:t>50% sold through community solar services agreements and 50% sold to named customer through net metering purchase agreements.</w:t>
      </w:r>
    </w:p>
    <w:p>
      <w:pPr>
        <w:spacing w:after="0" w:line="55" w:lineRule="exact"/>
        <w:rPr>
          <w:rFonts w:ascii="Arial" w:cs="Arial" w:eastAsia="Arial" w:hAnsi="Arial"/>
          <w:sz w:val="14"/>
          <w:szCs w:val="14"/>
          <w:color w:val="auto"/>
        </w:rPr>
      </w:pPr>
    </w:p>
    <w:p>
      <w:pPr>
        <w:ind w:left="460" w:hanging="209"/>
        <w:spacing w:after="0"/>
        <w:tabs>
          <w:tab w:leader="none" w:pos="4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The initial term of 27 years shall automatically extend for 3 years, then for 1 year in perpetuity unless terminated by either party.</w:t>
      </w:r>
    </w:p>
    <w:p>
      <w:pPr>
        <w:spacing w:after="0" w:line="176" w:lineRule="exact"/>
        <w:rPr>
          <w:rFonts w:ascii="Arial" w:cs="Arial" w:eastAsia="Arial" w:hAnsi="Arial"/>
          <w:sz w:val="14"/>
          <w:szCs w:val="14"/>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CS4 Fund</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Company's wholly owned subsidiary, CS4 Borrower, was formed on July 9, 2018 for the purpose of acting as the borrower under a credit agreement for the CS4 Fund, as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CS4 Borrower owns 100% of Renew Solar CS4 Class B LLC, the Class B Member of the Renew Solar CS4 Fund LLC, or CS4 Fund, tax equity arrangement. Renew Solar CS4 Class B LLC, or CS4 Class B, is the Managing Member of CS4 Fund and conducts and directs all operating activities of the fund. The Class A Member of CS4 Fund, or Investor Member, is PNC Commercial, LLC, or PNC, an indirect wholly owned subsidiary of PNC Financial Services Group, Inc. CS4 Borrower's wholly owned subsidiary Renew Solar CS4 Seller LLC, or CS4 Seller, acquires the project entities from a subsidiary of Clearway Renew, funds the construction of the projects, and in turn, sells these projects to CS4 Fund.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27" w:name="page28"/>
    <w:bookmarkEnd w:id="27"/>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CS4 Fund's 100% owned subsidiaries and related solar facilities are listed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Facility</w:t>
            </w:r>
          </w:p>
        </w:tc>
        <w:tc>
          <w:tcPr>
            <w:tcW w:w="2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Commercial</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capacity</w:t>
            </w:r>
          </w:p>
        </w:tc>
        <w:tc>
          <w:tcPr>
            <w:tcW w:w="220" w:type="dxa"/>
            <w:vAlign w:val="bottom"/>
          </w:tcPr>
          <w:p>
            <w:pPr>
              <w:spacing w:after="0"/>
              <w:rPr>
                <w:sz w:val="23"/>
                <w:szCs w:val="23"/>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operations</w:t>
            </w:r>
          </w:p>
        </w:tc>
        <w:tc>
          <w:tcPr>
            <w:tcW w:w="2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PPA</w:t>
            </w:r>
          </w:p>
        </w:tc>
      </w:tr>
      <w:tr>
        <w:trPr>
          <w:trHeight w:val="270"/>
        </w:trPr>
        <w:tc>
          <w:tcPr>
            <w:tcW w:w="2740" w:type="dxa"/>
            <w:vAlign w:val="bottom"/>
            <w:gridSpan w:val="2"/>
          </w:tcPr>
          <w:p>
            <w:pPr>
              <w:ind w:left="680"/>
              <w:spacing w:after="0"/>
              <w:rPr>
                <w:sz w:val="20"/>
                <w:szCs w:val="20"/>
                <w:color w:val="auto"/>
              </w:rPr>
            </w:pPr>
            <w:r>
              <w:rPr>
                <w:rFonts w:ascii="Arial" w:cs="Arial" w:eastAsia="Arial" w:hAnsi="Arial"/>
                <w:sz w:val="16"/>
                <w:szCs w:val="16"/>
                <w:b w:val="1"/>
                <w:bCs w:val="1"/>
                <w:color w:val="auto"/>
              </w:rPr>
              <w:t>Project company</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Location</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(kWdc)</w:t>
            </w:r>
          </w:p>
        </w:tc>
        <w:tc>
          <w:tcPr>
            <w:tcW w:w="220" w:type="dxa"/>
            <w:vAlign w:val="bottom"/>
          </w:tcPr>
          <w:p>
            <w:pPr>
              <w:spacing w:after="0"/>
              <w:rPr>
                <w:sz w:val="23"/>
                <w:szCs w:val="23"/>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date</w:t>
            </w:r>
          </w:p>
        </w:tc>
        <w:tc>
          <w:tcPr>
            <w:tcW w:w="2500" w:type="dxa"/>
            <w:vAlign w:val="bottom"/>
            <w:gridSpan w:val="2"/>
          </w:tcPr>
          <w:p>
            <w:pPr>
              <w:ind w:left="700"/>
              <w:spacing w:after="0"/>
              <w:rPr>
                <w:sz w:val="20"/>
                <w:szCs w:val="20"/>
                <w:color w:val="auto"/>
              </w:rPr>
            </w:pPr>
            <w:r>
              <w:rPr>
                <w:rFonts w:ascii="Arial" w:cs="Arial" w:eastAsia="Arial" w:hAnsi="Arial"/>
                <w:sz w:val="16"/>
                <w:szCs w:val="16"/>
                <w:b w:val="1"/>
                <w:bCs w:val="1"/>
                <w:color w:val="auto"/>
              </w:rPr>
              <w:t>PPA offtaker</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terms</w:t>
            </w:r>
          </w:p>
        </w:tc>
      </w:tr>
      <w:tr>
        <w:trPr>
          <w:trHeight w:val="33"/>
        </w:trPr>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Montevideo Solar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7,497</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1/1/2019</w:t>
            </w:r>
          </w:p>
        </w:tc>
        <w:tc>
          <w:tcPr>
            <w:tcW w:w="2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Underhill Solar LLC</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New York</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3,011</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3/18/2019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NYSERDA/Various (b)</w:t>
            </w:r>
          </w:p>
        </w:tc>
        <w:tc>
          <w:tcPr>
            <w:tcW w:w="1300" w:type="dxa"/>
            <w:vAlign w:val="bottom"/>
          </w:tcPr>
          <w:p>
            <w:pPr>
              <w:jc w:val="center"/>
              <w:spacing w:after="0"/>
              <w:rPr>
                <w:sz w:val="20"/>
                <w:szCs w:val="20"/>
                <w:color w:val="auto"/>
              </w:rPr>
            </w:pPr>
            <w:r>
              <w:rPr>
                <w:rFonts w:ascii="Arial" w:cs="Arial" w:eastAsia="Arial" w:hAnsi="Arial"/>
                <w:sz w:val="16"/>
                <w:szCs w:val="16"/>
                <w:color w:val="auto"/>
                <w:w w:val="90"/>
              </w:rPr>
              <w:t>10/20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Bluestone Solar LLC</w:t>
            </w:r>
          </w:p>
        </w:tc>
        <w:tc>
          <w:tcPr>
            <w:tcW w:w="15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5"/>
              </w:rPr>
              <w:t>New York</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3,013</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2"/>
              </w:rPr>
              <w:t>3/27/2019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20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Chisago Holdco LLC</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3,937</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5/1/2019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Frontenac Holdco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7,208</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5/1/2019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CMR Solar LLC</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New York</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2,808</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5/10/2019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NYSERDA/Various (b)</w:t>
            </w:r>
          </w:p>
        </w:tc>
        <w:tc>
          <w:tcPr>
            <w:tcW w:w="1300" w:type="dxa"/>
            <w:vAlign w:val="bottom"/>
          </w:tcPr>
          <w:p>
            <w:pPr>
              <w:jc w:val="center"/>
              <w:spacing w:after="0"/>
              <w:rPr>
                <w:sz w:val="20"/>
                <w:szCs w:val="20"/>
                <w:color w:val="auto"/>
              </w:rPr>
            </w:pPr>
            <w:r>
              <w:rPr>
                <w:rFonts w:ascii="Arial" w:cs="Arial" w:eastAsia="Arial" w:hAnsi="Arial"/>
                <w:sz w:val="16"/>
                <w:szCs w:val="16"/>
                <w:color w:val="auto"/>
                <w:w w:val="90"/>
              </w:rPr>
              <w:t>10/20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Sartell Solar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7,501</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6/1/2019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Grabinski Solar LLC</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New York</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3,002</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7/25/2019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20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Clara City Solar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New Munich Solar LLC</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Olinda Trail Solar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Rollingstone Holdco LLC</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7,005</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Stearns Solar I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Wabasha Solar LLC</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Wabasha Solar II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Wabasha Solar III LLC</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Winona Solar I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Winona Solar II LLC</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Mount Hope Solar 1 LLC</w:t>
            </w:r>
          </w:p>
        </w:tc>
        <w:tc>
          <w:tcPr>
            <w:tcW w:w="15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5"/>
              </w:rPr>
              <w:t>New York</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2,793</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2"/>
              </w:rPr>
              <w:t>10/9/2019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20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Rounseville Solar 1, LLC</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Massachusetts</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3,324</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11/14/19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20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Wilmarth Lane Solar 1 LLC</w:t>
            </w:r>
          </w:p>
        </w:tc>
        <w:tc>
          <w:tcPr>
            <w:tcW w:w="15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8"/>
              </w:rPr>
              <w:t>Massachusetts</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6,372</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N/A (a)</w:t>
            </w: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20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Partridgeville Road Solar 1 LLC</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Massachusetts</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4,743</w:t>
            </w:r>
          </w:p>
        </w:tc>
        <w:tc>
          <w:tcPr>
            <w:tcW w:w="22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N/A (a)</w:t>
            </w: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20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Eastman Street Solar 1 LLC</w:t>
            </w:r>
          </w:p>
        </w:tc>
        <w:tc>
          <w:tcPr>
            <w:tcW w:w="15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8"/>
              </w:rPr>
              <w:t>Massachusetts</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N/A (a)</w:t>
            </w: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20 years</w:t>
            </w:r>
          </w:p>
        </w:tc>
      </w:tr>
      <w:tr>
        <w:trPr>
          <w:trHeight w:val="217"/>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76,252</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1398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39"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Projects have not yet begun commercial operations.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1,000 kWdc sold to New York State Energy Research and Development Authority, or NYSERDA, through the 10-year PPA and the remainder through community solar customer agreements.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25" w:right="379" w:bottom="1440" w:gutter="0" w:footer="0" w:header="0"/>
        </w:sectPr>
      </w:pPr>
    </w:p>
    <w:bookmarkStart w:id="28" w:name="page29"/>
    <w:bookmarkEnd w:id="28"/>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diagram provides further information related to the Company’s ownership structure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5863590" cy="4397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3">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or U.S. GAAP. The Accounting Standards Codification, or ASC, established by the Financial Accounting Standards Board, or FASB, is the source of authoritative U.S. GAAP to be applied by nongovernmental entities.</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consolidated financial statements include the Company's accounts and operations of those of its subsidiaries. All significant intercompany transactions and balances have been eliminated in the consolidated financial statements.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8"/>
          <w:szCs w:val="18"/>
          <w:i w:val="1"/>
          <w:iCs w:val="1"/>
          <w:color w:val="auto"/>
        </w:rPr>
        <w:t>Consolidations</w:t>
      </w:r>
      <w:r>
        <w:rPr>
          <w:rFonts w:ascii="Arial" w:cs="Arial" w:eastAsia="Arial" w:hAnsi="Arial"/>
          <w:sz w:val="18"/>
          <w:szCs w:val="18"/>
          <w:color w:val="auto"/>
        </w:rPr>
        <w:t>, to determine when an entity that is not controlled through its voting interests should be consolidated.</w:t>
      </w:r>
    </w:p>
    <w:p>
      <w:pPr>
        <w:spacing w:after="0" w:line="16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The Company has elected not to push down the effects of the GIP Transaction to its consolidated financial statements and accordingly, there was no change in basis of presentation related to the GIP Transaction.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29" w:name="page30"/>
    <w:bookmarkEnd w:id="29"/>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Cash</w:t>
      </w:r>
    </w:p>
    <w:p>
      <w:pPr>
        <w:spacing w:after="0" w:line="1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reported within the consolidated balance sheets that sum to the total of the same such amounts shown in the consolidated statements of cash flows as of December 31, 2019 and 2018 (in thousands):</w:t>
      </w:r>
    </w:p>
    <w:p>
      <w:pPr>
        <w:spacing w:after="0" w:line="234"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6,862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restricted cash shown in the consolidated</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25,966</w:t>
            </w:r>
          </w:p>
        </w:tc>
        <w:tc>
          <w:tcPr>
            <w:tcW w:w="2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21,057</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statements of cash flows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restricted cash consists of $5 million held at Renew Solar CS4 Borrower LLC for debt service and $2 million held at Chestnut Class B Borrower LLC for distributions and to satisfy reserves for performance obligations. As of December 31, 2018, restricted cash consists of $5 million held at Renew Solar CS4 Borrower LLC for debt service and $10 million held at Chestnut Class B Borrower LLC for distributions and to satisfy reserves for performance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Accounts Receivable – Trade</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Accounts receivable represent trade receivables from sales of electricity to residential, commercial and municipal customers. Also included in accounts receivable – trade are receivables for the sale of renewable energy credits to a former affiliate, NRG Power Marketing LLC and receivables related to government incentives. The Company reviews its accounts receivable by aging category to identify significant customer balances with known collections issues. In evaluating the allowance, the Company makes judgments about the creditworthiness of its customers based on ongoing credit evaluations. The Company also considers current economic trends that might impact the level of future credit losses. As of December 31, 2019 and 2018, the allowance for doubtful accounts was $52 thousand and $11 thousand,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Debt Issuance Costs</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Debt issuance costs consist of legal fees and closing costs incurred by the Company in obtaining its financings. These costs are capitalized and amortized as interest expense on a basis which approximates the effective interest method over the term of the financing obligation and are presented as a direct deduction from the carrying amount of the related debt.</w:t>
      </w:r>
    </w:p>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expense, included in interest expense in the consolidated statements of operations, was $1,859 thousand and $810 thousand for the years ended December 31,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Property, Plant, and Equipment</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purchased certain of its solar installations from Clearway Renew and its subsidiaries through its acquisitions of wholly owned project subsidiaries listed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The acquisitions were recorded as a transfer of assets under common control and accordingly, the assets are recorded at Clearway Renew’s historical cost. The excess of the purchase price over the historical cost was recorded as a developer fee as a non-cash reduction to member's equity. Purchased solar installations from third parties are stated at cost.</w:t>
      </w:r>
    </w:p>
    <w:p>
      <w:pPr>
        <w:spacing w:after="0" w:line="1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of the assets. Certain assets and their related accumulated depreciation amounts are adjusted for asset retirements and disposals with the resulting gain or loss included in cost of operations in the consolidated statements of operations. See note 4,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for additional information.</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incurred on funds borrowed to finance capital projects is capitalized until the project under construction is ready for its intended use. The amount of interest capitalized for the years ended December 31, 2019 and 2018 was $2,134 thousand and $506 thousand, respectively.</w:t>
      </w:r>
    </w:p>
    <w:p>
      <w:pPr>
        <w:spacing w:after="0" w:line="1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Construction in 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plant equipment.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30" w:name="page31"/>
    <w:bookmarkEnd w:id="30"/>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Intangible Asset</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Intangible asset for power purchase agreement represents the fair value of the out-of-market component of the PPA acquired at the DG Foxborough Elm LLC facility determined at acquisition date, when Clearway Renew acquired the project from a third party. The Company recognizes specifically identifiable intangible assets when specific rights and contracts are acquired. This definite-lived intangible asset is amortized as a reduction to operating revenues on a straight line basis over the term of the PPA (through October 2042), which is 25 years from the date the facility achieved commercial operations.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and 2018, the intangible asset subject to amortization consists of the following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63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for power purchase agreement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1,500</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63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Net intangible asset for power purchase agreement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1,367</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0"/>
        </w:trPr>
        <w:tc>
          <w:tcPr>
            <w:tcW w:w="6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Aggregate amortization expense was $60 thousand for each of the years ended December 31, 2019 and 2018, which was recorded as a reduction to operating revenues in the consolidated statements of operations. Estimated amortization expense for each of the next five years is $60 thousand.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Asset Impairments</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Long-lived assets that are held and used are reviewed for impairment whenever events or changes in circumstances indicate carrying values may not be recoverable. Such reviews are performed in accordance with ASC 360</w:t>
      </w:r>
      <w:r>
        <w:rPr>
          <w:rFonts w:ascii="Arial" w:cs="Arial" w:eastAsia="Arial" w:hAnsi="Arial"/>
          <w:sz w:val="17"/>
          <w:szCs w:val="17"/>
          <w:i w:val="1"/>
          <w:iCs w:val="1"/>
          <w:color w:val="auto"/>
        </w:rPr>
        <w:t>, Property, Plant, and Equipment</w:t>
      </w:r>
      <w:r>
        <w:rPr>
          <w:rFonts w:ascii="Arial" w:cs="Arial" w:eastAsia="Arial" w:hAnsi="Arial"/>
          <w:sz w:val="17"/>
          <w:szCs w:val="17"/>
          <w:color w:val="auto"/>
        </w:rPr>
        <w:t>.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consolidated statements of operations. Fair values are determined by a variety of valuation methods, including third-party appraisals, sales prices of similar assets, and present value techniques. There were no indicators of impairment loss as of December 31, 2019 and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Leases</w:t>
      </w:r>
    </w:p>
    <w:p>
      <w:pPr>
        <w:spacing w:after="0" w:line="1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or Topic 842, on January 1, 2019, using the modified retrospective transition method and therefore, prior period financial information has not been adjusted and continues to be reflected in accordance with the Company's historical accounting policy. Topic 842 requires the establishment of a lease liability and related right-of-use, or ROU, asset for all leases with a term longer than 12 months. The Company elected certain of the permitted practical expedients, including the expedient that permits the Company to retain its existing lease assessment and classification. The Company also elected to account for lease and non-lease components for specific asset classes as a single lease component.</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adoption of the standard resulted in the recording of operating lease liabilities of $30.4 million and related ROU assets of $30.4 million. There was no impact to the Company’s consolidated statement of operations or cash flows. The Company utilized its incremental borrowing rate at adoption date of 4.17% to determine the amount of the lease liabilities.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Company’s leases are operating leases as of December 31, 2019.</w:t>
      </w:r>
    </w:p>
    <w:p>
      <w:pPr>
        <w:spacing w:after="0" w:line="18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new leases, 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note 2(k),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below and note 8,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information on the Company's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Deferred Rent</w:t>
      </w:r>
    </w:p>
    <w:p>
      <w:pPr>
        <w:spacing w:after="0" w:line="14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color w:val="auto"/>
        </w:rPr>
        <w:t>Prior to the adoption of Topic 842, the Company recorded rent expense on a straight line basis over the life of the lease term. The cumulative difference between the payments made and the expense recognized was recorded in deferred rent on the consolidated balance sheets.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31" w:name="page32"/>
    <w:bookmarkEnd w:id="31"/>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Income Taxes</w:t>
      </w:r>
    </w:p>
    <w:p>
      <w:pPr>
        <w:spacing w:after="0" w:line="13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is classified as a partnership for federal and state income tax purposes. Therefore, federal and state income taxes are assessed at the partner level. Accordingly, no provision has been made for federal or state income taxes in the accompanying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Revenue Recognition</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using the modified retrospective method applied to contracts which were not completed as of the adoption date, with no adjustment required to the financial statements upon adoption. Following the adoption of ASC 606,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 Revenue</w:t>
      </w:r>
    </w:p>
    <w:p>
      <w:pPr>
        <w:spacing w:after="0" w:line="144" w:lineRule="exact"/>
        <w:rPr>
          <w:sz w:val="20"/>
          <w:szCs w:val="20"/>
          <w:color w:val="auto"/>
        </w:rPr>
      </w:pPr>
    </w:p>
    <w:p>
      <w:pPr>
        <w:jc w:val="both"/>
        <w:ind w:right="20" w:firstLine="648"/>
        <w:spacing w:after="0" w:line="359" w:lineRule="auto"/>
        <w:rPr>
          <w:sz w:val="20"/>
          <w:szCs w:val="20"/>
          <w:color w:val="auto"/>
        </w:rPr>
      </w:pPr>
      <w:r>
        <w:rPr>
          <w:rFonts w:ascii="Arial" w:cs="Arial" w:eastAsia="Arial" w:hAnsi="Arial"/>
          <w:sz w:val="16"/>
          <w:szCs w:val="16"/>
          <w:color w:val="auto"/>
        </w:rPr>
        <w:t xml:space="preserve">The Company's electric revenue is related to energy contract revenue from the PPAs listed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 The contractual rates could be fixed or increase annually during the terms of the PPAs, ranging from 10-27 years. Electric revenue is billed and paid on a monthly basis.</w:t>
      </w:r>
    </w:p>
    <w:p>
      <w:pPr>
        <w:spacing w:after="0" w:line="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7"/>
          <w:szCs w:val="17"/>
          <w:color w:val="auto"/>
        </w:rPr>
        <w:t xml:space="preserve">The PPA at Solar Mule, LLC is accounted for as an operating lease. Previously ASC 840, </w:t>
      </w:r>
      <w:r>
        <w:rPr>
          <w:rFonts w:ascii="Arial" w:cs="Arial" w:eastAsia="Arial" w:hAnsi="Arial"/>
          <w:sz w:val="17"/>
          <w:szCs w:val="17"/>
          <w:i w:val="1"/>
          <w:iCs w:val="1"/>
          <w:color w:val="auto"/>
        </w:rPr>
        <w:t>Leases</w:t>
      </w:r>
      <w:r>
        <w:rPr>
          <w:rFonts w:ascii="Arial" w:cs="Arial" w:eastAsia="Arial" w:hAnsi="Arial"/>
          <w:sz w:val="17"/>
          <w:szCs w:val="17"/>
          <w:color w:val="auto"/>
        </w:rPr>
        <w:t>, or ASC 840, and currently Topic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The lease has no minimum lease payments and all of the rental income under this lease is recorded as contingent rent on an actual basis each period when electricity is produced by the solar facility and delivered to the offtaker at the rate billable per kWh under the terms of the PPA. The lease has renewal options at the end of the lease term. Termination may be allowed under specific circumstances in the lease arrangement, such as under an event of default.</w:t>
      </w:r>
    </w:p>
    <w:p>
      <w:pPr>
        <w:spacing w:after="0" w:line="141"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For PPAs accounted for as executory contracts under ASC 606, revenue is recognized on an accrual basis each period, as electricity is produced by the solar facility and delivered to the offtaker at the rate billable per kWh under the terms of the PPA.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electric revenue for the years ended December 31, 2019 and 2018 is summarized as follows (in thousands):</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15,669</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7,205</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Lease revenue</w:t>
            </w: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6240" w:type="dxa"/>
            <w:vAlign w:val="bottom"/>
          </w:tcPr>
          <w:p>
            <w:pPr>
              <w:ind w:left="700"/>
              <w:spacing w:after="0"/>
              <w:rPr>
                <w:sz w:val="20"/>
                <w:szCs w:val="20"/>
                <w:color w:val="auto"/>
              </w:rPr>
            </w:pPr>
            <w:r>
              <w:rPr>
                <w:rFonts w:ascii="Arial" w:cs="Arial" w:eastAsia="Arial" w:hAnsi="Arial"/>
                <w:sz w:val="18"/>
                <w:szCs w:val="18"/>
                <w:color w:val="auto"/>
              </w:rPr>
              <w:t>Total electric revenue</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15,854</w:t>
            </w:r>
          </w:p>
        </w:tc>
        <w:tc>
          <w:tcPr>
            <w:tcW w:w="3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7,417</w:t>
            </w:r>
          </w:p>
        </w:tc>
      </w:tr>
      <w:tr>
        <w:trPr>
          <w:trHeight w:val="20"/>
        </w:trPr>
        <w:tc>
          <w:tcPr>
            <w:tcW w:w="6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Energy Certificates, or RECs</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has entered into agreements with NRG Power Marketing LLC, or PML, a wholly owned subsidiary of NRG, to purchase and sell RECs generated from 2017 through 2028 by the Massachusetts projects in accordance with vintage years, quantities, and prices in the REC agreements with PML. Prices range between $123.16 and $270.00 per REC. PML sells the RECs to third parties. Revenue is recognized as the REC is generated based on actual production multiplied by the contract rates. REC revenue is billed and paid on a quarterly basis. REC revenue from PML is recorded as Renewable energy certificates – affiliate prior to the GIP Transaction, and as Renewable energy certificates after the GIP Transaction, in the consolidated statements of operations.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32" w:name="page33"/>
    <w:bookmarkEnd w:id="32"/>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Incentives</w:t>
      </w:r>
    </w:p>
    <w:p>
      <w:pPr>
        <w:spacing w:after="0" w:line="1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Company is entitled to state performance based incentives, or PBIs, paid by NYSERDA for the </w:t>
      </w:r>
      <w:r>
        <w:rPr>
          <w:rFonts w:ascii="Arial" w:cs="Arial" w:eastAsia="Arial" w:hAnsi="Arial"/>
          <w:sz w:val="18"/>
          <w:szCs w:val="18"/>
          <w:color w:val="211D1E"/>
        </w:rPr>
        <w:t>Minisink Solar 1 LLC and Minisink Solar 2</w:t>
      </w:r>
      <w:r>
        <w:rPr>
          <w:rFonts w:ascii="Arial" w:cs="Arial" w:eastAsia="Arial" w:hAnsi="Arial"/>
          <w:sz w:val="18"/>
          <w:szCs w:val="18"/>
          <w:color w:val="auto"/>
        </w:rPr>
        <w:t xml:space="preserve"> </w:t>
      </w:r>
      <w:r>
        <w:rPr>
          <w:rFonts w:ascii="Arial" w:cs="Arial" w:eastAsia="Arial" w:hAnsi="Arial"/>
          <w:sz w:val="18"/>
          <w:szCs w:val="18"/>
          <w:color w:val="211D1E"/>
        </w:rPr>
        <w:t xml:space="preserve">LLC </w:t>
      </w:r>
      <w:r>
        <w:rPr>
          <w:rFonts w:ascii="Arial" w:cs="Arial" w:eastAsia="Arial" w:hAnsi="Arial"/>
          <w:sz w:val="18"/>
          <w:szCs w:val="18"/>
          <w:color w:val="000000"/>
        </w:rPr>
        <w:t>projects, not to exceed</w:t>
      </w:r>
      <w:r>
        <w:rPr>
          <w:rFonts w:ascii="Arial" w:cs="Arial" w:eastAsia="Arial" w:hAnsi="Arial"/>
          <w:sz w:val="18"/>
          <w:szCs w:val="18"/>
          <w:color w:val="211D1E"/>
        </w:rPr>
        <w:t xml:space="preserve"> $900,607 for Minisink Solar 1 LLC and $1,092,655 for Minisink Solar 2 LLC</w:t>
      </w:r>
      <w:r>
        <w:rPr>
          <w:rFonts w:ascii="Arial" w:cs="Arial" w:eastAsia="Arial" w:hAnsi="Arial"/>
          <w:sz w:val="18"/>
          <w:szCs w:val="18"/>
          <w:color w:val="000000"/>
        </w:rPr>
        <w:t>, as well as for five projects in the CS4 Fund, not</w:t>
      </w:r>
      <w:r>
        <w:rPr>
          <w:rFonts w:ascii="Arial" w:cs="Arial" w:eastAsia="Arial" w:hAnsi="Arial"/>
          <w:sz w:val="18"/>
          <w:szCs w:val="18"/>
          <w:color w:val="211D1E"/>
        </w:rPr>
        <w:t xml:space="preserve"> </w:t>
      </w:r>
      <w:r>
        <w:rPr>
          <w:rFonts w:ascii="Arial" w:cs="Arial" w:eastAsia="Arial" w:hAnsi="Arial"/>
          <w:sz w:val="18"/>
          <w:szCs w:val="18"/>
          <w:color w:val="000000"/>
        </w:rPr>
        <w:t xml:space="preserve">to exceed $5.7 million. </w:t>
      </w:r>
      <w:r>
        <w:rPr>
          <w:rFonts w:ascii="Arial" w:cs="Arial" w:eastAsia="Arial" w:hAnsi="Arial"/>
          <w:sz w:val="18"/>
          <w:szCs w:val="18"/>
          <w:color w:val="211D1E"/>
        </w:rPr>
        <w:t>The incentive payments for each project will consist of one payment at commercial operation date for 50% of the awarded amount,</w:t>
      </w:r>
      <w:r>
        <w:rPr>
          <w:rFonts w:ascii="Arial" w:cs="Arial" w:eastAsia="Arial" w:hAnsi="Arial"/>
          <w:sz w:val="18"/>
          <w:szCs w:val="18"/>
          <w:color w:val="000000"/>
        </w:rPr>
        <w:t xml:space="preserve"> </w:t>
      </w:r>
      <w:r>
        <w:rPr>
          <w:rFonts w:ascii="Arial" w:cs="Arial" w:eastAsia="Arial" w:hAnsi="Arial"/>
          <w:sz w:val="18"/>
          <w:szCs w:val="18"/>
          <w:color w:val="211D1E"/>
        </w:rPr>
        <w:t>which was recorded to property, plant, and equipment, and two annual performance-based payments each of which is estimated to be 25% of the incentive. For CS4 Fund, the commercial operation date payment of $2.8 million for all five projects was recorded to property, plant and equipment in 2019. The two annual performance based payments are earned monthly based upon the actual electricity produced by the project multiplied by a rate stipulated in the agreements. PBI revenue i</w:t>
      </w:r>
      <w:r>
        <w:rPr>
          <w:rFonts w:ascii="Arial" w:cs="Arial" w:eastAsia="Arial" w:hAnsi="Arial"/>
          <w:sz w:val="18"/>
          <w:szCs w:val="18"/>
          <w:color w:val="000000"/>
        </w:rPr>
        <w:t>s recorded as Government incentives in the consolidated statements of operati</w:t>
      </w:r>
      <w:r>
        <w:rPr>
          <w:rFonts w:ascii="Arial" w:cs="Arial" w:eastAsia="Arial" w:hAnsi="Arial"/>
          <w:sz w:val="18"/>
          <w:szCs w:val="18"/>
          <w:color w:val="211D1E"/>
        </w:rPr>
        <w:t xml:space="preserve">ons. </w:t>
      </w:r>
      <w:r>
        <w:rPr>
          <w:rFonts w:ascii="Arial" w:cs="Arial" w:eastAsia="Arial" w:hAnsi="Arial"/>
          <w:sz w:val="18"/>
          <w:szCs w:val="18"/>
          <w:color w:val="000000"/>
        </w:rPr>
        <w:t>As of December 31, 2019, $2.8 million was</w:t>
      </w:r>
      <w:r>
        <w:rPr>
          <w:rFonts w:ascii="Arial" w:cs="Arial" w:eastAsia="Arial" w:hAnsi="Arial"/>
          <w:sz w:val="18"/>
          <w:szCs w:val="18"/>
          <w:color w:val="211D1E"/>
        </w:rPr>
        <w:t xml:space="preserve"> </w:t>
      </w:r>
      <w:r>
        <w:rPr>
          <w:rFonts w:ascii="Arial" w:cs="Arial" w:eastAsia="Arial" w:hAnsi="Arial"/>
          <w:sz w:val="18"/>
          <w:szCs w:val="18"/>
          <w:color w:val="000000"/>
        </w:rPr>
        <w:t>recorded to prepayments and other currents related to the NYSERDA commercial operation date payment, which was collected during the first quarter of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the contract assets in the Company's consolidated balance sheets as of December 31, 2019 and 2018 (in thousands):</w:t>
      </w:r>
    </w:p>
    <w:p>
      <w:pPr>
        <w:spacing w:after="0" w:line="312"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6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 contracts with customers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9,243</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7,927</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Accounts receivable - leases</w:t>
            </w:r>
          </w:p>
        </w:tc>
        <w:tc>
          <w:tcPr>
            <w:tcW w:w="10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accounts receivable - trade, net</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9,251</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7,942</w:t>
            </w:r>
          </w:p>
        </w:tc>
      </w:tr>
      <w:tr>
        <w:trPr>
          <w:trHeight w:val="20"/>
        </w:trPr>
        <w:tc>
          <w:tcPr>
            <w:tcW w:w="6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i w:val="1"/>
          <w:iCs w:val="1"/>
          <w:color w:val="auto"/>
        </w:rPr>
        <w:t>(l) Derivative Financial Instruments</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accounts for derivative financial instruments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requires the Company to recognize all derivative instruments on the balance sheet as either assets or liabilities and to measure them at fair value each reporting period unless they qualify for a normal purchase normal sale exception. The Company uses interest rate swaps to manage its interest rate exposure on long-term debt, which are not designated as cash flow hedges. Changes in the fair value of non-hedge derivatives are immediately recognized in earnings. See note 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Derivative Instruments and Hedging Activities</w:t>
      </w:r>
      <w:r>
        <w:rPr>
          <w:rFonts w:ascii="Arial" w:cs="Arial" w:eastAsia="Arial" w:hAnsi="Arial"/>
          <w:sz w:val="18"/>
          <w:szCs w:val="18"/>
          <w:color w:val="auto"/>
        </w:rPr>
        <w:t>, for more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Risks and Uncertainties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primarily of accounts receivable – trade, accounts receivable – affiliate, and derivative instruments. Accounts receivable are concentrated with residential, commercial, and municipal customers. The energy industry may impact the Company’s overall exposure to credit risk, either positively or negatively, in that the customer may be similarly affected by changes in economic, industry, or other conditions. Municipal entities are generally subject to budget decisions made at superior governmental levels, which may impede or delay the Company’s collection of accounts receivable from these customers. However, the Company believes that the credit risk posed by such concentrations is offset by the diversification and creditworthiness of its customer base. The Company is exposed to credit losses in the event of noncompliance by counterparties on its derivative financial instruments.</w:t>
      </w:r>
    </w:p>
    <w:p>
      <w:pPr>
        <w:spacing w:after="0" w:line="15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Due to the concentration of sales of RECs to PML, the Company is exposed to credit risk of potential nonperformance by them, which could impact liquidity if this customer were to experience financial difficulties. As of December 31, 2019 and 2018, accounts receivable – trade with PML totaled $5.8 million and $5.5 million, respectively. The maximum amount of loss due to credit risk, should the customer fail to perform, is the amount of the outstanding receivable, and any losses associated with replacing this customer.</w:t>
      </w:r>
    </w:p>
    <w:p>
      <w:pPr>
        <w:spacing w:after="0" w:line="1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Risks associated with the Company’s operations include the performance of a solar installation below expected levels of efficiency and output, shutdowns due to the breakdown or failure of equipment, or catastrophic events such as fires, earthquakes, floods, explosions, pandemics, or other similar occurrences affecting a power generation installation or its energy purchaser.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Fair Value of Financial Instruments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the fair value of financial instruments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or ASC 820. The Company does not hold or issue financial instruments for trading purposes. The carrying amounts of cash, restricted cash, accounts receivable – trade, accounts receivable – affiliate, accounts payable – trade, accounts payable – affiliate and accrued liabilities approximate fair value because of the short-term maturity of these instruments and are classified as Level 1 within the fair value hierarchy.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33" w:name="page34"/>
    <w:bookmarkEnd w:id="33"/>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Derivative instruments consisting of interest rate swaps are recorded at fair value on the Company’s consolidated balance sheet on a recurring basis and are classified as Level 2 within the fair value hierarchy as the fair value can be determined based on observable values of underlying interest rates. The fair value of each contract is discounted using a risk free interest rate. In addition, the Company applies a credit reserve to reflect credit risk, which for interest rate swaps is calculated utilizing the bilateral method based on published default probabilities. The credit reserve is added to the discounted fair value to reflect the exit price that a market participant would be willing to receive to assume the Company's liabilities or that a market participant would be willing to pay for the Company's assets. For further discussion of interest rate swaps, see note 5, </w:t>
      </w:r>
      <w:r>
        <w:rPr>
          <w:rFonts w:ascii="Arial" w:cs="Arial" w:eastAsia="Arial" w:hAnsi="Arial"/>
          <w:sz w:val="18"/>
          <w:szCs w:val="18"/>
          <w:i w:val="1"/>
          <w:iCs w:val="1"/>
          <w:color w:val="auto"/>
        </w:rPr>
        <w:t>Accounting for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long-term debt approximates fair value at December 31, 2019 and 2018 as the debt carries a variable interest rate. The carrying value of short-term debt – affiliate approximates fair value at December 31, 2019 and 2018 due to its short-term maturity. The fair values of long-term debt and short-term debt – affiliate are based on current interest rates for similar instruments with equivalent credit quality and is classified as Level 3 inputs within the fair value hierarchy.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208" w:lineRule="exact"/>
        <w:rPr>
          <w:sz w:val="20"/>
          <w:szCs w:val="20"/>
          <w:color w:val="auto"/>
        </w:rPr>
      </w:pPr>
    </w:p>
    <w:p>
      <w:pPr>
        <w:ind w:firstLine="8"/>
        <w:spacing w:after="0" w:line="277" w:lineRule="auto"/>
        <w:tabs>
          <w:tab w:leader="none" w:pos="7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as of the measurement date.</w:t>
      </w:r>
    </w:p>
    <w:p>
      <w:pPr>
        <w:spacing w:after="0" w:line="62" w:lineRule="exact"/>
        <w:rPr>
          <w:rFonts w:ascii="Arial" w:cs="Arial" w:eastAsia="Arial" w:hAnsi="Arial"/>
          <w:sz w:val="18"/>
          <w:szCs w:val="18"/>
          <w:color w:val="auto"/>
        </w:rPr>
      </w:pPr>
    </w:p>
    <w:p>
      <w:pPr>
        <w:ind w:firstLine="8"/>
        <w:spacing w:after="0" w:line="277" w:lineRule="auto"/>
        <w:tabs>
          <w:tab w:leader="none" w:pos="2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directly observable for the asset or liability or indirectly observable through corroboration with observable market data.</w:t>
      </w:r>
    </w:p>
    <w:p>
      <w:pPr>
        <w:spacing w:after="0" w:line="62" w:lineRule="exact"/>
        <w:rPr>
          <w:rFonts w:ascii="Arial" w:cs="Arial" w:eastAsia="Arial" w:hAnsi="Arial"/>
          <w:sz w:val="18"/>
          <w:szCs w:val="18"/>
          <w:color w:val="auto"/>
        </w:rPr>
      </w:pPr>
    </w:p>
    <w:p>
      <w:pPr>
        <w:ind w:firstLine="8"/>
        <w:spacing w:after="0" w:line="277"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only used when there is little, if any, market activity for the asset or liability at the measurement date.</w:t>
      </w:r>
    </w:p>
    <w:p>
      <w:pPr>
        <w:spacing w:after="0" w:line="1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 in its entirety.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Commitments and Contingencies</w:t>
      </w:r>
    </w:p>
    <w:p>
      <w:pPr>
        <w:spacing w:after="0" w:line="13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the normal course of business, the Company is subject to various claims and litigation. Management of the Company expects that these various litigation items will not have a material adverse effect on the results of operations, cash flows, or financial position of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Asset Retirement Obligations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Company accounts for its asset retirement obligations, or AROs, in accordance with ASC 410-20, </w:t>
      </w:r>
      <w:r>
        <w:rPr>
          <w:rFonts w:ascii="Arial" w:cs="Arial" w:eastAsia="Arial" w:hAnsi="Arial"/>
          <w:sz w:val="16"/>
          <w:szCs w:val="16"/>
          <w:i w:val="1"/>
          <w:iCs w:val="1"/>
          <w:color w:val="auto"/>
        </w:rPr>
        <w:t>Asset Retirement Obligations</w:t>
      </w:r>
      <w:r>
        <w:rPr>
          <w:rFonts w:ascii="Arial" w:cs="Arial" w:eastAsia="Arial" w:hAnsi="Arial"/>
          <w:sz w:val="16"/>
          <w:szCs w:val="16"/>
          <w:color w:val="auto"/>
        </w:rPr>
        <w:t>, or ASC 410-</w:t>
      </w:r>
    </w:p>
    <w:p>
      <w:pPr>
        <w:spacing w:after="0" w:line="46" w:lineRule="exact"/>
        <w:rPr>
          <w:sz w:val="20"/>
          <w:szCs w:val="20"/>
          <w:color w:val="auto"/>
        </w:rPr>
      </w:pPr>
    </w:p>
    <w:p>
      <w:pPr>
        <w:jc w:val="both"/>
        <w:ind w:firstLine="8"/>
        <w:spacing w:after="0" w:line="253" w:lineRule="auto"/>
        <w:tabs>
          <w:tab w:leader="none" w:pos="2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the Company to recognize the fair value of a liability for an ARO in the period in which it is incurred and a reasonable estimate of fair value can be made.</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initial recognition of a liability for an ARO, the Company capitalizes the asset retirement cost by increasing the carrying amount of the related long-lived asset by the same amount. Over time, the liability is accreted to its future value, while the capitalized cost is depreciated over the useful life of the related asset. The Company’s AROs are the estimated cost to remove the above ground solar equipment and restore the site to conditions similar to the surrounding parcels.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represents the balance of the ARO obligation as of December 31, 2019 and 2018, along with the additions and accretion expense related to the Company's ARO for the year ended December 31, 2019 (in thousands):</w:t>
      </w:r>
    </w:p>
    <w:p>
      <w:pPr>
        <w:spacing w:after="0" w:line="225" w:lineRule="exact"/>
        <w:rPr>
          <w:sz w:val="20"/>
          <w:szCs w:val="20"/>
          <w:color w:val="auto"/>
        </w:rPr>
      </w:pPr>
    </w:p>
    <w:tbl>
      <w:tblPr>
        <w:tblLayout w:type="fixed"/>
        <w:tblInd w:w="2080" w:type="dxa"/>
        <w:tblCellMar>
          <w:top w:w="0" w:type="dxa"/>
          <w:left w:w="0" w:type="dxa"/>
          <w:bottom w:w="0" w:type="dxa"/>
          <w:right w:w="0" w:type="dxa"/>
        </w:tblCellMar>
      </w:tblP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2,127</w:t>
            </w:r>
          </w:p>
        </w:tc>
      </w:tr>
      <w:tr>
        <w:trPr>
          <w:trHeight w:val="27"/>
        </w:trPr>
        <w:tc>
          <w:tcPr>
            <w:tcW w:w="5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57"/>
        </w:trPr>
        <w:tc>
          <w:tcPr>
            <w:tcW w:w="548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4,276</w:t>
            </w:r>
          </w:p>
        </w:tc>
      </w:tr>
      <w:tr>
        <w:trPr>
          <w:trHeight w:val="20"/>
        </w:trPr>
        <w:tc>
          <w:tcPr>
            <w:tcW w:w="5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Comprehensive Income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total comprehensive income is equal to its net income for the years ended December 31, 2019 and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34" w:name="page35"/>
    <w:bookmarkEnd w:id="34"/>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Redeemable Noncontrolling Interests</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tax equity investor in the Chestnut Fund, Firstar, has the right to redeem its interests for cash or other assets and accordingly, the Company has included the noncontrolling interest attributable to Firstar as a component of temporary equity in the mezzanine section of the consolidated balance sheets. The following table reflects the changes in the Company's redeemable noncontrolling interest balance for the years ended December 31, 2019 and 2018 (in thousands):</w:t>
      </w:r>
    </w:p>
    <w:p>
      <w:pPr>
        <w:spacing w:after="0" w:line="295" w:lineRule="exact"/>
        <w:rPr>
          <w:sz w:val="20"/>
          <w:szCs w:val="20"/>
          <w:color w:val="auto"/>
        </w:rPr>
      </w:pPr>
    </w:p>
    <w:tbl>
      <w:tblPr>
        <w:tblLayout w:type="fixed"/>
        <w:tblInd w:w="2320" w:type="dxa"/>
        <w:tblCellMar>
          <w:top w:w="0" w:type="dxa"/>
          <w:left w:w="0" w:type="dxa"/>
          <w:bottom w:w="0" w:type="dxa"/>
          <w:right w:w="0" w:type="dxa"/>
        </w:tblCellMar>
      </w:tblP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6,517</w:t>
            </w:r>
          </w:p>
        </w:tc>
      </w:tr>
      <w:tr>
        <w:trPr>
          <w:trHeight w:val="243"/>
        </w:trPr>
        <w:tc>
          <w:tcPr>
            <w:tcW w:w="5280" w:type="dxa"/>
            <w:vAlign w:val="bottom"/>
          </w:tcPr>
          <w:p>
            <w:pPr>
              <w:ind w:left="240"/>
              <w:spacing w:after="0"/>
              <w:rPr>
                <w:sz w:val="20"/>
                <w:szCs w:val="20"/>
                <w:color w:val="auto"/>
              </w:rPr>
            </w:pPr>
            <w:r>
              <w:rPr>
                <w:rFonts w:ascii="Arial" w:cs="Arial" w:eastAsia="Arial" w:hAnsi="Arial"/>
                <w:sz w:val="18"/>
                <w:szCs w:val="18"/>
                <w:color w:val="auto"/>
              </w:rPr>
              <w:t>Cash contributions</w:t>
            </w:r>
          </w:p>
        </w:tc>
        <w:tc>
          <w:tcPr>
            <w:tcW w:w="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44,266</w:t>
            </w:r>
          </w:p>
        </w:tc>
      </w:tr>
      <w:tr>
        <w:trPr>
          <w:trHeight w:val="27"/>
        </w:trPr>
        <w:tc>
          <w:tcPr>
            <w:tcW w:w="5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distributions</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43"/>
        </w:trPr>
        <w:tc>
          <w:tcPr>
            <w:tcW w:w="5280" w:type="dxa"/>
            <w:vAlign w:val="bottom"/>
          </w:tcPr>
          <w:p>
            <w:pPr>
              <w:ind w:left="240"/>
              <w:spacing w:after="0"/>
              <w:rPr>
                <w:sz w:val="20"/>
                <w:szCs w:val="20"/>
                <w:color w:val="auto"/>
              </w:rPr>
            </w:pPr>
            <w:r>
              <w:rPr>
                <w:rFonts w:ascii="Arial" w:cs="Arial" w:eastAsia="Arial" w:hAnsi="Arial"/>
                <w:sz w:val="18"/>
                <w:szCs w:val="18"/>
                <w:color w:val="auto"/>
              </w:rPr>
              <w:t>Net loss attributable to noncontrolling interest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(50,149)</w:t>
            </w:r>
          </w:p>
        </w:tc>
      </w:tr>
      <w:tr>
        <w:trPr>
          <w:trHeight w:val="27"/>
        </w:trPr>
        <w:tc>
          <w:tcPr>
            <w:tcW w:w="5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43"/>
        </w:trPr>
        <w:tc>
          <w:tcPr>
            <w:tcW w:w="5280" w:type="dxa"/>
            <w:vAlign w:val="bottom"/>
          </w:tcPr>
          <w:p>
            <w:pPr>
              <w:ind w:left="240"/>
              <w:spacing w:after="0"/>
              <w:rPr>
                <w:sz w:val="20"/>
                <w:szCs w:val="20"/>
                <w:color w:val="auto"/>
              </w:rPr>
            </w:pPr>
            <w:r>
              <w:rPr>
                <w:rFonts w:ascii="Arial" w:cs="Arial" w:eastAsia="Arial" w:hAnsi="Arial"/>
                <w:sz w:val="18"/>
                <w:szCs w:val="18"/>
                <w:color w:val="auto"/>
              </w:rPr>
              <w:t>Cash contributions</w:t>
            </w:r>
          </w:p>
        </w:tc>
        <w:tc>
          <w:tcPr>
            <w:tcW w:w="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1,724</w:t>
            </w:r>
          </w:p>
        </w:tc>
      </w:tr>
      <w:tr>
        <w:trPr>
          <w:trHeight w:val="27"/>
        </w:trPr>
        <w:tc>
          <w:tcPr>
            <w:tcW w:w="5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distributions</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43"/>
        </w:trPr>
        <w:tc>
          <w:tcPr>
            <w:tcW w:w="5280" w:type="dxa"/>
            <w:vAlign w:val="bottom"/>
          </w:tcPr>
          <w:p>
            <w:pPr>
              <w:ind w:left="240"/>
              <w:spacing w:after="0"/>
              <w:rPr>
                <w:sz w:val="20"/>
                <w:szCs w:val="20"/>
                <w:color w:val="auto"/>
              </w:rPr>
            </w:pPr>
            <w:r>
              <w:rPr>
                <w:rFonts w:ascii="Arial" w:cs="Arial" w:eastAsia="Arial" w:hAnsi="Arial"/>
                <w:sz w:val="18"/>
                <w:szCs w:val="18"/>
                <w:color w:val="auto"/>
              </w:rPr>
              <w:t>Net loss attributable to noncontrolling interest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7"/>
        </w:trPr>
        <w:tc>
          <w:tcPr>
            <w:tcW w:w="5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0"/>
        </w:trPr>
        <w:tc>
          <w:tcPr>
            <w:tcW w:w="5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Tax Equity Arrangements</w:t>
      </w:r>
    </w:p>
    <w:p>
      <w:pPr>
        <w:spacing w:after="0" w:line="1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has determined that the appropriate methodology for calculating its noncontrolling interest and redeemable noncontrolling interest is a balance sheet approach using the hypothetical liquidation at book value, or HLBV, method. Under the HLBV method, the amount reported as noncontrolling interests and redeemable noncontrolling interests represent the amount that each tax equity investor would hypothetically receive at each balance sheet date under the liquidation provisions of the contractual agreements assuming the net assets were liquidated at their recorded amounts determined in accordance with GAAP. The tax equity investors' interest in the results of operations are determined as the difference in the noncontrolling interest or redeemable noncontrolling interest at the start and end of each reporting period, after taking into account any capital transactions. The calculations utilized to apply the HLBV method include estimated calculations of taxable income or losses for the reporting period. These amounts are reconciled to the taxable income or loss included within the tax return once the tax return is filed.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Use of Estimates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35" w:name="page36"/>
    <w:bookmarkEnd w:id="35"/>
    <w:p>
      <w:pPr>
        <w:ind w:left="7780"/>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Tax Equity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Chestnut Fund</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wholly owned subsidiary Chestnut Class B LLC is the Class B Member and the Managing Member of the Chestnut Fund tax equity arrangement and it conducts and directs all operating activities of the fund. The Investor Member is Firstar. Chestnut Fund is a VIE and Chestnut Class B LLC is the primary beneficiary due to its role as Managing Member and the ability to direct the activities that most significantly impact the economics of the tax equity arrangement.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financial information for Chestnut Fund as of December 31, 2019 and 2018 is as follows (in thousands):</w:t>
      </w:r>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13,490</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175,492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182,416</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 for power purchase agreement,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Right-of-use assets, net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22,817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37"/>
        </w:trPr>
        <w:tc>
          <w:tcPr>
            <w:tcW w:w="5600" w:type="dxa"/>
            <w:vAlign w:val="bottom"/>
          </w:tcPr>
          <w:p>
            <w:pPr>
              <w:ind w:left="6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214,583</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197,643</w:t>
            </w: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3,473</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22,753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7,290</w:t>
            </w:r>
          </w:p>
        </w:tc>
      </w:tr>
      <w:tr>
        <w:trPr>
          <w:trHeight w:val="237"/>
        </w:trPr>
        <w:tc>
          <w:tcPr>
            <w:tcW w:w="5600" w:type="dxa"/>
            <w:vAlign w:val="bottom"/>
          </w:tcPr>
          <w:p>
            <w:pPr>
              <w:ind w:left="6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26,514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10,763</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57"/>
        </w:trPr>
        <w:tc>
          <w:tcPr>
            <w:tcW w:w="5600" w:type="dxa"/>
            <w:vAlign w:val="bottom"/>
          </w:tcPr>
          <w:p>
            <w:pPr>
              <w:ind w:left="620"/>
              <w:spacing w:after="0"/>
              <w:rPr>
                <w:sz w:val="20"/>
                <w:szCs w:val="20"/>
                <w:color w:val="auto"/>
              </w:rPr>
            </w:pPr>
            <w:r>
              <w:rPr>
                <w:rFonts w:ascii="Arial" w:cs="Arial" w:eastAsia="Arial" w:hAnsi="Arial"/>
                <w:sz w:val="18"/>
                <w:szCs w:val="18"/>
                <w:color w:val="auto"/>
              </w:rPr>
              <w:t>Net assets less redeemable noncontrolling interests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188,806</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187,174</w:t>
            </w: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CS4 Fund</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wholly owned subsidiary Renew Solar CS4 Class B LLC is the Class B Member and Managing Member of the CS4 Fund tax equity arrangement, and conducts and directs all operating activities of the fund. The Investor Member is PNC. CS4 Fund is a VIE and Renew Solar CS4 Class B LLC is the primary beneficiary due to its role as Managing Member and the ability to direct the activities that most significantly impact the economics of the tax equity arrangement.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financial information for CS4 Fund as of December 31, 2019 and 2018 is as follows (in thousands):</w:t>
      </w:r>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156,684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43,274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net</w:t>
            </w:r>
          </w:p>
        </w:tc>
        <w:tc>
          <w:tcPr>
            <w:tcW w:w="1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8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175,207</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43,274</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 affiliate</w:t>
            </w:r>
          </w:p>
        </w:tc>
        <w:tc>
          <w:tcPr>
            <w:tcW w:w="1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67,739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57,126</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1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11,950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1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37"/>
        </w:trPr>
        <w:tc>
          <w:tcPr>
            <w:tcW w:w="374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8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85,972</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59,876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57"/>
        </w:trPr>
        <w:tc>
          <w:tcPr>
            <w:tcW w:w="3740" w:type="dxa"/>
            <w:vAlign w:val="bottom"/>
          </w:tcPr>
          <w:p>
            <w:pPr>
              <w:ind w:left="600"/>
              <w:spacing w:after="0"/>
              <w:rPr>
                <w:sz w:val="20"/>
                <w:szCs w:val="20"/>
                <w:color w:val="auto"/>
              </w:rPr>
            </w:pPr>
            <w:r>
              <w:rPr>
                <w:rFonts w:ascii="Arial" w:cs="Arial" w:eastAsia="Arial" w:hAnsi="Arial"/>
                <w:sz w:val="18"/>
                <w:szCs w:val="18"/>
                <w:color w:val="auto"/>
                <w:w w:val="99"/>
              </w:rPr>
              <w:t>Net assets less noncontrolling interests</w:t>
            </w:r>
          </w:p>
        </w:tc>
        <w:tc>
          <w:tcPr>
            <w:tcW w:w="18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88,174</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80" w:type="dxa"/>
            <w:vAlign w:val="bottom"/>
            <w:vMerge w:val="restart"/>
          </w:tcPr>
          <w:p>
            <w:pPr>
              <w:jc w:val="right"/>
              <w:ind w:right="125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6"/>
        </w:trPr>
        <w:tc>
          <w:tcPr>
            <w:tcW w:w="37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6" w:name="page37"/>
    <w:bookmarkEnd w:id="36"/>
    <w:p>
      <w:pPr>
        <w:ind w:left="7780"/>
        <w:spacing w:after="0"/>
        <w:rPr>
          <w:sz w:val="20"/>
          <w:szCs w:val="20"/>
          <w:color w:val="auto"/>
        </w:rPr>
      </w:pPr>
      <w:r>
        <w:rPr>
          <w:rFonts w:ascii="Arial" w:cs="Arial" w:eastAsia="Arial" w:hAnsi="Arial"/>
          <w:sz w:val="18"/>
          <w:szCs w:val="18"/>
          <w:color w:val="auto"/>
        </w:rPr>
        <w:t>Exhibit 99.1</w:t>
      </w:r>
    </w:p>
    <w:p>
      <w:pPr>
        <w:spacing w:after="0" w:line="235"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20"/>
          <w:szCs w:val="20"/>
          <w:b w:val="1"/>
          <w:bCs w:val="1"/>
          <w:color w:val="auto"/>
        </w:rPr>
      </w:pPr>
      <w:r>
        <w:rPr>
          <w:rFonts w:ascii="Arial" w:cs="Arial" w:eastAsia="Arial" w:hAnsi="Arial"/>
          <w:sz w:val="18"/>
          <w:szCs w:val="18"/>
          <w:b w:val="1"/>
          <w:bCs w:val="1"/>
          <w:color w:val="auto"/>
        </w:rPr>
        <w:t>Property, Plant, and Equipment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major classes of property, plant, and equipment as of December 31, 2019 and 2018 were as follows (in thousands):</w:t>
      </w:r>
    </w:p>
    <w:p>
      <w:pPr>
        <w:spacing w:after="0" w:line="289"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Depreciable lives</w:t>
            </w: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Plant equipment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300,747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184,558</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10 - 30 years</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45,488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68,564</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346,235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253,122</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(14,059)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(5,363)</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Net property, plant, and equipment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332,176</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247,759</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0"/>
        </w:trPr>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Chestnut Fund</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Chestnut Fund purchased its solar installations through the acquisition of membership interests in its subsidiaries from Clearway Renew. During 2017 through 2019, the purchase price of the acquired property, plant, and equipment was $259.4 million. As of December 31, 2018, $5.8 million of the purchase price was payable to Clearway Renew and was recorded on the Company's consolidated balance sheets in accounts payable – affiliate. As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the acquisitions were a transfer of assets under common control. Accordingly, the assets are recorded at Clearway Renew's historical cost. The purchase price less the historical cost is recorded as a developer fee and a corresponding reduction to equity. In addition, AROs totalling $1.5 million have been recorded by Chestnut Fund upon acquisitions and are included in property, plant, and equipment. In 2018, $997 thousand was recorded as a reduction to property, plant, and equipment for a NYSERDA government incentive award related to the Minisink Solar 1 LLC and Minisink Solar 2 LLC facilities reaching commercial operation. For additional information on the award, see note 2(k),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37" w:name="page38"/>
    <w:bookmarkEnd w:id="37"/>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Chestnut Fund completed the following acquisitions of membership interests in its subsidiaries with the purchase price allocated primarily to property, plant, and equipment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Purchase</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Historical</w:t>
            </w:r>
          </w:p>
        </w:tc>
        <w:tc>
          <w:tcPr>
            <w:tcW w:w="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Developer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0"/>
        </w:trPr>
        <w:tc>
          <w:tcPr>
            <w:tcW w:w="2320" w:type="dxa"/>
            <w:vAlign w:val="bottom"/>
            <w:gridSpan w:val="2"/>
          </w:tcPr>
          <w:p>
            <w:pPr>
              <w:ind w:left="520"/>
              <w:spacing w:after="0"/>
              <w:rPr>
                <w:sz w:val="20"/>
                <w:szCs w:val="20"/>
                <w:color w:val="auto"/>
              </w:rPr>
            </w:pPr>
            <w:r>
              <w:rPr>
                <w:rFonts w:ascii="Arial" w:cs="Arial" w:eastAsia="Arial" w:hAnsi="Arial"/>
                <w:sz w:val="16"/>
                <w:szCs w:val="16"/>
                <w:b w:val="1"/>
                <w:bCs w:val="1"/>
                <w:color w:val="auto"/>
              </w:rPr>
              <w:t>Project company</w:t>
            </w: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price</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8"/>
              </w:rPr>
              <w:t>cost</w:t>
            </w:r>
          </w:p>
        </w:tc>
        <w:tc>
          <w:tcPr>
            <w:tcW w:w="240" w:type="dxa"/>
            <w:vAlign w:val="bottom"/>
          </w:tcPr>
          <w:p>
            <w:pPr>
              <w:spacing w:after="0"/>
              <w:rPr>
                <w:sz w:val="18"/>
                <w:szCs w:val="18"/>
                <w:color w:val="auto"/>
              </w:rPr>
            </w:pPr>
          </w:p>
        </w:tc>
        <w:tc>
          <w:tcPr>
            <w:tcW w:w="680" w:type="dxa"/>
            <w:vAlign w:val="bottom"/>
          </w:tcPr>
          <w:p>
            <w:pPr>
              <w:jc w:val="right"/>
              <w:ind w:right="279"/>
              <w:spacing w:after="0"/>
              <w:rPr>
                <w:sz w:val="20"/>
                <w:szCs w:val="20"/>
                <w:color w:val="auto"/>
              </w:rPr>
            </w:pPr>
            <w:r>
              <w:rPr>
                <w:rFonts w:ascii="Arial" w:cs="Arial" w:eastAsia="Arial" w:hAnsi="Arial"/>
                <w:sz w:val="16"/>
                <w:szCs w:val="16"/>
                <w:b w:val="1"/>
                <w:bCs w:val="1"/>
                <w:color w:val="auto"/>
              </w:rPr>
              <w:t>fee</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Acquisition date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Placed in service date</w:t>
            </w:r>
          </w:p>
        </w:tc>
      </w:tr>
      <w:tr>
        <w:trPr>
          <w:trHeight w:val="33"/>
        </w:trPr>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Black Cat Road Solar, LLC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August 30, 2017</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Brook St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7,401</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6, 2017</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Solar Mule,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1,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18, 2017</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Big Lake Holdco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4,024</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October 1, 2017</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Solar West Shaft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October 10, 2017</w:t>
            </w:r>
          </w:p>
        </w:tc>
      </w:tr>
      <w:tr>
        <w:trPr>
          <w:trHeight w:val="270"/>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 xml:space="preserve">DG Foxborough Elm LLC </w:t>
            </w:r>
            <w:r>
              <w:rPr>
                <w:rFonts w:ascii="Arial" w:cs="Arial" w:eastAsia="Arial" w:hAnsi="Arial"/>
                <w:sz w:val="21"/>
                <w:szCs w:val="21"/>
                <w:color w:val="auto"/>
                <w:vertAlign w:val="superscript"/>
              </w:rPr>
              <w:t>(a)</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2,345</w:t>
            </w:r>
          </w:p>
        </w:tc>
        <w:tc>
          <w:tcPr>
            <w:tcW w:w="100" w:type="dxa"/>
            <w:vAlign w:val="bottom"/>
          </w:tcPr>
          <w:p>
            <w:pPr>
              <w:spacing w:after="0"/>
              <w:rPr>
                <w:sz w:val="23"/>
                <w:szCs w:val="23"/>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October 12, 2017</w:t>
            </w: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Redbrook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November 9, 2017</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Northfield Holdco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4,897</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27,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December 1, 2017</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Waterford Holdco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27,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1, 2017</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Center St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3,487</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December 21, 2017</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TOS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27,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30, 2017</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TOS Solar 2,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27,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December 30, 2017</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Stafford St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31, 2017</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Stafford St Solar 3,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December 31, 2017</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ETCAP NES CS MN 02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25, 2018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May 1, 2018</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ETCAP NES CS MN 06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3,004</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January 25,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May 1, 2018</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Stafford St Solar 2,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May 9, 2018</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Bullock Road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5,482</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July 25, 2018</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Mapleton Solar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March 29, 2018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2018</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Osakis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March 29,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1, 2018</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Solar Wauwinet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27,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17, 2018</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Minisink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2,572</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January 25,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October 26, 2018</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Minisink Solar 2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25, 2018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October 31, 2018</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DG Marathon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2,934</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8"/>
              </w:rPr>
              <w:t>January 4, 2019</w:t>
            </w:r>
          </w:p>
        </w:tc>
      </w:tr>
      <w:tr>
        <w:trPr>
          <w:trHeight w:val="33"/>
        </w:trPr>
        <w:tc>
          <w:tcPr>
            <w:tcW w:w="2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3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acquisitions</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259,364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71,890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less: 2017 acquisitions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194,744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133,081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61,663</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less: 2018 acquisitions</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44"/>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2019 acquisitions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1398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48"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 xml:space="preserve">Included in the historical cost of Foxborough is $1.5 million for an intangible asset, as described further in note 2(f),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w:t>
      </w:r>
    </w:p>
    <w:p>
      <w:pPr>
        <w:spacing w:after="0" w:line="187" w:lineRule="exact"/>
        <w:rPr>
          <w:rFonts w:ascii="Arial" w:cs="Arial" w:eastAsia="Arial" w:hAnsi="Arial"/>
          <w:sz w:val="15"/>
          <w:szCs w:val="15"/>
          <w:color w:val="auto"/>
        </w:rPr>
      </w:pPr>
    </w:p>
    <w:p>
      <w:pPr>
        <w:ind w:left="260" w:hanging="252"/>
        <w:spacing w:after="0"/>
        <w:tabs>
          <w:tab w:leader="none" w:pos="2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CS4 Fund</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CS4 Fund purchased its solar installations through the acquisition of membership interests in its subsidiaries from CS4 Seller, a wholly owned subsidiary of the Company. CS4 Seller funded the construction of the projects through borrowings under the financing arrangement for CS4 Borrower, as further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The purchase price of the acquired property, plant, and equipment was $165.0 million and $71.2 million in 2019 and 2018. As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the acquisitions were transfers of assets under common control. Accordingly, the assets are recorded at CS4 Seller's historical cost. The purchase price less the historical cost was recorded as a developer fee and a corresponding reduction to equity. In addition, the Company recorded an ARO of $2.1 million and $274 thousand in 2019 and 2018, respectively, which is included in property, plant, and equipment. In 2019, $2.8 million was recorded as a reduction to property, plant, and equipment for a NYSERDA government incentive award related to the five New York solar facilities reaching commercial operation. For additional information on the award, see note 2(k),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38" w:name="page39"/>
    <w:bookmarkEnd w:id="38"/>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CS4 Fund completed the following acquisitions of membership interests in its subsidiaries, with the purchase price allocated primarily to property, plant, and equipment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Purchase</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Historical</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Developer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0"/>
        </w:trPr>
        <w:tc>
          <w:tcPr>
            <w:tcW w:w="2340" w:type="dxa"/>
            <w:vAlign w:val="bottom"/>
            <w:gridSpan w:val="2"/>
          </w:tcPr>
          <w:p>
            <w:pPr>
              <w:ind w:left="540"/>
              <w:spacing w:after="0"/>
              <w:rPr>
                <w:sz w:val="20"/>
                <w:szCs w:val="20"/>
                <w:color w:val="auto"/>
              </w:rPr>
            </w:pPr>
            <w:r>
              <w:rPr>
                <w:rFonts w:ascii="Arial" w:cs="Arial" w:eastAsia="Arial" w:hAnsi="Arial"/>
                <w:sz w:val="16"/>
                <w:szCs w:val="16"/>
                <w:b w:val="1"/>
                <w:bCs w:val="1"/>
                <w:color w:val="auto"/>
              </w:rPr>
              <w:t>Project company</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price</w:t>
            </w: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8"/>
              </w:rPr>
              <w:t>cost</w:t>
            </w:r>
          </w:p>
        </w:tc>
        <w:tc>
          <w:tcPr>
            <w:tcW w:w="220" w:type="dxa"/>
            <w:vAlign w:val="bottom"/>
          </w:tcPr>
          <w:p>
            <w:pPr>
              <w:spacing w:after="0"/>
              <w:rPr>
                <w:sz w:val="18"/>
                <w:szCs w:val="18"/>
                <w:color w:val="auto"/>
              </w:rPr>
            </w:pPr>
          </w:p>
        </w:tc>
        <w:tc>
          <w:tcPr>
            <w:tcW w:w="680" w:type="dxa"/>
            <w:vAlign w:val="bottom"/>
          </w:tcPr>
          <w:p>
            <w:pPr>
              <w:jc w:val="right"/>
              <w:ind w:right="279"/>
              <w:spacing w:after="0"/>
              <w:rPr>
                <w:sz w:val="20"/>
                <w:szCs w:val="20"/>
                <w:color w:val="auto"/>
              </w:rPr>
            </w:pPr>
            <w:r>
              <w:rPr>
                <w:rFonts w:ascii="Arial" w:cs="Arial" w:eastAsia="Arial" w:hAnsi="Arial"/>
                <w:sz w:val="16"/>
                <w:szCs w:val="16"/>
                <w:b w:val="1"/>
                <w:bCs w:val="1"/>
                <w:color w:val="auto"/>
              </w:rPr>
              <w:t>fee</w:t>
            </w: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Acquisition date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8"/>
              </w:rPr>
              <w:t>Placed in service date</w:t>
            </w:r>
          </w:p>
        </w:tc>
      </w:tr>
      <w:tr>
        <w:trPr>
          <w:trHeight w:val="33"/>
        </w:trPr>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Montevideo Solar LLC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November 29, 2018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Underhill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2,566</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March 18,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Bluestone Solar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December 20, 2018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March 27,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Chisago Holdco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4,344</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May 1,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Frontenac Holdco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December 20, 2018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May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CMR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3,540</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May 10,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Sartell Solar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19,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June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Grabinski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2,404</w:t>
            </w:r>
          </w:p>
        </w:tc>
        <w:tc>
          <w:tcPr>
            <w:tcW w:w="1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27,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July 25,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Clara City Solar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New Munich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Olinda Trail Solar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Rollingstone Holdco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9,673</w:t>
            </w:r>
          </w:p>
        </w:tc>
        <w:tc>
          <w:tcPr>
            <w:tcW w:w="1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27,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Stearns Solar I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Wabasha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1,902</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Wabasha Solar II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Wabasha Solar III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Winona Solar I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Winona Solar II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1,974</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Mount Hope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June 27,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October 9,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Rounseville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5,280</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November 14,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Wilmarth Lane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May 31,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N/A (a)</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Partridgeville Road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6,482</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November 30,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98"/>
              </w:rPr>
              <w:t>N/A (a)</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Eastman Street Solar 1 LLC</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June 27,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N/A (a)</w:t>
            </w:r>
          </w:p>
        </w:tc>
      </w:tr>
      <w:tr>
        <w:trPr>
          <w:trHeight w:val="21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Total acquisitions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236,183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148,042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88,141</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less: 2018 acquisitions</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30,795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44"/>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2019 acquisitions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165,023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107,677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57,346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1398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(a) Projects have not yet been placed in service.</w:t>
      </w:r>
    </w:p>
    <w:p>
      <w:pPr>
        <w:spacing w:after="0" w:line="200" w:lineRule="exact"/>
        <w:rPr>
          <w:sz w:val="20"/>
          <w:szCs w:val="20"/>
          <w:color w:val="auto"/>
        </w:rPr>
      </w:pPr>
    </w:p>
    <w:p>
      <w:pPr>
        <w:spacing w:after="0" w:line="202"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20"/>
          <w:szCs w:val="20"/>
          <w:b w:val="1"/>
          <w:bCs w:val="1"/>
          <w:color w:val="auto"/>
        </w:rPr>
      </w:pPr>
      <w:r>
        <w:rPr>
          <w:rFonts w:ascii="Arial" w:cs="Arial" w:eastAsia="Arial" w:hAnsi="Arial"/>
          <w:sz w:val="18"/>
          <w:szCs w:val="18"/>
          <w:b w:val="1"/>
          <w:bCs w:val="1"/>
          <w:color w:val="auto"/>
        </w:rPr>
        <w:t>Accounting for Derivative Instruments and Hedging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Interest Rate Swaps</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accordance with the financing agreements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Chestnut Fund Borrower and CS4 Borrower each entered into a series of fixed for floating forward interest rate swaps for at least 80% and not more than 105% of the expected borrowings under the term loans, intended to hedge the risks associated with floating interest rates. Chestnut Fund and CS4 Borrower will pay their counterparties the equivalent of a fixed interest payment on a predetermined notional value, and quarterly each borrower will receive the equivalent of a floating interest payment based on a three-month LIBOR from the effective date through the maturity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39" w:name="page40"/>
    <w:bookmarkEnd w:id="39"/>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Volumetric Underlying Derivative Transactions</w:t>
      </w:r>
    </w:p>
    <w:p>
      <w:pPr>
        <w:spacing w:after="0" w:line="13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notional amount of the interest rate swaps decreases in proportion to the loans. The following table summarizes the outstanding notional amounts and terms of the interest rate swaps as of December 31, 2019 and 2018:</w:t>
      </w:r>
    </w:p>
    <w:p>
      <w:pPr>
        <w:spacing w:after="0" w:line="234"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Notional amount</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0"/>
        </w:trPr>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Effective date</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Fixed Rate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8"/>
              </w:rPr>
              <w:t>Maturity Date</w:t>
            </w: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31, 2019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46,869</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2.380%</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2040</w:t>
            </w:r>
          </w:p>
        </w:tc>
      </w:tr>
      <w:tr>
        <w:trPr>
          <w:trHeight w:val="243"/>
        </w:trPr>
        <w:tc>
          <w:tcPr>
            <w:tcW w:w="1900" w:type="dxa"/>
            <w:vAlign w:val="bottom"/>
          </w:tcPr>
          <w:p>
            <w:pPr>
              <w:jc w:val="center"/>
              <w:spacing w:after="0"/>
              <w:rPr>
                <w:sz w:val="20"/>
                <w:szCs w:val="20"/>
                <w:color w:val="auto"/>
              </w:rPr>
            </w:pPr>
            <w:r>
              <w:rPr>
                <w:rFonts w:ascii="Arial" w:cs="Arial" w:eastAsia="Arial" w:hAnsi="Arial"/>
                <w:sz w:val="18"/>
                <w:szCs w:val="18"/>
                <w:color w:val="auto"/>
                <w:w w:val="89"/>
              </w:rPr>
              <w:t>January 31, 2019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11,341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11,755</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2.502%</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30, 2041</w:t>
            </w: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31, 2019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29,742</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2.495%</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2041</w:t>
            </w:r>
          </w:p>
        </w:tc>
      </w:tr>
      <w:tr>
        <w:trPr>
          <w:trHeight w:val="243"/>
        </w:trPr>
        <w:tc>
          <w:tcPr>
            <w:tcW w:w="1900" w:type="dxa"/>
            <w:vAlign w:val="bottom"/>
          </w:tcPr>
          <w:p>
            <w:pPr>
              <w:jc w:val="center"/>
              <w:spacing w:after="0"/>
              <w:rPr>
                <w:sz w:val="20"/>
                <w:szCs w:val="20"/>
                <w:color w:val="auto"/>
              </w:rPr>
            </w:pPr>
            <w:r>
              <w:rPr>
                <w:rFonts w:ascii="Arial" w:cs="Arial" w:eastAsia="Arial" w:hAnsi="Arial"/>
                <w:sz w:val="18"/>
                <w:szCs w:val="18"/>
                <w:color w:val="auto"/>
                <w:w w:val="89"/>
              </w:rPr>
              <w:t>January 30, 2019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7,709</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3.065%</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October 30, 2041</w:t>
            </w: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2.903%</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30, 2041</w:t>
            </w:r>
          </w:p>
        </w:tc>
      </w:tr>
      <w:tr>
        <w:trPr>
          <w:trHeight w:val="243"/>
        </w:trPr>
        <w:tc>
          <w:tcPr>
            <w:tcW w:w="1900" w:type="dxa"/>
            <w:vAlign w:val="bottom"/>
          </w:tcPr>
          <w:p>
            <w:pPr>
              <w:jc w:val="center"/>
              <w:spacing w:after="0"/>
              <w:rPr>
                <w:sz w:val="20"/>
                <w:szCs w:val="20"/>
                <w:color w:val="auto"/>
              </w:rPr>
            </w:pPr>
            <w:r>
              <w:rPr>
                <w:rFonts w:ascii="Arial" w:cs="Arial" w:eastAsia="Arial" w:hAnsi="Arial"/>
                <w:sz w:val="18"/>
                <w:szCs w:val="18"/>
                <w:color w:val="auto"/>
                <w:w w:val="95"/>
              </w:rPr>
              <w:t>April 15, 2019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5,252</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3.181%</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July 15, 2035</w:t>
            </w: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15, 2019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3.181%</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July 15, 2035</w:t>
            </w:r>
          </w:p>
        </w:tc>
      </w:tr>
      <w:tr>
        <w:trPr>
          <w:trHeight w:val="243"/>
        </w:trPr>
        <w:tc>
          <w:tcPr>
            <w:tcW w:w="1900" w:type="dxa"/>
            <w:vAlign w:val="bottom"/>
          </w:tcPr>
          <w:p>
            <w:pPr>
              <w:jc w:val="center"/>
              <w:spacing w:after="0"/>
              <w:rPr>
                <w:sz w:val="20"/>
                <w:szCs w:val="20"/>
                <w:color w:val="auto"/>
              </w:rPr>
            </w:pPr>
            <w:r>
              <w:rPr>
                <w:rFonts w:ascii="Arial" w:cs="Arial" w:eastAsia="Arial" w:hAnsi="Arial"/>
                <w:sz w:val="18"/>
                <w:szCs w:val="18"/>
                <w:color w:val="auto"/>
                <w:w w:val="95"/>
              </w:rPr>
              <w:t>April 15, 2019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7,768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7,878</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3.181%</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July 15, 2035</w:t>
            </w: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August 28, 2019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1.601%</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15, 2043</w:t>
            </w:r>
          </w:p>
        </w:tc>
      </w:tr>
      <w:tr>
        <w:trPr>
          <w:trHeight w:val="243"/>
        </w:trPr>
        <w:tc>
          <w:tcPr>
            <w:tcW w:w="1900" w:type="dxa"/>
            <w:vAlign w:val="bottom"/>
          </w:tcPr>
          <w:p>
            <w:pPr>
              <w:jc w:val="center"/>
              <w:spacing w:after="0"/>
              <w:rPr>
                <w:sz w:val="20"/>
                <w:szCs w:val="20"/>
                <w:color w:val="auto"/>
              </w:rPr>
            </w:pPr>
            <w:r>
              <w:rPr>
                <w:rFonts w:ascii="Arial" w:cs="Arial" w:eastAsia="Arial" w:hAnsi="Arial"/>
                <w:sz w:val="18"/>
                <w:szCs w:val="18"/>
                <w:color w:val="auto"/>
                <w:w w:val="91"/>
              </w:rPr>
              <w:t>August 28, 2019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24,960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1.601%</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15, 2043</w:t>
            </w: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August 28, 2019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1.601%</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15, 2043</w:t>
            </w:r>
          </w:p>
        </w:tc>
      </w:tr>
      <w:tr>
        <w:trPr>
          <w:trHeight w:val="237"/>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204,214</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117,083</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Fair Value of Derivative Transactions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derivative assets and liabilities on the consolidated balance sheets as of December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(in thousands):</w:t>
      </w:r>
    </w:p>
    <w:p>
      <w:pPr>
        <w:spacing w:after="0" w:line="274"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Derivatives not designated as cash flow hedges:</w:t>
            </w: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200"/>
              <w:spacing w:after="0"/>
              <w:rPr>
                <w:sz w:val="20"/>
                <w:szCs w:val="20"/>
                <w:color w:val="auto"/>
              </w:rPr>
            </w:pPr>
            <w:r>
              <w:rPr>
                <w:rFonts w:ascii="Arial" w:cs="Arial" w:eastAsia="Arial" w:hAnsi="Arial"/>
                <w:sz w:val="18"/>
                <w:szCs w:val="18"/>
                <w:color w:val="auto"/>
              </w:rPr>
              <w:t>Derivative assets:</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rate contracts current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5200" w:type="dxa"/>
            <w:vAlign w:val="bottom"/>
          </w:tcPr>
          <w:p>
            <w:pPr>
              <w:ind w:left="420"/>
              <w:spacing w:after="0"/>
              <w:rPr>
                <w:sz w:val="20"/>
                <w:szCs w:val="20"/>
                <w:color w:val="auto"/>
              </w:rPr>
            </w:pPr>
            <w:r>
              <w:rPr>
                <w:rFonts w:ascii="Arial" w:cs="Arial" w:eastAsia="Arial" w:hAnsi="Arial"/>
                <w:sz w:val="18"/>
                <w:szCs w:val="18"/>
                <w:color w:val="auto"/>
              </w:rPr>
              <w:t>Interest rate contracts long-term</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0"/>
              <w:spacing w:after="0"/>
              <w:rPr>
                <w:sz w:val="20"/>
                <w:szCs w:val="20"/>
                <w:color w:val="auto"/>
              </w:rPr>
            </w:pPr>
            <w:r>
              <w:rPr>
                <w:rFonts w:ascii="Arial" w:cs="Arial" w:eastAsia="Arial" w:hAnsi="Arial"/>
                <w:sz w:val="18"/>
                <w:szCs w:val="18"/>
                <w:color w:val="auto"/>
              </w:rPr>
              <w:t>Derivative liabilities:</w:t>
            </w: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rate contracts current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200" w:type="dxa"/>
            <w:vAlign w:val="bottom"/>
          </w:tcPr>
          <w:p>
            <w:pPr>
              <w:ind w:left="420"/>
              <w:spacing w:after="0"/>
              <w:rPr>
                <w:sz w:val="20"/>
                <w:szCs w:val="20"/>
                <w:color w:val="auto"/>
              </w:rPr>
            </w:pPr>
            <w:r>
              <w:rPr>
                <w:rFonts w:ascii="Arial" w:cs="Arial" w:eastAsia="Arial" w:hAnsi="Arial"/>
                <w:sz w:val="18"/>
                <w:szCs w:val="18"/>
                <w:color w:val="auto"/>
              </w:rPr>
              <w:t>Interest rate contracts long-term</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7,712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20"/>
          <w:szCs w:val="20"/>
          <w:b w:val="1"/>
          <w:bCs w:val="1"/>
          <w:i w:val="1"/>
          <w:iCs w:val="1"/>
          <w:color w:val="auto"/>
        </w:rPr>
      </w:pPr>
      <w:r>
        <w:rPr>
          <w:rFonts w:ascii="Arial" w:cs="Arial" w:eastAsia="Arial" w:hAnsi="Arial"/>
          <w:sz w:val="18"/>
          <w:szCs w:val="18"/>
          <w:b w:val="1"/>
          <w:bCs w:val="1"/>
          <w:i w:val="1"/>
          <w:iCs w:val="1"/>
          <w:color w:val="auto"/>
        </w:rPr>
        <w:t>Impact of Derivative Instruments on the Consolidated Statements of Operations</w:t>
      </w:r>
    </w:p>
    <w:p>
      <w:pPr>
        <w:spacing w:after="0" w:line="10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Company's interest rate derivative instruments are not designated as cash flow hedges. The effect of interest rate hedges is recorded to interest expense. For the years ended December 31, 2019 and 2018, the impact to the consolidated statements of operations was a loss of $6.4 million and a gain of $468 thousand, respectively.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40" w:name="page41"/>
    <w:bookmarkEnd w:id="40"/>
    <w:p>
      <w:pPr>
        <w:ind w:left="7780"/>
        <w:spacing w:after="0"/>
        <w:rPr>
          <w:sz w:val="20"/>
          <w:szCs w:val="20"/>
          <w:color w:val="auto"/>
        </w:rPr>
      </w:pPr>
      <w:r>
        <w:rPr>
          <w:rFonts w:ascii="Arial" w:cs="Arial" w:eastAsia="Arial" w:hAnsi="Arial"/>
          <w:sz w:val="18"/>
          <w:szCs w:val="18"/>
          <w:color w:val="auto"/>
        </w:rPr>
        <w:t>Exhibit 99.1</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Long-Term Debt</w:t>
      </w:r>
    </w:p>
    <w:p>
      <w:pPr>
        <w:spacing w:after="0" w:line="130"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Chestnut Borrower Credit Agreement</w:t>
      </w:r>
    </w:p>
    <w:p>
      <w:pPr>
        <w:spacing w:after="0" w:line="18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July 2017, the Company entered into a credit agreement with Deutsche Bank AG, (subsequently amended in June 2018), for term loans of up to $120.3 million and letters of credit of up to $7.5 million. In January 2019, the letters of credit commitment amount under the credit agreement was increased to $7.9 million. The loans bear annual interest at a rate of LIBOR plus an applicable margin, which is 2.50% per annum through the fifth anniversary of the financial closing date, or July 2022, and 2.75% per annum thereafter through the maturity date in March 2024. In addition to interest on the outstanding borrowings, the Company will pay a commitment fee on the unused portions of the term loan and letter of credit commitments equal to 0.75% per year. The borrowings are secured by the Company's interests in the project companies.</w:t>
      </w:r>
    </w:p>
    <w:p>
      <w:pPr>
        <w:spacing w:after="0" w:line="1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2019, the Company had issued a letter of credit for a commitment of $7.9 million to support the Company’s debt service reserve requirements. The Company pays a letter of credit fee of 2.50% per annum on issued amounts under the letter of credit facility on a quarterly basis, which is recorded in interest expense in the consolidated statements of operations.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and 2018, long-term debt consists of the following (in thousands):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5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(including current maturities)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115,576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117,570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(5,646)</w:t>
            </w:r>
          </w:p>
        </w:tc>
      </w:tr>
      <w:tr>
        <w:trPr>
          <w:trHeight w:val="27"/>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issuance costs,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r>
      <w:tr>
        <w:trPr>
          <w:trHeight w:val="257"/>
        </w:trPr>
        <w:tc>
          <w:tcPr>
            <w:tcW w:w="5640" w:type="dxa"/>
            <w:vAlign w:val="bottom"/>
          </w:tcPr>
          <w:p>
            <w:pPr>
              <w:ind w:left="62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103,432</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107,556</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Distributions from the Company are subject to compliance with the terms and conditions defined in the credit agreement, including a covenant to meet a required debt service coverage ratio of at least 1.20 to 1.0. At December 31, 2019, the Company was in compliance with various restrictive covenants defined in the credit agreement.</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maturities as of December 31, 2019 are summarized as follows (in thousands):</w:t>
      </w:r>
    </w:p>
    <w:p>
      <w:pPr>
        <w:spacing w:after="0" w:line="347" w:lineRule="exact"/>
        <w:rPr>
          <w:sz w:val="20"/>
          <w:szCs w:val="20"/>
          <w:color w:val="auto"/>
        </w:rPr>
      </w:pPr>
    </w:p>
    <w:tbl>
      <w:tblPr>
        <w:tblLayout w:type="fixed"/>
        <w:tblInd w:w="2980" w:type="dxa"/>
        <w:tblCellMar>
          <w:top w:w="0" w:type="dxa"/>
          <w:left w:w="0" w:type="dxa"/>
          <w:bottom w:w="0" w:type="dxa"/>
          <w:right w:w="0" w:type="dxa"/>
        </w:tblCellMar>
      </w:tblPr>
      <w:tr>
        <w:trPr>
          <w:trHeight w:val="230"/>
        </w:trPr>
        <w:tc>
          <w:tcPr>
            <w:tcW w:w="2260" w:type="dxa"/>
            <w:vAlign w:val="bottom"/>
          </w:tcPr>
          <w:p>
            <w:pPr>
              <w:jc w:val="right"/>
              <w:ind w:right="210"/>
              <w:spacing w:after="0"/>
              <w:rPr>
                <w:sz w:val="20"/>
                <w:szCs w:val="20"/>
                <w:color w:val="auto"/>
              </w:rPr>
            </w:pPr>
            <w:r>
              <w:rPr>
                <w:rFonts w:ascii="Arial" w:cs="Arial" w:eastAsia="Arial" w:hAnsi="Arial"/>
                <w:sz w:val="18"/>
                <w:szCs w:val="18"/>
                <w:color w:val="auto"/>
                <w:w w:val="90"/>
              </w:rPr>
              <w:t>Year ending December 31:</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rPr>
              <w:t>2020</w:t>
            </w:r>
          </w:p>
        </w:tc>
        <w:tc>
          <w:tcPr>
            <w:tcW w:w="26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0" w:type="dxa"/>
            <w:vAlign w:val="bottom"/>
          </w:tcPr>
          <w:p>
            <w:pPr>
              <w:spacing w:after="0"/>
              <w:rPr>
                <w:sz w:val="1"/>
                <w:szCs w:val="1"/>
                <w:color w:val="auto"/>
              </w:rPr>
            </w:pPr>
          </w:p>
        </w:tc>
      </w:tr>
      <w:tr>
        <w:trPr>
          <w:trHeight w:val="243"/>
        </w:trPr>
        <w:tc>
          <w:tcPr>
            <w:tcW w:w="2260" w:type="dxa"/>
            <w:vAlign w:val="bottom"/>
          </w:tcPr>
          <w:p>
            <w:pPr>
              <w:jc w:val="right"/>
              <w:ind w:right="1430"/>
              <w:spacing w:after="0"/>
              <w:rPr>
                <w:sz w:val="20"/>
                <w:szCs w:val="20"/>
                <w:color w:val="auto"/>
              </w:rPr>
            </w:pPr>
            <w:r>
              <w:rPr>
                <w:rFonts w:ascii="Arial" w:cs="Arial" w:eastAsia="Arial" w:hAnsi="Arial"/>
                <w:sz w:val="18"/>
                <w:szCs w:val="18"/>
                <w:color w:val="auto"/>
              </w:rPr>
              <w:t>2021</w:t>
            </w: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rPr>
              <w:t>2022</w:t>
            </w:r>
          </w:p>
        </w:tc>
        <w:tc>
          <w:tcPr>
            <w:tcW w:w="2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43"/>
        </w:trPr>
        <w:tc>
          <w:tcPr>
            <w:tcW w:w="2260" w:type="dxa"/>
            <w:vAlign w:val="bottom"/>
          </w:tcPr>
          <w:p>
            <w:pPr>
              <w:jc w:val="right"/>
              <w:ind w:right="1430"/>
              <w:spacing w:after="0"/>
              <w:rPr>
                <w:sz w:val="20"/>
                <w:szCs w:val="20"/>
                <w:color w:val="auto"/>
              </w:rPr>
            </w:pPr>
            <w:r>
              <w:rPr>
                <w:rFonts w:ascii="Arial" w:cs="Arial" w:eastAsia="Arial" w:hAnsi="Arial"/>
                <w:sz w:val="18"/>
                <w:szCs w:val="18"/>
                <w:color w:val="auto"/>
              </w:rPr>
              <w:t>2023</w:t>
            </w: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6,641</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6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rPr>
              <w:t>2024</w:t>
            </w:r>
          </w:p>
        </w:tc>
        <w:tc>
          <w:tcPr>
            <w:tcW w:w="2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84,408</w:t>
            </w: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115,576</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280" w:type="dxa"/>
            <w:vAlign w:val="bottom"/>
            <w:vMerge w:val="restart"/>
          </w:tcPr>
          <w:p>
            <w:pPr>
              <w:jc w:val="right"/>
              <w:ind w:right="1710"/>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1" w:name="page42"/>
    <w:bookmarkEnd w:id="41"/>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CS4 Borrower Credit Agreement</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September 2018, the Company entered into a credit agreement with three financial institutions for construction loans up to $97.4 million that partially converted to a term loan on June 27, 2019, an investment tax credit bridge loan, or ITC bridge loan, for up to $89.9 million and letter of credit facilities up to $4.9 million. The construction loan and the ITC bridge loan both have an interest rate of LIBOR plus an applicable margin of 1.75% per annum. The ITC bridge loan matures upon the conversion of the construction loans to a term loan. The Company pays quarterly commitment fees of 0.625% per annum on any unused portion of all of the financing commitments described above, with the exception of the term loan. The term loan will bear annual interest at a rate of LIBOR plus an applicable margin, which is 2.00% per annum through the third anniversary of the term conversion, and 2.25% per annum thereafter through the maturity date in June 2026. The construction loan and the ITC bridge loan, and the future term loan, will be secured by the Company's membership interests in the project companies.</w:t>
      </w:r>
    </w:p>
    <w:p>
      <w:pPr>
        <w:spacing w:after="0" w:line="13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December 31, 2019, the Company had issued a letter of credit for a commitment of $3.3 million to support the Company's debt service requirements. The Company pays an availability fee of 2.00% per annum on issued amounts under the letter of credit facility on a quarterly basis, which is recorded in interest expense in the consolidated statement of operations.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long-term debt consists of the following (in thousands):</w:t>
      </w:r>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46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Construction loan</w:t>
            </w:r>
          </w:p>
        </w:tc>
        <w:tc>
          <w:tcPr>
            <w:tcW w:w="11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20,483</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20,387</w:t>
            </w:r>
          </w:p>
        </w:tc>
      </w:tr>
      <w:tr>
        <w:trPr>
          <w:trHeight w:val="27"/>
        </w:trPr>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ITC bridge loan</w:t>
            </w:r>
          </w:p>
        </w:tc>
        <w:tc>
          <w:tcPr>
            <w:tcW w:w="1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29,313</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32,164</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Total long-term debt (including current maturities)</w:t>
            </w:r>
          </w:p>
        </w:tc>
        <w:tc>
          <w:tcPr>
            <w:tcW w:w="1100" w:type="dxa"/>
            <w:vAlign w:val="bottom"/>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103,573</w:t>
            </w:r>
          </w:p>
        </w:tc>
        <w:tc>
          <w:tcPr>
            <w:tcW w:w="220" w:type="dxa"/>
            <w:vAlign w:val="bottom"/>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52,551</w:t>
            </w:r>
          </w:p>
        </w:tc>
      </w:tr>
      <w:tr>
        <w:trPr>
          <w:trHeight w:val="27"/>
        </w:trPr>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(21,404)</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Less debt issuance costs</w:t>
            </w:r>
          </w:p>
        </w:tc>
        <w:tc>
          <w:tcPr>
            <w:tcW w:w="1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(4,880)</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(5,425)</w:t>
            </w:r>
          </w:p>
        </w:tc>
      </w:tr>
      <w:tr>
        <w:trPr>
          <w:trHeight w:val="27"/>
        </w:trPr>
        <w:tc>
          <w:tcPr>
            <w:tcW w:w="46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Long-term debt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25,722</w:t>
            </w:r>
          </w:p>
        </w:tc>
      </w:tr>
      <w:tr>
        <w:trPr>
          <w:trHeight w:val="20"/>
        </w:trPr>
        <w:tc>
          <w:tcPr>
            <w:tcW w:w="4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Distributions from the Company are subject to compliance with the terms and conditions defined in the credit agreement, including a covenant to meet a required debt service coverage ratio of at least 1.20 to 1.0. As of December 31, 2019, the Company was in compliance with the various restrictive covenants defined in the credit agreement.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maturities as of December 31, 2019 are summarized as follows (in thousands):</w:t>
      </w:r>
    </w:p>
    <w:p>
      <w:pPr>
        <w:spacing w:after="0" w:line="293" w:lineRule="exact"/>
        <w:rPr>
          <w:sz w:val="20"/>
          <w:szCs w:val="20"/>
          <w:color w:val="auto"/>
        </w:rPr>
      </w:pPr>
    </w:p>
    <w:tbl>
      <w:tblPr>
        <w:tblLayout w:type="fixed"/>
        <w:tblInd w:w="2740" w:type="dxa"/>
        <w:tblCellMar>
          <w:top w:w="0" w:type="dxa"/>
          <w:left w:w="0" w:type="dxa"/>
          <w:bottom w:w="0" w:type="dxa"/>
          <w:right w:w="0" w:type="dxa"/>
        </w:tblCellMar>
      </w:tblP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32,513</w:t>
            </w:r>
          </w:p>
        </w:tc>
      </w:tr>
      <w:tr>
        <w:trPr>
          <w:trHeight w:val="243"/>
        </w:trPr>
        <w:tc>
          <w:tcPr>
            <w:tcW w:w="3160" w:type="dxa"/>
            <w:vAlign w:val="bottom"/>
          </w:tcPr>
          <w:p>
            <w:pPr>
              <w:ind w:left="360"/>
              <w:spacing w:after="0"/>
              <w:rPr>
                <w:sz w:val="20"/>
                <w:szCs w:val="20"/>
                <w:color w:val="auto"/>
              </w:rPr>
            </w:pPr>
            <w:r>
              <w:rPr>
                <w:rFonts w:ascii="Arial" w:cs="Arial" w:eastAsia="Arial" w:hAnsi="Arial"/>
                <w:sz w:val="18"/>
                <w:szCs w:val="18"/>
                <w:color w:val="auto"/>
              </w:rPr>
              <w:t>2021</w:t>
            </w:r>
          </w:p>
        </w:tc>
        <w:tc>
          <w:tcPr>
            <w:tcW w:w="1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3,513</w:t>
            </w:r>
          </w:p>
        </w:tc>
      </w:tr>
      <w:tr>
        <w:trPr>
          <w:trHeight w:val="27"/>
        </w:trPr>
        <w:tc>
          <w:tcPr>
            <w:tcW w:w="3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r>
      <w:tr>
        <w:trPr>
          <w:trHeight w:val="243"/>
        </w:trPr>
        <w:tc>
          <w:tcPr>
            <w:tcW w:w="3160" w:type="dxa"/>
            <w:vAlign w:val="bottom"/>
          </w:tcPr>
          <w:p>
            <w:pPr>
              <w:ind w:left="360"/>
              <w:spacing w:after="0"/>
              <w:rPr>
                <w:sz w:val="20"/>
                <w:szCs w:val="20"/>
                <w:color w:val="auto"/>
              </w:rPr>
            </w:pPr>
            <w:r>
              <w:rPr>
                <w:rFonts w:ascii="Arial" w:cs="Arial" w:eastAsia="Arial" w:hAnsi="Arial"/>
                <w:sz w:val="18"/>
                <w:szCs w:val="18"/>
                <w:color w:val="auto"/>
              </w:rPr>
              <w:t>2023</w:t>
            </w:r>
          </w:p>
        </w:tc>
        <w:tc>
          <w:tcPr>
            <w:tcW w:w="1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2,408</w:t>
            </w:r>
          </w:p>
        </w:tc>
      </w:tr>
      <w:tr>
        <w:trPr>
          <w:trHeight w:val="27"/>
        </w:trPr>
        <w:tc>
          <w:tcPr>
            <w:tcW w:w="3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43"/>
        </w:trPr>
        <w:tc>
          <w:tcPr>
            <w:tcW w:w="3160" w:type="dxa"/>
            <w:vAlign w:val="bottom"/>
          </w:tcPr>
          <w:p>
            <w:pPr>
              <w:ind w:left="360"/>
              <w:spacing w:after="0"/>
              <w:rPr>
                <w:sz w:val="20"/>
                <w:szCs w:val="20"/>
                <w:color w:val="auto"/>
              </w:rPr>
            </w:pPr>
            <w:r>
              <w:rPr>
                <w:rFonts w:ascii="Arial" w:cs="Arial" w:eastAsia="Arial" w:hAnsi="Arial"/>
                <w:sz w:val="18"/>
                <w:szCs w:val="18"/>
                <w:color w:val="auto"/>
              </w:rPr>
              <w:t>Thereafter</w:t>
            </w:r>
          </w:p>
        </w:tc>
        <w:tc>
          <w:tcPr>
            <w:tcW w:w="1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59,461</w:t>
            </w:r>
          </w:p>
        </w:tc>
      </w:tr>
      <w:tr>
        <w:trPr>
          <w:trHeight w:val="27"/>
        </w:trPr>
        <w:tc>
          <w:tcPr>
            <w:tcW w:w="3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103,573</w:t>
            </w:r>
          </w:p>
        </w:tc>
      </w:tr>
      <w:tr>
        <w:trPr>
          <w:trHeight w:val="20"/>
        </w:trPr>
        <w:tc>
          <w:tcPr>
            <w:tcW w:w="3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42" w:name="page43"/>
    <w:bookmarkEnd w:id="42"/>
    <w:p>
      <w:pPr>
        <w:ind w:left="7780"/>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3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The Company has the following related party transactions and relationships in addition to the acquisition of solar energy systems from Clearway Renew described in note 4,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and renewable energy certificate revenue described in note 2(k),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Amounts due to related parties are recorded as accounts payable – affiliate and amounts due to the Company from related parties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as accounts receivable – affiliate on the Company’s consolidated balance sheets. These account balances are netted by affiliate party.</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Both Chestnut Fund and CS4 Fund have asset management agreements with Solar Asset Management LLC, a subsidiary of Clearway Renew, where Solar Asset Management LLC performs administrative services related to the acquired project companies and receives an asset management fee in an annual amount per project. The Funds will also reimburse Solar Asset Management LLC for certain out-of-pocket costs. Chestnut Fund incurred costs under the agreement of $196 thousand and $185 thousand for the years ended December 31, 2019 and 2018, respectively. CS4 Fund incurred costs under the agreement of $106 thousand and $0 thousand for the years ended December 31, 2019 and 2018, respectively. These costs are included in cost of operations – affiliate in the consolidated statements of operations.</w:t>
      </w:r>
    </w:p>
    <w:p>
      <w:pPr>
        <w:spacing w:after="0" w:line="1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Both Chestnut Fund and CS4 Fund have operations and maintenance agreements with Clearway Renewable Operation &amp; Maintenance LLC, or RENOM, a subsidiary of Clearway Energy Group, to operate and maintain the PV Systems owned by the acquired project companies. RENOM receives a fee in a set annual amount for each project plus reimbursable costs, with an annual escalation of 2.25%. The fee is also subject to adjustments for additional site maintenance, panel washing and replacement costs. Chestnut Fund incurred costs under the agreement of $899 thousand and $488 thousand for the years ended December 31, 2019 and 2018, respectively. CS4 Fund incurred costs under the agreement of $201 thousand and $0 thousand for the years ended December 31, 2019 and 2018, respectively. These costs are included in cost of operations – affiliate in the consolidated statements of operations.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both the the Chestnut Fund and CS4 Fund Limited Liability Company Agreements, in the event that additional working capital is required by to cause the assets to be properly operated and maintained and to pay for the costs, expenses, obligations and liabilities of Chestnut Fund and CS4, then the Company shall have the right, but not the obligation, to provide all or part of the funds needed by the Company in the form of member loans. These loans were funded through intercompany borrowings from the Company's Class B Member, Renew DG Holdings. As of December 31, 2019 and 2018, $1.6 million was outstanding under member loans for each of the years, which was recorded in short-term debt – affiliate on the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projects owned by the Company entered into various land lease agreements where their respective solar energy facilities are located. During the terms of the leases, the Company will operate the solar energy facilities to supply electric energy to the customers of the previously described community solar installations. The Company is responsible for all operating costs, repairs and maintenance, and insurance related to the facilities. These costs are included in cost of operations in the consolidated statements of operations.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expense for the year ended December 31, 2019 was comprised of the following (in thousands):</w:t>
      </w:r>
    </w:p>
    <w:p>
      <w:pPr>
        <w:spacing w:after="0" w:line="289" w:lineRule="exact"/>
        <w:rPr>
          <w:sz w:val="20"/>
          <w:szCs w:val="20"/>
          <w:color w:val="auto"/>
        </w:rPr>
      </w:pPr>
    </w:p>
    <w:tbl>
      <w:tblPr>
        <w:tblLayout w:type="fixed"/>
        <w:tblInd w:w="152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lease cost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expense under operating leases was $2.4 million for the year ended December 31,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43" w:name="page44"/>
    <w:bookmarkEnd w:id="43"/>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 information as of December 31, 2019 was as follows (in thousands, except term and rate):</w:t>
      </w:r>
    </w:p>
    <w:p>
      <w:pPr>
        <w:spacing w:after="0" w:line="34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2019</w:t>
            </w:r>
          </w:p>
        </w:tc>
      </w:tr>
      <w:tr>
        <w:trPr>
          <w:trHeight w:val="27"/>
        </w:trPr>
        <w:tc>
          <w:tcPr>
            <w:tcW w:w="860" w:type="dxa"/>
            <w:vAlign w:val="bottom"/>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86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ROU assets - operating leases, net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34,767</w:t>
            </w:r>
          </w:p>
        </w:tc>
      </w:tr>
      <w:tr>
        <w:trPr>
          <w:trHeight w:val="324"/>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86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liability - operating leases</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r>
      <w:tr>
        <w:trPr>
          <w:trHeight w:val="243"/>
        </w:trPr>
        <w:tc>
          <w:tcPr>
            <w:tcW w:w="860" w:type="dxa"/>
            <w:vAlign w:val="bottom"/>
          </w:tcPr>
          <w:p>
            <w:pPr>
              <w:spacing w:after="0"/>
              <w:rPr>
                <w:sz w:val="21"/>
                <w:szCs w:val="21"/>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Long-term lease liability - operating leases</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34,703</w:t>
            </w:r>
          </w:p>
        </w:tc>
      </w:tr>
      <w:tr>
        <w:trPr>
          <w:trHeight w:val="27"/>
        </w:trPr>
        <w:tc>
          <w:tcPr>
            <w:tcW w:w="860" w:type="dxa"/>
            <w:vAlign w:val="bottom"/>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860" w:type="dxa"/>
            <w:vAlign w:val="bottom"/>
          </w:tcPr>
          <w:p>
            <w:pPr>
              <w:spacing w:after="0"/>
              <w:rPr>
                <w:sz w:val="22"/>
                <w:szCs w:val="22"/>
                <w:color w:val="auto"/>
              </w:rPr>
            </w:pPr>
          </w:p>
        </w:tc>
        <w:tc>
          <w:tcPr>
            <w:tcW w:w="5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lease liability</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35,203</w:t>
            </w: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11"/>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86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operating leases</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1,875</w:t>
            </w:r>
          </w:p>
        </w:tc>
      </w:tr>
      <w:tr>
        <w:trPr>
          <w:trHeight w:val="243"/>
        </w:trPr>
        <w:tc>
          <w:tcPr>
            <w:tcW w:w="860" w:type="dxa"/>
            <w:vAlign w:val="bottom"/>
          </w:tcPr>
          <w:p>
            <w:pPr>
              <w:spacing w:after="0"/>
              <w:rPr>
                <w:sz w:val="21"/>
                <w:szCs w:val="21"/>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25 years</w:t>
            </w:r>
          </w:p>
        </w:tc>
      </w:tr>
      <w:tr>
        <w:trPr>
          <w:trHeight w:val="27"/>
        </w:trPr>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6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r>
      <w:tr>
        <w:trPr>
          <w:trHeight w:val="392"/>
        </w:trPr>
        <w:tc>
          <w:tcPr>
            <w:tcW w:w="6840" w:type="dxa"/>
            <w:vAlign w:val="bottom"/>
            <w:gridSpan w:val="3"/>
          </w:tcPr>
          <w:p>
            <w:pPr>
              <w:spacing w:after="0"/>
              <w:rPr>
                <w:sz w:val="20"/>
                <w:szCs w:val="20"/>
                <w:color w:val="auto"/>
              </w:rPr>
            </w:pPr>
            <w:r>
              <w:rPr>
                <w:rFonts w:ascii="Arial" w:cs="Arial" w:eastAsia="Arial" w:hAnsi="Arial"/>
                <w:sz w:val="18"/>
                <w:szCs w:val="18"/>
                <w:color w:val="auto"/>
                <w:w w:val="91"/>
              </w:rPr>
              <w:t>Maturities of operating lease liabilities as of December 31, 2019 are as follows (in thousands):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99"/>
        </w:trPr>
        <w:tc>
          <w:tcPr>
            <w:tcW w:w="6840" w:type="dxa"/>
            <w:vAlign w:val="bottom"/>
            <w:gridSpan w:val="3"/>
          </w:tcPr>
          <w:p>
            <w:pPr>
              <w:ind w:left="196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1,925</w:t>
            </w:r>
          </w:p>
        </w:tc>
        <w:tc>
          <w:tcPr>
            <w:tcW w:w="720" w:type="dxa"/>
            <w:vAlign w:val="bottom"/>
          </w:tcPr>
          <w:p>
            <w:pPr>
              <w:spacing w:after="0"/>
              <w:rPr>
                <w:sz w:val="24"/>
                <w:szCs w:val="24"/>
                <w:color w:val="auto"/>
              </w:rPr>
            </w:pPr>
          </w:p>
        </w:tc>
      </w:tr>
      <w:tr>
        <w:trPr>
          <w:trHeight w:val="27"/>
        </w:trPr>
        <w:tc>
          <w:tcPr>
            <w:tcW w:w="68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580" w:type="dxa"/>
            <w:vAlign w:val="bottom"/>
            <w:gridSpan w:val="2"/>
          </w:tcPr>
          <w:p>
            <w:pPr>
              <w:spacing w:after="0"/>
              <w:rPr>
                <w:sz w:val="21"/>
                <w:szCs w:val="21"/>
                <w:color w:val="auto"/>
              </w:rPr>
            </w:pPr>
          </w:p>
        </w:tc>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w:t>
            </w:r>
          </w:p>
        </w:tc>
        <w:tc>
          <w:tcPr>
            <w:tcW w:w="720" w:type="dxa"/>
            <w:vAlign w:val="bottom"/>
          </w:tcPr>
          <w:p>
            <w:pPr>
              <w:spacing w:after="0"/>
              <w:rPr>
                <w:sz w:val="21"/>
                <w:szCs w:val="21"/>
                <w:color w:val="auto"/>
              </w:rPr>
            </w:pPr>
          </w:p>
        </w:tc>
      </w:tr>
      <w:tr>
        <w:trPr>
          <w:trHeight w:val="243"/>
        </w:trPr>
        <w:tc>
          <w:tcPr>
            <w:tcW w:w="6840" w:type="dxa"/>
            <w:vAlign w:val="bottom"/>
            <w:gridSpan w:val="3"/>
          </w:tcPr>
          <w:p>
            <w:pPr>
              <w:ind w:left="196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1"/>
                <w:szCs w:val="21"/>
                <w:color w:val="auto"/>
              </w:rPr>
            </w:pPr>
          </w:p>
        </w:tc>
      </w:tr>
      <w:tr>
        <w:trPr>
          <w:trHeight w:val="27"/>
        </w:trPr>
        <w:tc>
          <w:tcPr>
            <w:tcW w:w="68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580" w:type="dxa"/>
            <w:vAlign w:val="bottom"/>
            <w:gridSpan w:val="2"/>
          </w:tcPr>
          <w:p>
            <w:pPr>
              <w:spacing w:after="0"/>
              <w:rPr>
                <w:sz w:val="21"/>
                <w:szCs w:val="21"/>
                <w:color w:val="auto"/>
              </w:rPr>
            </w:pPr>
          </w:p>
        </w:tc>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2,051</w:t>
            </w:r>
          </w:p>
        </w:tc>
        <w:tc>
          <w:tcPr>
            <w:tcW w:w="720" w:type="dxa"/>
            <w:vAlign w:val="bottom"/>
          </w:tcPr>
          <w:p>
            <w:pPr>
              <w:spacing w:after="0"/>
              <w:rPr>
                <w:sz w:val="21"/>
                <w:szCs w:val="21"/>
                <w:color w:val="auto"/>
              </w:rPr>
            </w:pPr>
          </w:p>
        </w:tc>
      </w:tr>
      <w:tr>
        <w:trPr>
          <w:trHeight w:val="243"/>
        </w:trPr>
        <w:tc>
          <w:tcPr>
            <w:tcW w:w="6840" w:type="dxa"/>
            <w:vAlign w:val="bottom"/>
            <w:gridSpan w:val="3"/>
          </w:tcPr>
          <w:p>
            <w:pPr>
              <w:ind w:left="196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2,086</w:t>
            </w:r>
          </w:p>
        </w:tc>
        <w:tc>
          <w:tcPr>
            <w:tcW w:w="720" w:type="dxa"/>
            <w:vAlign w:val="bottom"/>
          </w:tcPr>
          <w:p>
            <w:pPr>
              <w:spacing w:after="0"/>
              <w:rPr>
                <w:sz w:val="21"/>
                <w:szCs w:val="21"/>
                <w:color w:val="auto"/>
              </w:rPr>
            </w:pPr>
          </w:p>
        </w:tc>
      </w:tr>
      <w:tr>
        <w:trPr>
          <w:trHeight w:val="27"/>
        </w:trPr>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48,073</w:t>
            </w:r>
          </w:p>
        </w:tc>
        <w:tc>
          <w:tcPr>
            <w:tcW w:w="720" w:type="dxa"/>
            <w:vAlign w:val="bottom"/>
          </w:tcPr>
          <w:p>
            <w:pPr>
              <w:spacing w:after="0"/>
              <w:rPr>
                <w:sz w:val="23"/>
                <w:szCs w:val="23"/>
                <w:color w:val="auto"/>
              </w:rPr>
            </w:pPr>
          </w:p>
        </w:tc>
      </w:tr>
      <w:tr>
        <w:trPr>
          <w:trHeight w:val="237"/>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58,120</w:t>
            </w:r>
          </w:p>
        </w:tc>
        <w:tc>
          <w:tcPr>
            <w:tcW w:w="720" w:type="dxa"/>
            <w:vAlign w:val="bottom"/>
          </w:tcPr>
          <w:p>
            <w:pPr>
              <w:spacing w:after="0"/>
              <w:rPr>
                <w:sz w:val="20"/>
                <w:szCs w:val="20"/>
                <w:color w:val="auto"/>
              </w:rPr>
            </w:pPr>
          </w:p>
        </w:tc>
      </w:tr>
      <w:tr>
        <w:trPr>
          <w:trHeight w:val="27"/>
        </w:trPr>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(22,917)</w:t>
            </w:r>
          </w:p>
        </w:tc>
        <w:tc>
          <w:tcPr>
            <w:tcW w:w="720" w:type="dxa"/>
            <w:vAlign w:val="bottom"/>
          </w:tcPr>
          <w:p>
            <w:pPr>
              <w:spacing w:after="0"/>
              <w:rPr>
                <w:sz w:val="23"/>
                <w:szCs w:val="23"/>
                <w:color w:val="auto"/>
              </w:rPr>
            </w:pPr>
          </w:p>
        </w:tc>
      </w:tr>
      <w:tr>
        <w:trPr>
          <w:trHeight w:val="257"/>
        </w:trPr>
        <w:tc>
          <w:tcPr>
            <w:tcW w:w="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Total lease liability - operating leases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35,203</w:t>
            </w:r>
          </w:p>
        </w:tc>
        <w:tc>
          <w:tcPr>
            <w:tcW w:w="720" w:type="dxa"/>
            <w:vAlign w:val="bottom"/>
          </w:tcPr>
          <w:p>
            <w:pPr>
              <w:spacing w:after="0"/>
              <w:rPr>
                <w:sz w:val="22"/>
                <w:szCs w:val="22"/>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payments under noncancelable land leases as of December 31, 2018 under ASC 840 were as follows (in thousands):</w:t>
      </w:r>
    </w:p>
    <w:p>
      <w:pPr>
        <w:spacing w:after="0" w:line="322" w:lineRule="exact"/>
        <w:rPr>
          <w:sz w:val="20"/>
          <w:szCs w:val="20"/>
          <w:color w:val="auto"/>
        </w:rPr>
      </w:pPr>
    </w:p>
    <w:tbl>
      <w:tblPr>
        <w:tblLayout w:type="fixed"/>
        <w:tblInd w:w="2240" w:type="dxa"/>
        <w:tblCellMar>
          <w:top w:w="0" w:type="dxa"/>
          <w:left w:w="0" w:type="dxa"/>
          <w:bottom w:w="0" w:type="dxa"/>
          <w:right w:w="0" w:type="dxa"/>
        </w:tblCellMar>
      </w:tblP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Year ending December 31:</w:t>
            </w:r>
          </w:p>
        </w:tc>
        <w:tc>
          <w:tcPr>
            <w:tcW w:w="1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3"/>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2020</w:t>
            </w:r>
          </w:p>
        </w:tc>
        <w:tc>
          <w:tcPr>
            <w:tcW w:w="19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1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2022</w:t>
            </w:r>
          </w:p>
        </w:tc>
        <w:tc>
          <w:tcPr>
            <w:tcW w:w="19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2023</w:t>
            </w:r>
          </w:p>
        </w:tc>
        <w:tc>
          <w:tcPr>
            <w:tcW w:w="1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Thereafter</w:t>
            </w:r>
          </w:p>
        </w:tc>
        <w:tc>
          <w:tcPr>
            <w:tcW w:w="19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37,521</w:t>
            </w:r>
          </w:p>
        </w:tc>
      </w:tr>
      <w:tr>
        <w:trPr>
          <w:trHeight w:val="27"/>
        </w:trPr>
        <w:tc>
          <w:tcPr>
            <w:tcW w:w="35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45,939</w:t>
            </w:r>
          </w:p>
        </w:tc>
      </w:tr>
      <w:tr>
        <w:trPr>
          <w:trHeight w:val="20"/>
        </w:trPr>
        <w:tc>
          <w:tcPr>
            <w:tcW w:w="3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3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has evaluated subsequent events from the balance sheet date through March 30, 2020, the date at which the consolidated financial statements were available to be issued, and determined that there are no other items to disclose.</w:t>
      </w: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sectPr>
      <w:pgSz w:w="11900" w:h="16838" w:orient="portrait"/>
      <w:cols w:equalWidth="0" w:num="1">
        <w:col w:w="11060"/>
      </w:cols>
      <w:pgMar w:left="32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1"/>
      <w:numFmt w:val="decimal"/>
      <w:start w:val="104"/>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lvl w:ilvl="1">
      <w:lvlJc w:val="left"/>
      <w:lvlText w:val="(%2)"/>
      <w:numFmt w:val="lowerLetter"/>
      <w:start w:val="1"/>
    </w:lvl>
  </w:abstractNum>
  <w:abstractNum w:abstractNumId="9">
    <w:nsid w:val="4E6AFB66"/>
    <w:multiLevelType w:val="hybridMultilevel"/>
    <w:lvl w:ilvl="0">
      <w:lvlJc w:val="left"/>
      <w:lvlText w:val="%1."/>
      <w:numFmt w:val="decimal"/>
      <w:start w:val="1"/>
    </w:lvl>
    <w:lvl w:ilvl="1">
      <w:lvlJc w:val="left"/>
      <w:lvlText w:val="(%2)"/>
      <w:numFmt w:val="lowerLetter"/>
      <w:start w:val="1"/>
    </w:lvl>
  </w:abstractNum>
  <w:abstractNum w:abstractNumId="10">
    <w:nsid w:val="25E45D32"/>
    <w:multiLevelType w:val="hybridMultilevel"/>
    <w:lvl w:ilvl="0">
      <w:lvlJc w:val="left"/>
      <w:lvlText w:val="%1."/>
      <w:numFmt w:val="decimal"/>
      <w:start w:val="1"/>
    </w:lvl>
    <w:lvl w:ilvl="1">
      <w:lvlJc w:val="left"/>
      <w:lvlText w:val="(%2)"/>
      <w:numFmt w:val="lowerLetter"/>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Letter"/>
      <w:start w:val="1"/>
    </w:lvl>
    <w:lvl w:ilvl="1">
      <w:lvlJc w:val="left"/>
      <w:lvlText w:val="(%2)"/>
      <w:numFmt w:val="lowerLetter"/>
      <w:start w:val="1"/>
    </w:lvl>
  </w:abstractNum>
  <w:abstractNum w:abstractNumId="13">
    <w:nsid w:val="3F2DBA31"/>
    <w:multiLevelType w:val="hybridMultilevel"/>
    <w:lvl w:ilvl="0">
      <w:lvlJc w:val="left"/>
      <w:lvlText w:val="(%1)"/>
      <w:numFmt w:val="lowerLetter"/>
      <w:start w:val="2"/>
    </w:lvl>
    <w:lvl w:ilvl="1">
      <w:lvlJc w:val="left"/>
      <w:lvlText w:val="%2"/>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20"/>
    </w:lvl>
  </w:abstractNum>
  <w:abstractNum w:abstractNumId="17">
    <w:nsid w:val="436C6125"/>
    <w:multiLevelType w:val="hybridMultilevel"/>
    <w:lvl w:ilvl="0">
      <w:lvlJc w:val="left"/>
      <w:lvlText w:val="(%1)"/>
      <w:numFmt w:val="decimal"/>
      <w:start w:val="4"/>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4"/>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14" Type="http://schemas.openxmlformats.org/officeDocument/2006/relationships/image" Target="media/image5.png"/><Relationship Id="rId115" Type="http://schemas.openxmlformats.org/officeDocument/2006/relationships/image" Target="media/image6.png"/><Relationship Id="rId116" Type="http://schemas.openxmlformats.org/officeDocument/2006/relationships/image" Target="media/image7.png"/><Relationship Id="rId117" Type="http://schemas.openxmlformats.org/officeDocument/2006/relationships/image" Target="media/image8.png"/><Relationship Id="rId118" Type="http://schemas.openxmlformats.org/officeDocument/2006/relationships/image" Target="media/image9.png"/><Relationship Id="rId119" Type="http://schemas.openxmlformats.org/officeDocument/2006/relationships/image" Target="media/image10.png"/><Relationship Id="rId120" Type="http://schemas.openxmlformats.org/officeDocument/2006/relationships/image" Target="media/image11.png"/><Relationship Id="rId121" Type="http://schemas.openxmlformats.org/officeDocument/2006/relationships/image" Target="media/image12.png"/><Relationship Id="rId122" Type="http://schemas.openxmlformats.org/officeDocument/2006/relationships/image" Target="media/image13.png"/><Relationship Id="rId123" Type="http://schemas.openxmlformats.org/officeDocument/2006/relationships/image" Target="media/image14.jpeg"/><Relationship Id="rId124" Type="http://schemas.openxmlformats.org/officeDocument/2006/relationships/image" Target="media/image15.png"/><Relationship Id="rId125" Type="http://schemas.openxmlformats.org/officeDocument/2006/relationships/image" Target="media/image16.png"/><Relationship Id="rId12" Type="http://schemas.openxmlformats.org/officeDocument/2006/relationships/hyperlink" Target="http://www.sec.gov/Archives/edgar/data/1567683/000110465914037090/a14-12466_1ex2d1.htm" TargetMode="External"/><Relationship Id="rId13" Type="http://schemas.openxmlformats.org/officeDocument/2006/relationships/hyperlink" Target="http://www.sec.gov/Archives/edgar/data/1567683/000110465914037090/a14-12466_1ex2d2.htm" TargetMode="External"/><Relationship Id="rId14" Type="http://schemas.openxmlformats.org/officeDocument/2006/relationships/hyperlink" Target="http://www.sec.gov/Archives/edgar/data/1567683/000110465914037090/a14-12466_1ex2d3.htm" TargetMode="External"/><Relationship Id="rId15" Type="http://schemas.openxmlformats.org/officeDocument/2006/relationships/hyperlink" Target="http://www.sec.gov/Archives/edgar/data/1567683/000110465914044820/a14-14976_1ex10d1.htm" TargetMode="External"/><Relationship Id="rId16" Type="http://schemas.openxmlformats.org/officeDocument/2006/relationships/hyperlink" Target="http://www.sec.gov/Archives/edgar/data/1567683/000156768314000020/exhibit21.htm" TargetMode="External"/><Relationship Id="rId17" Type="http://schemas.openxmlformats.org/officeDocument/2006/relationships/hyperlink" Target="http://www.sec.gov/Archives/edgar/data/1567683/000156768314000020/exhibit22.htm" TargetMode="External"/><Relationship Id="rId18" Type="http://schemas.openxmlformats.org/officeDocument/2006/relationships/hyperlink" Target="http://www.sec.gov/Archives/edgar/data/1567683/000156768315000022/yieldincex212015q2dspsaexh.htm" TargetMode="External"/><Relationship Id="rId19" Type="http://schemas.openxmlformats.org/officeDocument/2006/relationships/hyperlink" Target="http://www.sec.gov/Archives/edgar/data/1567683/000110465915066291/a15-19906_1ex2d1.htm" TargetMode="External"/><Relationship Id="rId20" Type="http://schemas.openxmlformats.org/officeDocument/2006/relationships/hyperlink" Target="http://www.sec.gov/Archives/edgar/data/1567683/000110465916138087/a16-16348_1ex2d1.htm" TargetMode="External"/><Relationship Id="rId21" Type="http://schemas.openxmlformats.org/officeDocument/2006/relationships/hyperlink" Target="http://www.sec.gov/Archives/edgar/data/1567683/000156768318000008/yieldincex210201710-k.htm" TargetMode="External"/><Relationship Id="rId22" Type="http://schemas.openxmlformats.org/officeDocument/2006/relationships/hyperlink" Target="http://www.sec.gov/Archives/edgar/data/1567683/000110465919070990/tm1924690d1_ex2-1.htm" TargetMode="External"/><Relationship Id="rId23" Type="http://schemas.openxmlformats.org/officeDocument/2006/relationships/hyperlink" Target="http://www.sec.gov/Archives/edgar/data/1567683/000156768316000043/yieldincex312016q1.htm" TargetMode="External"/><Relationship Id="rId24" Type="http://schemas.openxmlformats.org/officeDocument/2006/relationships/hyperlink" Target="http://www.sec.gov/Archives/edgar/data/1567683/000110465918055334/a18-24111_1ex3d1.htm" TargetMode="External"/><Relationship Id="rId25" Type="http://schemas.openxmlformats.org/officeDocument/2006/relationships/hyperlink" Target="http://www.sec.gov/Archives/edgar/data/1567683/000110465918055334/a18-24111_1ex3d2.htm#Exhibit3_2_042157" TargetMode="External"/><Relationship Id="rId26" Type="http://schemas.openxmlformats.org/officeDocument/2006/relationships/hyperlink" Target="http://www.sec.gov/Archives/edgar/data/1567683/000110465918055334/a18-24111_1ex10d6.htm#Exhibit10_6_052216" TargetMode="External"/><Relationship Id="rId27" Type="http://schemas.openxmlformats.org/officeDocument/2006/relationships/hyperlink" Target="http://www.sec.gov/Archives/edgar/data/1567683/000110465914008496/a14-4771_3ex4d1.htm" TargetMode="External"/><Relationship Id="rId28" Type="http://schemas.openxmlformats.org/officeDocument/2006/relationships/hyperlink" Target="http://www.sec.gov/Archives/edgar/data/1567683/000110465914056777/a14-18411_1ex4d1.htm" TargetMode="External"/><Relationship Id="rId29" Type="http://schemas.openxmlformats.org/officeDocument/2006/relationships/hyperlink" Target="http://www.sec.gov/Archives/edgar/data/1567683/000110465914056777/a14-18411_1ex4d3.htm" TargetMode="External"/><Relationship Id="rId30" Type="http://schemas.openxmlformats.org/officeDocument/2006/relationships/hyperlink" Target="http://www.sec.gov/Archives/edgar/data/1567683/000110465914080390/a14-24401_1ex4d1.htm" TargetMode="External"/><Relationship Id="rId31" Type="http://schemas.openxmlformats.org/officeDocument/2006/relationships/hyperlink" Target="http://www.sec.gov/Archives/edgar/data/1567683/000110465915015282/a15-5420_1ex4d1.htm" TargetMode="External"/><Relationship Id="rId32" Type="http://schemas.openxmlformats.org/officeDocument/2006/relationships/hyperlink" Target="http://www.sec.gov/Archives/edgar/data/1567683/000110465915027995/a15-9326_1ex4d1.htm" TargetMode="External"/><Relationship Id="rId33" Type="http://schemas.openxmlformats.org/officeDocument/2006/relationships/hyperlink" Target="http://www.sec.gov/Archives/edgar/data/1567683/000110465915036232/a15-11016_2ex4d1.htm" TargetMode="External"/><Relationship Id="rId34" Type="http://schemas.openxmlformats.org/officeDocument/2006/relationships/hyperlink" Target="http://www.sec.gov/Archives/edgar/data/1567683/000110465915048473/a15-14936_1ex4d1.htm" TargetMode="External"/><Relationship Id="rId35" Type="http://schemas.openxmlformats.org/officeDocument/2006/relationships/hyperlink" Target="http://www.sec.gov/Archives/edgar/data/1567683/000156768319000014/exhibit_1.htm" TargetMode="External"/><Relationship Id="rId36" Type="http://schemas.openxmlformats.org/officeDocument/2006/relationships/hyperlink" Target="http://www.sec.gov/Archives/edgar/data/1567683/000156768319000014/exhibit_2.htm" TargetMode="External"/><Relationship Id="rId37" Type="http://schemas.openxmlformats.org/officeDocument/2006/relationships/hyperlink" Target="http://www.sec.gov/Archives/edgar/data/1567683/000110465916140473/a16-16967_1ex4d1.htm" TargetMode="External"/><Relationship Id="rId38" Type="http://schemas.openxmlformats.org/officeDocument/2006/relationships/hyperlink" Target="http://www.sec.gov/Archives/edgar/data/1567683/000110465916140473/a16-16967_1ex4d3.htm" TargetMode="External"/><Relationship Id="rId39" Type="http://schemas.openxmlformats.org/officeDocument/2006/relationships/hyperlink" Target="http://www.sec.gov/Archives/edgar/data/1637757/000110465918005466/a18-5088_1ex4d1.htm#Exhibit4_1_091658" TargetMode="External"/><Relationship Id="rId40" Type="http://schemas.openxmlformats.org/officeDocument/2006/relationships/hyperlink" Target="http://www.sec.gov/Archives/edgar/data/1637757/000110465918005466/a18-5088_1ex4d2.htm#Exhibit4_2_091723" TargetMode="External"/><Relationship Id="rId41" Type="http://schemas.openxmlformats.org/officeDocument/2006/relationships/hyperlink" Target="http://www.sec.gov/Archives/edgar/data/1567683/000110465918039601/a18-15261_1ex4d1.htm#Exhibit4_1_110220" TargetMode="External"/><Relationship Id="rId42" Type="http://schemas.openxmlformats.org/officeDocument/2006/relationships/hyperlink" Target="http://www.sec.gov/Archives/edgar/data/1567683/000110465918039601/a18-15261_1ex4d2.htm#Exhibit4_2_111650" TargetMode="External"/><Relationship Id="rId43" Type="http://schemas.openxmlformats.org/officeDocument/2006/relationships/hyperlink" Target="http://www.sec.gov/Archives/edgar/data/1567683/000156768318000028/yieldincex432018q2.htm" TargetMode="External"/><Relationship Id="rId44" Type="http://schemas.openxmlformats.org/officeDocument/2006/relationships/hyperlink" Target="http://www.sec.gov/Archives/edgar/data/1567683/000156768318000028/yieldincex442018q2.htm" TargetMode="External"/><Relationship Id="rId45" Type="http://schemas.openxmlformats.org/officeDocument/2006/relationships/hyperlink" Target="http://www.sec.gov/Archives/edgar/data/1567683/000110465918055585/a18-27020_1ex4d1.htm#Exhibit4_1_065610" TargetMode="External"/><Relationship Id="rId46" Type="http://schemas.openxmlformats.org/officeDocument/2006/relationships/hyperlink" Target="http://www.sec.gov/Archives/edgar/data/1567683/000110465918055585/a18-27020_1ex4d2.htm" TargetMode="External"/><Relationship Id="rId47" Type="http://schemas.openxmlformats.org/officeDocument/2006/relationships/hyperlink" Target="http://www.sec.gov/Archives/edgar/data/1567683/000110465918060026/a18-36222_1ex4d1.htm#Exhibit4_1_070903" TargetMode="External"/><Relationship Id="rId48" Type="http://schemas.openxmlformats.org/officeDocument/2006/relationships/hyperlink" Target="http://www.sec.gov/Archives/edgar/data/1567683/000110465918060026/a18-36222_1ex4d1.htm" TargetMode="External"/><Relationship Id="rId49" Type="http://schemas.openxmlformats.org/officeDocument/2006/relationships/hyperlink" Target="http://www.sec.gov/Archives/edgar/data/1567683/000110465918060026/a18-36222_1ex4d3.htm#Exhibit4_3_105106" TargetMode="External"/><Relationship Id="rId50" Type="http://schemas.openxmlformats.org/officeDocument/2006/relationships/hyperlink" Target="http://www.sec.gov/Archives/edgar/data/1567683/000110465918065131/a18-38184_1ex4d1.htm#Exhibit4_1_084653" TargetMode="External"/><Relationship Id="rId51" Type="http://schemas.openxmlformats.org/officeDocument/2006/relationships/hyperlink" Target="http://www.sec.gov/Archives/edgar/data/1567683/000110465918065131/a18-38184_1ex4d2.htm#Exhibit4_2_085140" TargetMode="External"/><Relationship Id="rId52" Type="http://schemas.openxmlformats.org/officeDocument/2006/relationships/hyperlink" Target="http://www.sec.gov/Archives/edgar/data/1567683/000110465918065131/a18-38184_1ex4d3.htm#Exhibit4_3_084706" TargetMode="External"/><Relationship Id="rId53" Type="http://schemas.openxmlformats.org/officeDocument/2006/relationships/hyperlink" Target="http://www.sec.gov/Archives/edgar/data/1567683/000110465918072575/a18-41414_1ex4d1.htm#Exhibit4_1_123152" TargetMode="External"/><Relationship Id="rId54" Type="http://schemas.openxmlformats.org/officeDocument/2006/relationships/hyperlink" Target="http://www.sec.gov/Archives/edgar/data/1567683/000110465918072575/a18-41414_1ex4d2.htm#Exhibit4_2_124619" TargetMode="External"/><Relationship Id="rId55" Type="http://schemas.openxmlformats.org/officeDocument/2006/relationships/hyperlink" Target="http://www.sec.gov/Archives/edgar/data/1567683/000110465918072575/a18-41414_1ex4d3.htm#Exhibit4_3_125432" TargetMode="External"/><Relationship Id="rId56" Type="http://schemas.openxmlformats.org/officeDocument/2006/relationships/hyperlink" Target="http://www.sec.gov/Archives/edgar/data/1567683/000141057819001211/tv529122_ex4-1.htm" TargetMode="External"/><Relationship Id="rId57" Type="http://schemas.openxmlformats.org/officeDocument/2006/relationships/hyperlink" Target="http://www.sec.gov/Archives/edgar/data/1567683/000141057819001211/tv529122_ex4-2.htm" TargetMode="External"/><Relationship Id="rId58" Type="http://schemas.openxmlformats.org/officeDocument/2006/relationships/hyperlink" Target="http://www.sec.gov/Archives/edgar/data/1567683/000141057819001211/tv529122_ex4-3.htm" TargetMode="External"/><Relationship Id="rId59" Type="http://schemas.openxmlformats.org/officeDocument/2006/relationships/hyperlink" Target="http://www.sec.gov/Archives/edgar/data/1567683/000110465919066637/tm1923656d1_ex4-1.htm" TargetMode="External"/><Relationship Id="rId60" Type="http://schemas.openxmlformats.org/officeDocument/2006/relationships/hyperlink" Target="http://www.sec.gov/Archives/edgar/data/1567683/000110465919066637/tm1923656d1_ex4-2.htm" TargetMode="External"/><Relationship Id="rId61" Type="http://schemas.openxmlformats.org/officeDocument/2006/relationships/hyperlink" Target="http://www.sec.gov/Archives/edgar/data/1567683/000110465919066637/tm1923656d1_ex4-3.htm" TargetMode="External"/><Relationship Id="rId62" Type="http://schemas.openxmlformats.org/officeDocument/2006/relationships/hyperlink" Target="http://www.sec.gov/Archives/edgar/data/1567683/000110465919072217/tm1925069d1_ex4-1.htm" TargetMode="External"/><Relationship Id="rId63" Type="http://schemas.openxmlformats.org/officeDocument/2006/relationships/hyperlink" Target="http://www.sec.gov/Archives/edgar/data/1567683/000156768320000008/clearwayincex443201910.htm" TargetMode="External"/><Relationship Id="rId64" Type="http://schemas.openxmlformats.org/officeDocument/2006/relationships/hyperlink" Target="http://www.sec.gov/Archives/edgar/data/1567683/000110465918055334/a18-24111_1ex10d1.htm#Exhibit10_1_072506" TargetMode="External"/><Relationship Id="rId65" Type="http://schemas.openxmlformats.org/officeDocument/2006/relationships/hyperlink" Target="http://www.sec.gov/Archives/edgar/data/1567683/000110465918055334/a18-24111_1ex10d2.htm#Exhibit10_2_072636" TargetMode="External"/><Relationship Id="rId66" Type="http://schemas.openxmlformats.org/officeDocument/2006/relationships/hyperlink" Target="http://www.sec.gov/Archives/edgar/data/1567683/000110465918055334/a18-24111_1ex10d3.htm" TargetMode="External"/><Relationship Id="rId67" Type="http://schemas.openxmlformats.org/officeDocument/2006/relationships/hyperlink" Target="http://www.sec.gov/Archives/edgar/data/1567683/000110465919008742/a19-4739_1ex10d1.htm#Exhibit99_1_09271" TargetMode="External"/><Relationship Id="rId68" Type="http://schemas.openxmlformats.org/officeDocument/2006/relationships/hyperlink" Target="http://www.sec.gov/Archives/edgar/data/1567683/000156768319000039/clearwayincex1012019q2.htm" TargetMode="External"/><Relationship Id="rId69" Type="http://schemas.openxmlformats.org/officeDocument/2006/relationships/hyperlink" Target="http://www.sec.gov/Archives/edgar/data/1567683/000110465919070990/tm1924690d1_ex10-1.htm" TargetMode="External"/><Relationship Id="rId70" Type="http://schemas.openxmlformats.org/officeDocument/2006/relationships/hyperlink" Target="http://www.sec.gov/Archives/edgar/data/1567683/000110465918055334/a18-24111_1ex10d4.htm#Exhibit10_4_041820" TargetMode="External"/><Relationship Id="rId71" Type="http://schemas.openxmlformats.org/officeDocument/2006/relationships/hyperlink" Target="http://www.sec.gov/Archives/edgar/data/1567683/000110465918055334/a18-24111_1ex10d5.htm#EXHIBIT10_5_051412" TargetMode="External"/><Relationship Id="rId72" Type="http://schemas.openxmlformats.org/officeDocument/2006/relationships/hyperlink" Target="http://www.sec.gov/Archives/edgar/data/1567683/000110465918055334/a18-24111_1ex10d7.htm#Exhibit10_7_114008" TargetMode="External"/><Relationship Id="rId73" Type="http://schemas.openxmlformats.org/officeDocument/2006/relationships/hyperlink" Target="http://www.sec.gov/Archives/edgar/data/1567683/000110465918055334/a18-24111_1ex10d9.htm" TargetMode="External"/><Relationship Id="rId74" Type="http://schemas.openxmlformats.org/officeDocument/2006/relationships/hyperlink" Target="http://www.sec.gov/Archives/edgar/data/1567683/000091205713000038/filename3.htm" TargetMode="External"/><Relationship Id="rId75" Type="http://schemas.openxmlformats.org/officeDocument/2006/relationships/hyperlink" Target="http://www.sec.gov/Archives/edgar/data/1567683/000156768319000014/clearwayincex109201810-k.htm" TargetMode="External"/><Relationship Id="rId76" Type="http://schemas.openxmlformats.org/officeDocument/2006/relationships/hyperlink" Target="http://www.sec.gov/Archives/edgar/data/1567683/000156768319000014/clearwayincex1010201810-k.htm" TargetMode="External"/><Relationship Id="rId77" Type="http://schemas.openxmlformats.org/officeDocument/2006/relationships/hyperlink" Target="http://www.sec.gov/Archives/edgar/data/1567683/000110465914031308/a14-11252_1ex10d1.htm" TargetMode="External"/><Relationship Id="rId78" Type="http://schemas.openxmlformats.org/officeDocument/2006/relationships/hyperlink" Target="http://www.sec.gov/Archives/edgar/data/1567683/000156768315000022/yieldincex1092015q2opllcam.htm" TargetMode="External"/><Relationship Id="rId79" Type="http://schemas.openxmlformats.org/officeDocument/2006/relationships/hyperlink" Target="http://www.sec.gov/Archives/edgar/data/1567683/000110465918008195/a18-5849_1ex10d1.htm#Exhibit10_1_093100" TargetMode="External"/><Relationship Id="rId80" Type="http://schemas.openxmlformats.org/officeDocument/2006/relationships/hyperlink" Target="http://www.sec.gov/Archives/edgar/data/1567683/000156768318000021/a101.htm" TargetMode="External"/><Relationship Id="rId81" Type="http://schemas.openxmlformats.org/officeDocument/2006/relationships/hyperlink" Target="http://www.sec.gov/Archives/edgar/data/1567683/000110465918071712/a18-41171_1ex10d1.htm#Exhibit10_1_112713" TargetMode="External"/><Relationship Id="rId82" Type="http://schemas.openxmlformats.org/officeDocument/2006/relationships/hyperlink" Target="http://www.sec.gov/Archives/edgar/data/1567683/000110465919075298/tm1926822d1_ex10-1.htm" TargetMode="External"/><Relationship Id="rId83" Type="http://schemas.openxmlformats.org/officeDocument/2006/relationships/hyperlink" Target="http://www.sec.gov/Archives/edgar/data/1567683/000156768314000015/yieldcoex102q214.htm" TargetMode="External"/><Relationship Id="rId84" Type="http://schemas.openxmlformats.org/officeDocument/2006/relationships/hyperlink" Target="http://www.sec.gov/Archives/edgar/data/1567683/000156768314000015/yieldcoex103q214.htm" TargetMode="External"/><Relationship Id="rId85" Type="http://schemas.openxmlformats.org/officeDocument/2006/relationships/hyperlink" Target="http://www.sec.gov/Archives/edgar/data/1567683/000156768314000015/yieldcoex104q214.htm" TargetMode="External"/><Relationship Id="rId86" Type="http://schemas.openxmlformats.org/officeDocument/2006/relationships/hyperlink" Target="http://www.sec.gov/Archives/edgar/data/1567683/000156768315000022/yieldincex1062015q2esecame.htm" TargetMode="External"/><Relationship Id="rId87" Type="http://schemas.openxmlformats.org/officeDocument/2006/relationships/hyperlink" Target="http://www.sec.gov/Archives/edgar/data/1567683/000156768315000022/yieldincex1072015q2esecame.htm" TargetMode="External"/><Relationship Id="rId88" Type="http://schemas.openxmlformats.org/officeDocument/2006/relationships/hyperlink" Target="http://www.sec.gov/Archives/edgar/data/1567683/000156768315000022/yieldincex1082015q2esecame.htm" TargetMode="External"/><Relationship Id="rId89" Type="http://schemas.openxmlformats.org/officeDocument/2006/relationships/hyperlink" Target="http://www.sec.gov/Archives/edgar/data/1567683/000156768314000015/yieldcoex105q22014.htm" TargetMode="External"/><Relationship Id="rId90" Type="http://schemas.openxmlformats.org/officeDocument/2006/relationships/hyperlink" Target="http://www.sec.gov/Archives/edgar/data/1567683/000156768314000015/yieldcoex106q22014.htm" TargetMode="External"/><Relationship Id="rId91" Type="http://schemas.openxmlformats.org/officeDocument/2006/relationships/hyperlink" Target="http://www.sec.gov/Archives/edgar/data/1567683/000156768315000022/yieldincex1012015q2rpv.htm" TargetMode="External"/><Relationship Id="rId92" Type="http://schemas.openxmlformats.org/officeDocument/2006/relationships/hyperlink" Target="http://www.sec.gov/Archives/edgar/data/1567683/000156768315000022/yieldincex1022015q2dgpv.htm" TargetMode="External"/><Relationship Id="rId93" Type="http://schemas.openxmlformats.org/officeDocument/2006/relationships/hyperlink" Target="http://www.sec.gov/Archives/edgar/data/1567683/000156768316000043/yieldincex1012016q1.htm" TargetMode="External"/><Relationship Id="rId94" Type="http://schemas.openxmlformats.org/officeDocument/2006/relationships/hyperlink" Target="http://www.sec.gov/Archives/edgar/data/1567683/000156768316000043/yieldincex1022016q1.htm" TargetMode="External"/><Relationship Id="rId95" Type="http://schemas.openxmlformats.org/officeDocument/2006/relationships/hyperlink" Target="http://www.sec.gov/Archives/edgar/data/1567683/000156768316000043/yieldincex1032016q1.htm" TargetMode="External"/><Relationship Id="rId96" Type="http://schemas.openxmlformats.org/officeDocument/2006/relationships/hyperlink" Target="http://www.sec.gov/Archives/edgar/data/1567683/000156768316000055/yieldincex1012016q2-rpvame.htm" TargetMode="External"/><Relationship Id="rId97" Type="http://schemas.openxmlformats.org/officeDocument/2006/relationships/hyperlink" Target="http://www.sec.gov/Archives/edgar/data/1567683/000110465916138081/a16-16348_2ex10d1.htm" TargetMode="External"/><Relationship Id="rId98" Type="http://schemas.openxmlformats.org/officeDocument/2006/relationships/hyperlink" Target="http://www.sec.gov/Archives/edgar/data/1567683/000156768318000008/yieldincex1028201710-k.htm" TargetMode="External"/><Relationship Id="rId99" Type="http://schemas.openxmlformats.org/officeDocument/2006/relationships/hyperlink" Target="http://www.sec.gov/Archives/edgar/data/1567683/000156768319000014/clearwayincex1022201810-k.htm" TargetMode="External"/><Relationship Id="rId100" Type="http://schemas.openxmlformats.org/officeDocument/2006/relationships/hyperlink" Target="http://www.sec.gov/Archives/edgar/data/1567683/000156768319000014/clearwayincex1023201810-k.htm" TargetMode="External"/><Relationship Id="rId101" Type="http://schemas.openxmlformats.org/officeDocument/2006/relationships/hyperlink" Target="http://www.sec.gov/Archives/edgar/data/1567683/000156768319000014/clearwayincex1024201810-k.htm" TargetMode="External"/><Relationship Id="rId102" Type="http://schemas.openxmlformats.org/officeDocument/2006/relationships/hyperlink" Target="http://www.sec.gov/Archives/edgar/data/1567683/000156768319000014/clearwayincex1025201810-k.htm" TargetMode="External"/><Relationship Id="rId103" Type="http://schemas.openxmlformats.org/officeDocument/2006/relationships/hyperlink" Target="http://www.sec.gov/Archives/edgar/data/1567683/000156768320000008/clearwayincex102620191.htm" TargetMode="External"/><Relationship Id="rId104" Type="http://schemas.openxmlformats.org/officeDocument/2006/relationships/hyperlink" Target="http://www.sec.gov/Archives/edgar/data/1567683/000156768320000008/clearwayincex102720191.htm" TargetMode="External"/><Relationship Id="rId105" Type="http://schemas.openxmlformats.org/officeDocument/2006/relationships/hyperlink" Target="http://www.sec.gov/Archives/edgar/data/1567683/000156768320000008/clearwayincex102820191.htm" TargetMode="External"/><Relationship Id="rId106" Type="http://schemas.openxmlformats.org/officeDocument/2006/relationships/hyperlink" Target="http://www.sec.gov/Archives/edgar/data/1567683/000156768318000008/yieldincex1034201710-k.htm" TargetMode="External"/><Relationship Id="rId107" Type="http://schemas.openxmlformats.org/officeDocument/2006/relationships/hyperlink" Target="http://www.sec.gov/Archives/edgar/data/1567683/000156768319000014/clearwayincex1030201810-k.htm" TargetMode="External"/><Relationship Id="rId108" Type="http://schemas.openxmlformats.org/officeDocument/2006/relationships/hyperlink" Target="http://www.sec.gov/Archives/edgar/data/1567683/000156768320000008/clearwayincex103120191.htm" TargetMode="External"/><Relationship Id="rId109" Type="http://schemas.openxmlformats.org/officeDocument/2006/relationships/hyperlink" Target="http://www.sec.gov/Archives/edgar/data/1567683/000156768320000008/clearwayincex103220191.htm" TargetMode="External"/><Relationship Id="rId110" Type="http://schemas.openxmlformats.org/officeDocument/2006/relationships/hyperlink" Target="http://www.sec.gov/Archives/edgar/data/1567683/000110465915038447/a15-11446_1ex10d1.htm" TargetMode="External"/><Relationship Id="rId111" Type="http://schemas.openxmlformats.org/officeDocument/2006/relationships/hyperlink" Target="http://www.sec.gov/Archives/edgar/data/1567683/000110465915038447/a15-11446_1ex10d2.htm" TargetMode="External"/><Relationship Id="rId112" Type="http://schemas.openxmlformats.org/officeDocument/2006/relationships/hyperlink" Target="http://www.sec.gov/Archives/edgar/data/1567683/000156768320000008/clearwayincex211201910.htm" TargetMode="External"/><Relationship Id="rId113" Type="http://schemas.openxmlformats.org/officeDocument/2006/relationships/hyperlink" Target="http://www.sec.gov/Archives/edgar/data/1567683/000156768320000008/clearwayincex2312019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2020-03-30T13:18:48Z</dcterms:created>
  <dcterms:modified xsi:type="dcterms:W3CDTF">2020-03-30T13:18:48Z</dcterms:modified>
</cp:coreProperties>
</file>