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(Rule 13d-101)</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 240.13d-1(a) and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 Thereto Filed Pursuant to § 240.13d-2(a)</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9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Clearway Energy,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18539 C 105 (Class A common stock)</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18539 C 204 (Class C common stock)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Marine Delaitre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 – Gas, Renewables &amp; Power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TOTALENERGIES SE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 place Jean Millier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 Défense 6</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92400 Courbevoie</w:t>
      </w:r>
    </w:p>
    <w:p>
      <w:pPr>
        <w:spacing w:after="0" w:line="9"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00-331- 47443580</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Maia R. Gez</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White &amp; Case LLP</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(212) 819-8217</w:t>
      </w:r>
    </w:p>
    <w:p>
      <w:pPr>
        <w:spacing w:after="0" w:line="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28,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8"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 other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whom copies are to be sent.</w:t>
      </w:r>
    </w:p>
    <w:p>
      <w:pPr>
        <w:spacing w:after="0" w:line="160" w:lineRule="exact"/>
        <w:rPr>
          <w:sz w:val="24"/>
          <w:szCs w:val="24"/>
          <w:color w:val="auto"/>
        </w:rPr>
      </w:pPr>
    </w:p>
    <w:p>
      <w:pPr>
        <w:ind w:left="1020" w:right="460" w:hanging="1008"/>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1"/>
        </w:trPr>
        <w:tc>
          <w:tcPr>
            <w:tcW w:w="5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w:t>
            </w:r>
          </w:p>
        </w:tc>
        <w:tc>
          <w:tcPr>
            <w:tcW w:w="800" w:type="dxa"/>
            <w:vAlign w:val="bottom"/>
            <w:tcBorders>
              <w:top w:val="single" w:sz="8" w:color="auto"/>
              <w:right w:val="single" w:sz="8" w:color="auto"/>
            </w:tcBorders>
          </w:tcPr>
          <w:p>
            <w:pPr>
              <w:spacing w:after="0"/>
              <w:rPr>
                <w:sz w:val="18"/>
                <w:szCs w:val="18"/>
                <w:color w:val="auto"/>
              </w:rPr>
            </w:pPr>
          </w:p>
        </w:tc>
        <w:tc>
          <w:tcPr>
            <w:tcW w:w="276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71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4"/>
              </w:rPr>
              <w:t>TotalEnergies SE</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80" w:type="dxa"/>
            <w:vAlign w:val="bottom"/>
            <w:tcBorders>
              <w:left w:val="single" w:sz="8" w:color="auto"/>
            </w:tcBorders>
          </w:tcPr>
          <w:p>
            <w:pPr>
              <w:ind w:left="18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800" w:type="dxa"/>
            <w:vAlign w:val="bottom"/>
            <w:tcBorders>
              <w:right w:val="single" w:sz="8" w:color="auto"/>
            </w:tcBorders>
          </w:tcPr>
          <w:p>
            <w:pPr>
              <w:spacing w:after="0"/>
              <w:rPr>
                <w:sz w:val="13"/>
                <w:szCs w:val="13"/>
                <w:color w:val="auto"/>
              </w:rPr>
            </w:pPr>
          </w:p>
        </w:tc>
        <w:tc>
          <w:tcPr>
            <w:tcW w:w="9880" w:type="dxa"/>
            <w:vAlign w:val="bottom"/>
            <w:tcBorders>
              <w:right w:val="single" w:sz="8" w:color="auto"/>
            </w:tcBorders>
            <w:gridSpan w:val="4"/>
          </w:tcPr>
          <w:p>
            <w:pPr>
              <w:ind w:left="2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6660"/>
              <w:spacing w:after="0" w:line="207" w:lineRule="exact"/>
              <w:rPr>
                <w:sz w:val="20"/>
                <w:szCs w:val="20"/>
                <w:color w:val="auto"/>
              </w:rPr>
            </w:pPr>
            <w:r>
              <w:rPr>
                <w:rFonts w:ascii="Times New Roman" w:cs="Times New Roman" w:eastAsia="Times New Roman" w:hAnsi="Times New Roman"/>
                <w:sz w:val="18"/>
                <w:szCs w:val="18"/>
                <w:color w:val="auto"/>
                <w:w w:val="98"/>
              </w:rPr>
              <w:t xml:space="preserve">(a)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270"/>
        </w:trPr>
        <w:tc>
          <w:tcPr>
            <w:tcW w:w="580" w:type="dxa"/>
            <w:vAlign w:val="bottom"/>
            <w:tcBorders>
              <w:left w:val="single" w:sz="8" w:color="auto"/>
              <w:bottom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120" w:type="dxa"/>
            <w:vAlign w:val="bottom"/>
            <w:tcBorders>
              <w:bottom w:val="single" w:sz="8" w:color="auto"/>
              <w:right w:val="single" w:sz="8" w:color="auto"/>
            </w:tcBorders>
          </w:tcPr>
          <w:p>
            <w:pPr>
              <w:ind w:left="66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3</w:t>
            </w:r>
          </w:p>
        </w:tc>
        <w:tc>
          <w:tcPr>
            <w:tcW w:w="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SEC Use Only</w:t>
            </w: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4</w:t>
            </w:r>
          </w:p>
        </w:tc>
        <w:tc>
          <w:tcPr>
            <w:tcW w:w="800" w:type="dxa"/>
            <w:vAlign w:val="bottom"/>
            <w:tcBorders>
              <w:right w:val="single" w:sz="8" w:color="auto"/>
            </w:tcBorders>
          </w:tcPr>
          <w:p>
            <w:pPr>
              <w:spacing w:after="0"/>
              <w:rPr>
                <w:sz w:val="16"/>
                <w:szCs w:val="16"/>
                <w:color w:val="auto"/>
              </w:rPr>
            </w:pPr>
          </w:p>
        </w:tc>
        <w:tc>
          <w:tcPr>
            <w:tcW w:w="27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Source of Funds (See Instructions)</w:t>
            </w:r>
          </w:p>
        </w:tc>
        <w:tc>
          <w:tcPr>
            <w:tcW w:w="7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OO</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5</w:t>
            </w:r>
          </w:p>
        </w:tc>
        <w:tc>
          <w:tcPr>
            <w:tcW w:w="800" w:type="dxa"/>
            <w:vAlign w:val="bottom"/>
            <w:tcBorders>
              <w:bottom w:val="single" w:sz="8" w:color="auto"/>
              <w:right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4"/>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800" w:type="dxa"/>
            <w:vAlign w:val="bottom"/>
            <w:tcBorders>
              <w:right w:val="single" w:sz="8" w:color="auto"/>
            </w:tcBorders>
          </w:tcPr>
          <w:p>
            <w:pPr>
              <w:spacing w:after="0"/>
              <w:rPr>
                <w:sz w:val="16"/>
                <w:szCs w:val="16"/>
                <w:color w:val="auto"/>
              </w:rPr>
            </w:pPr>
          </w:p>
        </w:tc>
        <w:tc>
          <w:tcPr>
            <w:tcW w:w="9880" w:type="dxa"/>
            <w:vAlign w:val="bottom"/>
            <w:tcBorders>
              <w:right w:val="single" w:sz="8" w:color="auto"/>
            </w:tcBorders>
            <w:gridSpan w:val="4"/>
          </w:tcPr>
          <w:p>
            <w:pPr>
              <w:ind w:left="220"/>
              <w:spacing w:after="0" w:line="191"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France</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tcPr>
          <w:p>
            <w:pPr>
              <w:spacing w:after="0"/>
              <w:rPr>
                <w:sz w:val="16"/>
                <w:szCs w:val="16"/>
                <w:color w:val="auto"/>
              </w:rPr>
            </w:pPr>
          </w:p>
        </w:tc>
        <w:tc>
          <w:tcPr>
            <w:tcW w:w="712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580" w:type="dxa"/>
            <w:vAlign w:val="bottom"/>
            <w:tcBorders>
              <w:left w:val="single" w:sz="8" w:color="auto"/>
            </w:tcBorders>
          </w:tcPr>
          <w:p>
            <w:pPr>
              <w:spacing w:after="0"/>
              <w:rPr>
                <w:sz w:val="16"/>
                <w:szCs w:val="16"/>
                <w:color w:val="auto"/>
              </w:rPr>
            </w:pPr>
          </w:p>
        </w:tc>
        <w:tc>
          <w:tcPr>
            <w:tcW w:w="2260" w:type="dxa"/>
            <w:vAlign w:val="bottom"/>
            <w:tcBorders>
              <w:right w:val="single" w:sz="8" w:color="auto"/>
            </w:tcBorders>
            <w:gridSpan w:val="2"/>
          </w:tcPr>
          <w:p>
            <w:pPr>
              <w:jc w:val="center"/>
              <w:ind w:right="3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right w:val="single" w:sz="8" w:color="auto"/>
            </w:tcBorders>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6"/>
                <w:szCs w:val="16"/>
                <w:color w:val="auto"/>
              </w:rPr>
            </w:pPr>
          </w:p>
        </w:tc>
        <w:tc>
          <w:tcPr>
            <w:tcW w:w="7120" w:type="dxa"/>
            <w:vAlign w:val="bottom"/>
            <w:tcBorders>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8"/>
        </w:trPr>
        <w:tc>
          <w:tcPr>
            <w:tcW w:w="58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174"/>
        </w:trPr>
        <w:tc>
          <w:tcPr>
            <w:tcW w:w="580" w:type="dxa"/>
            <w:vAlign w:val="bottom"/>
            <w:tcBorders>
              <w:left w:val="single" w:sz="8" w:color="auto"/>
            </w:tcBorders>
          </w:tcPr>
          <w:p>
            <w:pPr>
              <w:spacing w:after="0"/>
              <w:rPr>
                <w:sz w:val="15"/>
                <w:szCs w:val="15"/>
                <w:color w:val="auto"/>
              </w:rPr>
            </w:pPr>
          </w:p>
        </w:tc>
        <w:tc>
          <w:tcPr>
            <w:tcW w:w="2260" w:type="dxa"/>
            <w:vAlign w:val="bottom"/>
            <w:tcBorders>
              <w:right w:val="single" w:sz="8" w:color="auto"/>
            </w:tcBorders>
            <w:gridSpan w:val="2"/>
          </w:tcPr>
          <w:p>
            <w:pPr>
              <w:jc w:val="center"/>
              <w:ind w:right="3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1120" w:type="dxa"/>
            <w:vAlign w:val="bottom"/>
            <w:tcBorders>
              <w:right w:val="single" w:sz="8" w:color="auto"/>
            </w:tcBorders>
          </w:tcPr>
          <w:p>
            <w:pPr>
              <w:ind w:left="220"/>
              <w:spacing w:after="0" w:line="174" w:lineRule="exact"/>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Pr>
          <w:p>
            <w:pPr>
              <w:spacing w:after="0"/>
              <w:rPr>
                <w:sz w:val="15"/>
                <w:szCs w:val="15"/>
                <w:color w:val="auto"/>
              </w:rPr>
            </w:pPr>
          </w:p>
        </w:tc>
        <w:tc>
          <w:tcPr>
            <w:tcW w:w="7120" w:type="dxa"/>
            <w:vAlign w:val="bottom"/>
            <w:tcBorders>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
        </w:trPr>
        <w:tc>
          <w:tcPr>
            <w:tcW w:w="580" w:type="dxa"/>
            <w:vAlign w:val="bottom"/>
            <w:tcBorders>
              <w:left w:val="single" w:sz="8" w:color="auto"/>
            </w:tcBorders>
          </w:tcPr>
          <w:p>
            <w:pPr>
              <w:spacing w:after="0"/>
              <w:rPr>
                <w:sz w:val="3"/>
                <w:szCs w:val="3"/>
                <w:color w:val="auto"/>
              </w:rPr>
            </w:pPr>
          </w:p>
        </w:tc>
        <w:tc>
          <w:tcPr>
            <w:tcW w:w="2260" w:type="dxa"/>
            <w:vAlign w:val="bottom"/>
            <w:tcBorders>
              <w:right w:val="single" w:sz="8" w:color="auto"/>
            </w:tcBorders>
            <w:gridSpan w:val="2"/>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12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580" w:type="dxa"/>
            <w:vAlign w:val="bottom"/>
            <w:tcBorders>
              <w:left w:val="single" w:sz="8" w:color="auto"/>
            </w:tcBorders>
          </w:tcPr>
          <w:p>
            <w:pPr>
              <w:spacing w:after="0"/>
              <w:rPr>
                <w:sz w:val="13"/>
                <w:szCs w:val="13"/>
                <w:color w:val="auto"/>
              </w:rPr>
            </w:pPr>
          </w:p>
        </w:tc>
        <w:tc>
          <w:tcPr>
            <w:tcW w:w="2260" w:type="dxa"/>
            <w:vAlign w:val="bottom"/>
            <w:tcBorders>
              <w:right w:val="single" w:sz="8" w:color="auto"/>
            </w:tcBorders>
            <w:gridSpan w:val="2"/>
            <w:vMerge w:val="continue"/>
          </w:tcPr>
          <w:p>
            <w:pPr>
              <w:spacing w:after="0"/>
              <w:rPr>
                <w:sz w:val="13"/>
                <w:szCs w:val="13"/>
                <w:color w:val="auto"/>
              </w:rPr>
            </w:pPr>
          </w:p>
        </w:tc>
        <w:tc>
          <w:tcPr>
            <w:tcW w:w="1120" w:type="dxa"/>
            <w:vAlign w:val="bottom"/>
            <w:tcBorders>
              <w:right w:val="single" w:sz="8" w:color="auto"/>
            </w:tcBorders>
          </w:tcPr>
          <w:p>
            <w:pPr>
              <w:ind w:left="220"/>
              <w:spacing w:after="0" w:line="160" w:lineRule="exact"/>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13"/>
                <w:szCs w:val="13"/>
                <w:color w:val="auto"/>
              </w:rPr>
            </w:pPr>
          </w:p>
        </w:tc>
        <w:tc>
          <w:tcPr>
            <w:tcW w:w="712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7"/>
        </w:trPr>
        <w:tc>
          <w:tcPr>
            <w:tcW w:w="580" w:type="dxa"/>
            <w:vAlign w:val="bottom"/>
            <w:tcBorders>
              <w:left w:val="single" w:sz="8" w:color="auto"/>
            </w:tcBorders>
          </w:tcPr>
          <w:p>
            <w:pPr>
              <w:spacing w:after="0"/>
              <w:rPr>
                <w:sz w:val="21"/>
                <w:szCs w:val="21"/>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11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11</w:t>
            </w:r>
          </w:p>
        </w:tc>
        <w:tc>
          <w:tcPr>
            <w:tcW w:w="800" w:type="dxa"/>
            <w:vAlign w:val="bottom"/>
            <w:tcBorders>
              <w:right w:val="single" w:sz="8" w:color="auto"/>
            </w:tcBorders>
          </w:tcPr>
          <w:p>
            <w:pPr>
              <w:spacing w:after="0"/>
              <w:rPr>
                <w:sz w:val="16"/>
                <w:szCs w:val="16"/>
                <w:color w:val="auto"/>
              </w:rPr>
            </w:pPr>
          </w:p>
        </w:tc>
        <w:tc>
          <w:tcPr>
            <w:tcW w:w="258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Aggregate Amount Beneficially</w:t>
            </w:r>
          </w:p>
        </w:tc>
        <w:tc>
          <w:tcPr>
            <w:tcW w:w="730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Owned by Each Reporting Person</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88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880" w:type="dxa"/>
            <w:vAlign w:val="bottom"/>
            <w:tcBorders>
              <w:bottom w:val="single" w:sz="8" w:color="auto"/>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12</w:t>
            </w:r>
          </w:p>
        </w:tc>
        <w:tc>
          <w:tcPr>
            <w:tcW w:w="800" w:type="dxa"/>
            <w:vAlign w:val="bottom"/>
            <w:tcBorders>
              <w:bottom w:val="single" w:sz="8" w:color="auto"/>
              <w:right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4"/>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13</w:t>
            </w:r>
          </w:p>
        </w:tc>
        <w:tc>
          <w:tcPr>
            <w:tcW w:w="800" w:type="dxa"/>
            <w:vAlign w:val="bottom"/>
            <w:tcBorders>
              <w:right w:val="single" w:sz="8" w:color="auto"/>
            </w:tcBorders>
          </w:tcPr>
          <w:p>
            <w:pPr>
              <w:spacing w:after="0"/>
              <w:rPr>
                <w:sz w:val="16"/>
                <w:szCs w:val="16"/>
                <w:color w:val="auto"/>
              </w:rPr>
            </w:pPr>
          </w:p>
        </w:tc>
        <w:tc>
          <w:tcPr>
            <w:tcW w:w="9880" w:type="dxa"/>
            <w:vAlign w:val="bottom"/>
            <w:tcBorders>
              <w:right w:val="single" w:sz="8" w:color="auto"/>
            </w:tcBorders>
            <w:gridSpan w:val="4"/>
          </w:tcPr>
          <w:p>
            <w:pPr>
              <w:ind w:left="220"/>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55.3% of Class A common stock</w:t>
            </w:r>
          </w:p>
        </w:tc>
        <w:tc>
          <w:tcPr>
            <w:tcW w:w="7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33.7% of Class C common stock</w:t>
            </w: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14</w:t>
            </w:r>
          </w:p>
        </w:tc>
        <w:tc>
          <w:tcPr>
            <w:tcW w:w="800" w:type="dxa"/>
            <w:vAlign w:val="bottom"/>
            <w:tcBorders>
              <w:right w:val="single" w:sz="8" w:color="auto"/>
            </w:tcBorders>
          </w:tcPr>
          <w:p>
            <w:pPr>
              <w:spacing w:after="0"/>
              <w:rPr>
                <w:sz w:val="16"/>
                <w:szCs w:val="16"/>
                <w:color w:val="auto"/>
              </w:rPr>
            </w:pPr>
          </w:p>
        </w:tc>
        <w:tc>
          <w:tcPr>
            <w:tcW w:w="27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Type of Reporting Person</w:t>
            </w:r>
          </w:p>
        </w:tc>
        <w:tc>
          <w:tcPr>
            <w:tcW w:w="7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02" w:right="31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w:t>
            </w:r>
          </w:p>
        </w:tc>
        <w:tc>
          <w:tcPr>
            <w:tcW w:w="800" w:type="dxa"/>
            <w:vAlign w:val="bottom"/>
            <w:tcBorders>
              <w:top w:val="single" w:sz="8" w:color="auto"/>
              <w:right w:val="single" w:sz="8" w:color="auto"/>
            </w:tcBorders>
          </w:tcPr>
          <w:p>
            <w:pPr>
              <w:spacing w:after="0"/>
              <w:rPr>
                <w:sz w:val="18"/>
                <w:szCs w:val="18"/>
                <w:color w:val="auto"/>
              </w:rPr>
            </w:pPr>
          </w:p>
        </w:tc>
        <w:tc>
          <w:tcPr>
            <w:tcW w:w="276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71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w w:val="99"/>
              </w:rPr>
              <w:t>TotalEnergies Gestion USA SARL</w:t>
            </w: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80" w:type="dxa"/>
            <w:vAlign w:val="bottom"/>
            <w:tcBorders>
              <w:left w:val="single" w:sz="8" w:color="auto"/>
            </w:tcBorders>
          </w:tcPr>
          <w:p>
            <w:pPr>
              <w:ind w:left="18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800" w:type="dxa"/>
            <w:vAlign w:val="bottom"/>
            <w:tcBorders>
              <w:right w:val="single" w:sz="8" w:color="auto"/>
            </w:tcBorders>
          </w:tcPr>
          <w:p>
            <w:pPr>
              <w:spacing w:after="0"/>
              <w:rPr>
                <w:sz w:val="13"/>
                <w:szCs w:val="13"/>
                <w:color w:val="auto"/>
              </w:rPr>
            </w:pPr>
          </w:p>
        </w:tc>
        <w:tc>
          <w:tcPr>
            <w:tcW w:w="9880" w:type="dxa"/>
            <w:vAlign w:val="bottom"/>
            <w:tcBorders>
              <w:right w:val="single" w:sz="8" w:color="auto"/>
            </w:tcBorders>
            <w:gridSpan w:val="4"/>
          </w:tcPr>
          <w:p>
            <w:pPr>
              <w:ind w:left="2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6660"/>
              <w:spacing w:after="0" w:line="207" w:lineRule="exact"/>
              <w:rPr>
                <w:sz w:val="20"/>
                <w:szCs w:val="20"/>
                <w:color w:val="auto"/>
              </w:rPr>
            </w:pPr>
            <w:r>
              <w:rPr>
                <w:rFonts w:ascii="Times New Roman" w:cs="Times New Roman" w:eastAsia="Times New Roman" w:hAnsi="Times New Roman"/>
                <w:sz w:val="18"/>
                <w:szCs w:val="18"/>
                <w:color w:val="auto"/>
                <w:w w:val="98"/>
              </w:rPr>
              <w:t xml:space="preserve">(a)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270"/>
        </w:trPr>
        <w:tc>
          <w:tcPr>
            <w:tcW w:w="580" w:type="dxa"/>
            <w:vAlign w:val="bottom"/>
            <w:tcBorders>
              <w:left w:val="single" w:sz="8" w:color="auto"/>
              <w:bottom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120" w:type="dxa"/>
            <w:vAlign w:val="bottom"/>
            <w:tcBorders>
              <w:bottom w:val="single" w:sz="8" w:color="auto"/>
              <w:right w:val="single" w:sz="8" w:color="auto"/>
            </w:tcBorders>
          </w:tcPr>
          <w:p>
            <w:pPr>
              <w:ind w:left="66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3</w:t>
            </w:r>
          </w:p>
        </w:tc>
        <w:tc>
          <w:tcPr>
            <w:tcW w:w="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SEC Use Only</w:t>
            </w: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4</w:t>
            </w:r>
          </w:p>
        </w:tc>
        <w:tc>
          <w:tcPr>
            <w:tcW w:w="800" w:type="dxa"/>
            <w:vAlign w:val="bottom"/>
            <w:tcBorders>
              <w:right w:val="single" w:sz="8" w:color="auto"/>
            </w:tcBorders>
          </w:tcPr>
          <w:p>
            <w:pPr>
              <w:spacing w:after="0"/>
              <w:rPr>
                <w:sz w:val="16"/>
                <w:szCs w:val="16"/>
                <w:color w:val="auto"/>
              </w:rPr>
            </w:pPr>
          </w:p>
        </w:tc>
        <w:tc>
          <w:tcPr>
            <w:tcW w:w="27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Source of Funds (See Instructions)</w:t>
            </w:r>
          </w:p>
        </w:tc>
        <w:tc>
          <w:tcPr>
            <w:tcW w:w="7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OO</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5</w:t>
            </w:r>
          </w:p>
        </w:tc>
        <w:tc>
          <w:tcPr>
            <w:tcW w:w="800" w:type="dxa"/>
            <w:vAlign w:val="bottom"/>
            <w:tcBorders>
              <w:bottom w:val="single" w:sz="8" w:color="auto"/>
              <w:right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4"/>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800" w:type="dxa"/>
            <w:vAlign w:val="bottom"/>
            <w:tcBorders>
              <w:right w:val="single" w:sz="8" w:color="auto"/>
            </w:tcBorders>
          </w:tcPr>
          <w:p>
            <w:pPr>
              <w:spacing w:after="0"/>
              <w:rPr>
                <w:sz w:val="16"/>
                <w:szCs w:val="16"/>
                <w:color w:val="auto"/>
              </w:rPr>
            </w:pPr>
          </w:p>
        </w:tc>
        <w:tc>
          <w:tcPr>
            <w:tcW w:w="9880" w:type="dxa"/>
            <w:vAlign w:val="bottom"/>
            <w:tcBorders>
              <w:right w:val="single" w:sz="8" w:color="auto"/>
            </w:tcBorders>
            <w:gridSpan w:val="4"/>
          </w:tcPr>
          <w:p>
            <w:pPr>
              <w:ind w:left="220"/>
              <w:spacing w:after="0" w:line="191"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France</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tcPr>
          <w:p>
            <w:pPr>
              <w:spacing w:after="0"/>
              <w:rPr>
                <w:sz w:val="16"/>
                <w:szCs w:val="16"/>
                <w:color w:val="auto"/>
              </w:rPr>
            </w:pPr>
          </w:p>
        </w:tc>
        <w:tc>
          <w:tcPr>
            <w:tcW w:w="712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580" w:type="dxa"/>
            <w:vAlign w:val="bottom"/>
            <w:tcBorders>
              <w:left w:val="single" w:sz="8" w:color="auto"/>
            </w:tcBorders>
          </w:tcPr>
          <w:p>
            <w:pPr>
              <w:spacing w:after="0"/>
              <w:rPr>
                <w:sz w:val="16"/>
                <w:szCs w:val="16"/>
                <w:color w:val="auto"/>
              </w:rPr>
            </w:pPr>
          </w:p>
        </w:tc>
        <w:tc>
          <w:tcPr>
            <w:tcW w:w="2260" w:type="dxa"/>
            <w:vAlign w:val="bottom"/>
            <w:tcBorders>
              <w:right w:val="single" w:sz="8" w:color="auto"/>
            </w:tcBorders>
            <w:gridSpan w:val="2"/>
          </w:tcPr>
          <w:p>
            <w:pPr>
              <w:jc w:val="center"/>
              <w:ind w:right="3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right w:val="single" w:sz="8" w:color="auto"/>
            </w:tcBorders>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6"/>
                <w:szCs w:val="16"/>
                <w:color w:val="auto"/>
              </w:rPr>
            </w:pPr>
          </w:p>
        </w:tc>
        <w:tc>
          <w:tcPr>
            <w:tcW w:w="7120" w:type="dxa"/>
            <w:vAlign w:val="bottom"/>
            <w:tcBorders>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8"/>
        </w:trPr>
        <w:tc>
          <w:tcPr>
            <w:tcW w:w="58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174"/>
        </w:trPr>
        <w:tc>
          <w:tcPr>
            <w:tcW w:w="580" w:type="dxa"/>
            <w:vAlign w:val="bottom"/>
            <w:tcBorders>
              <w:left w:val="single" w:sz="8" w:color="auto"/>
            </w:tcBorders>
          </w:tcPr>
          <w:p>
            <w:pPr>
              <w:spacing w:after="0"/>
              <w:rPr>
                <w:sz w:val="15"/>
                <w:szCs w:val="15"/>
                <w:color w:val="auto"/>
              </w:rPr>
            </w:pPr>
          </w:p>
        </w:tc>
        <w:tc>
          <w:tcPr>
            <w:tcW w:w="2260" w:type="dxa"/>
            <w:vAlign w:val="bottom"/>
            <w:tcBorders>
              <w:right w:val="single" w:sz="8" w:color="auto"/>
            </w:tcBorders>
            <w:gridSpan w:val="2"/>
          </w:tcPr>
          <w:p>
            <w:pPr>
              <w:jc w:val="center"/>
              <w:ind w:right="3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1120" w:type="dxa"/>
            <w:vAlign w:val="bottom"/>
            <w:tcBorders>
              <w:right w:val="single" w:sz="8" w:color="auto"/>
            </w:tcBorders>
          </w:tcPr>
          <w:p>
            <w:pPr>
              <w:ind w:left="220"/>
              <w:spacing w:after="0" w:line="174" w:lineRule="exact"/>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Pr>
          <w:p>
            <w:pPr>
              <w:spacing w:after="0"/>
              <w:rPr>
                <w:sz w:val="15"/>
                <w:szCs w:val="15"/>
                <w:color w:val="auto"/>
              </w:rPr>
            </w:pPr>
          </w:p>
        </w:tc>
        <w:tc>
          <w:tcPr>
            <w:tcW w:w="7120" w:type="dxa"/>
            <w:vAlign w:val="bottom"/>
            <w:tcBorders>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
        </w:trPr>
        <w:tc>
          <w:tcPr>
            <w:tcW w:w="580" w:type="dxa"/>
            <w:vAlign w:val="bottom"/>
            <w:tcBorders>
              <w:left w:val="single" w:sz="8" w:color="auto"/>
            </w:tcBorders>
          </w:tcPr>
          <w:p>
            <w:pPr>
              <w:spacing w:after="0"/>
              <w:rPr>
                <w:sz w:val="3"/>
                <w:szCs w:val="3"/>
                <w:color w:val="auto"/>
              </w:rPr>
            </w:pPr>
          </w:p>
        </w:tc>
        <w:tc>
          <w:tcPr>
            <w:tcW w:w="2260" w:type="dxa"/>
            <w:vAlign w:val="bottom"/>
            <w:tcBorders>
              <w:right w:val="single" w:sz="8" w:color="auto"/>
            </w:tcBorders>
            <w:gridSpan w:val="2"/>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12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580" w:type="dxa"/>
            <w:vAlign w:val="bottom"/>
            <w:tcBorders>
              <w:left w:val="single" w:sz="8" w:color="auto"/>
            </w:tcBorders>
          </w:tcPr>
          <w:p>
            <w:pPr>
              <w:spacing w:after="0"/>
              <w:rPr>
                <w:sz w:val="13"/>
                <w:szCs w:val="13"/>
                <w:color w:val="auto"/>
              </w:rPr>
            </w:pPr>
          </w:p>
        </w:tc>
        <w:tc>
          <w:tcPr>
            <w:tcW w:w="2260" w:type="dxa"/>
            <w:vAlign w:val="bottom"/>
            <w:tcBorders>
              <w:right w:val="single" w:sz="8" w:color="auto"/>
            </w:tcBorders>
            <w:gridSpan w:val="2"/>
            <w:vMerge w:val="continue"/>
          </w:tcPr>
          <w:p>
            <w:pPr>
              <w:spacing w:after="0"/>
              <w:rPr>
                <w:sz w:val="13"/>
                <w:szCs w:val="13"/>
                <w:color w:val="auto"/>
              </w:rPr>
            </w:pPr>
          </w:p>
        </w:tc>
        <w:tc>
          <w:tcPr>
            <w:tcW w:w="1120" w:type="dxa"/>
            <w:vAlign w:val="bottom"/>
            <w:tcBorders>
              <w:right w:val="single" w:sz="8" w:color="auto"/>
            </w:tcBorders>
          </w:tcPr>
          <w:p>
            <w:pPr>
              <w:ind w:left="220"/>
              <w:spacing w:after="0" w:line="160" w:lineRule="exact"/>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13"/>
                <w:szCs w:val="13"/>
                <w:color w:val="auto"/>
              </w:rPr>
            </w:pPr>
          </w:p>
        </w:tc>
        <w:tc>
          <w:tcPr>
            <w:tcW w:w="712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7"/>
        </w:trPr>
        <w:tc>
          <w:tcPr>
            <w:tcW w:w="580" w:type="dxa"/>
            <w:vAlign w:val="bottom"/>
            <w:tcBorders>
              <w:left w:val="single" w:sz="8" w:color="auto"/>
            </w:tcBorders>
          </w:tcPr>
          <w:p>
            <w:pPr>
              <w:spacing w:after="0"/>
              <w:rPr>
                <w:sz w:val="21"/>
                <w:szCs w:val="21"/>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11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11</w:t>
            </w:r>
          </w:p>
        </w:tc>
        <w:tc>
          <w:tcPr>
            <w:tcW w:w="800" w:type="dxa"/>
            <w:vAlign w:val="bottom"/>
            <w:tcBorders>
              <w:right w:val="single" w:sz="8" w:color="auto"/>
            </w:tcBorders>
          </w:tcPr>
          <w:p>
            <w:pPr>
              <w:spacing w:after="0"/>
              <w:rPr>
                <w:sz w:val="16"/>
                <w:szCs w:val="16"/>
                <w:color w:val="auto"/>
              </w:rPr>
            </w:pPr>
          </w:p>
        </w:tc>
        <w:tc>
          <w:tcPr>
            <w:tcW w:w="258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Aggregate Amount Beneficially</w:t>
            </w:r>
          </w:p>
        </w:tc>
        <w:tc>
          <w:tcPr>
            <w:tcW w:w="730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Owned by Each Reporting Person</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88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880" w:type="dxa"/>
            <w:vAlign w:val="bottom"/>
            <w:tcBorders>
              <w:bottom w:val="single" w:sz="8" w:color="auto"/>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12</w:t>
            </w:r>
          </w:p>
        </w:tc>
        <w:tc>
          <w:tcPr>
            <w:tcW w:w="800" w:type="dxa"/>
            <w:vAlign w:val="bottom"/>
            <w:tcBorders>
              <w:bottom w:val="single" w:sz="8" w:color="auto"/>
              <w:right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4"/>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13</w:t>
            </w:r>
          </w:p>
        </w:tc>
        <w:tc>
          <w:tcPr>
            <w:tcW w:w="800" w:type="dxa"/>
            <w:vAlign w:val="bottom"/>
            <w:tcBorders>
              <w:right w:val="single" w:sz="8" w:color="auto"/>
            </w:tcBorders>
          </w:tcPr>
          <w:p>
            <w:pPr>
              <w:spacing w:after="0"/>
              <w:rPr>
                <w:sz w:val="16"/>
                <w:szCs w:val="16"/>
                <w:color w:val="auto"/>
              </w:rPr>
            </w:pPr>
          </w:p>
        </w:tc>
        <w:tc>
          <w:tcPr>
            <w:tcW w:w="9880" w:type="dxa"/>
            <w:vAlign w:val="bottom"/>
            <w:tcBorders>
              <w:right w:val="single" w:sz="8" w:color="auto"/>
            </w:tcBorders>
            <w:gridSpan w:val="4"/>
          </w:tcPr>
          <w:p>
            <w:pPr>
              <w:ind w:left="220"/>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55.3% of Class A common stock</w:t>
            </w:r>
          </w:p>
        </w:tc>
        <w:tc>
          <w:tcPr>
            <w:tcW w:w="7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33.7% of Class C common stock</w:t>
            </w: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14</w:t>
            </w:r>
          </w:p>
        </w:tc>
        <w:tc>
          <w:tcPr>
            <w:tcW w:w="800" w:type="dxa"/>
            <w:vAlign w:val="bottom"/>
            <w:tcBorders>
              <w:right w:val="single" w:sz="8" w:color="auto"/>
            </w:tcBorders>
          </w:tcPr>
          <w:p>
            <w:pPr>
              <w:spacing w:after="0"/>
              <w:rPr>
                <w:sz w:val="16"/>
                <w:szCs w:val="16"/>
                <w:color w:val="auto"/>
              </w:rPr>
            </w:pPr>
          </w:p>
        </w:tc>
        <w:tc>
          <w:tcPr>
            <w:tcW w:w="27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Type of Reporting Person</w:t>
            </w:r>
          </w:p>
        </w:tc>
        <w:tc>
          <w:tcPr>
            <w:tcW w:w="7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02" w:right="31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w:t>
            </w:r>
          </w:p>
        </w:tc>
        <w:tc>
          <w:tcPr>
            <w:tcW w:w="800" w:type="dxa"/>
            <w:vAlign w:val="bottom"/>
            <w:tcBorders>
              <w:top w:val="single" w:sz="8" w:color="auto"/>
              <w:right w:val="single" w:sz="8" w:color="auto"/>
            </w:tcBorders>
          </w:tcPr>
          <w:p>
            <w:pPr>
              <w:spacing w:after="0"/>
              <w:rPr>
                <w:sz w:val="18"/>
                <w:szCs w:val="18"/>
                <w:color w:val="auto"/>
              </w:rPr>
            </w:pPr>
          </w:p>
        </w:tc>
        <w:tc>
          <w:tcPr>
            <w:tcW w:w="276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71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TotalEnergies Holdings USA, Inc.</w:t>
            </w: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80" w:type="dxa"/>
            <w:vAlign w:val="bottom"/>
            <w:tcBorders>
              <w:left w:val="single" w:sz="8" w:color="auto"/>
            </w:tcBorders>
          </w:tcPr>
          <w:p>
            <w:pPr>
              <w:ind w:left="18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800" w:type="dxa"/>
            <w:vAlign w:val="bottom"/>
            <w:tcBorders>
              <w:right w:val="single" w:sz="8" w:color="auto"/>
            </w:tcBorders>
          </w:tcPr>
          <w:p>
            <w:pPr>
              <w:spacing w:after="0"/>
              <w:rPr>
                <w:sz w:val="13"/>
                <w:szCs w:val="13"/>
                <w:color w:val="auto"/>
              </w:rPr>
            </w:pPr>
          </w:p>
        </w:tc>
        <w:tc>
          <w:tcPr>
            <w:tcW w:w="9880" w:type="dxa"/>
            <w:vAlign w:val="bottom"/>
            <w:tcBorders>
              <w:right w:val="single" w:sz="8" w:color="auto"/>
            </w:tcBorders>
            <w:gridSpan w:val="4"/>
          </w:tcPr>
          <w:p>
            <w:pPr>
              <w:ind w:left="2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6660"/>
              <w:spacing w:after="0" w:line="207" w:lineRule="exact"/>
              <w:rPr>
                <w:sz w:val="20"/>
                <w:szCs w:val="20"/>
                <w:color w:val="auto"/>
              </w:rPr>
            </w:pPr>
            <w:r>
              <w:rPr>
                <w:rFonts w:ascii="Times New Roman" w:cs="Times New Roman" w:eastAsia="Times New Roman" w:hAnsi="Times New Roman"/>
                <w:sz w:val="18"/>
                <w:szCs w:val="18"/>
                <w:color w:val="auto"/>
                <w:w w:val="98"/>
              </w:rPr>
              <w:t xml:space="preserve">(a)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270"/>
        </w:trPr>
        <w:tc>
          <w:tcPr>
            <w:tcW w:w="580" w:type="dxa"/>
            <w:vAlign w:val="bottom"/>
            <w:tcBorders>
              <w:left w:val="single" w:sz="8" w:color="auto"/>
              <w:bottom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120" w:type="dxa"/>
            <w:vAlign w:val="bottom"/>
            <w:tcBorders>
              <w:bottom w:val="single" w:sz="8" w:color="auto"/>
              <w:right w:val="single" w:sz="8" w:color="auto"/>
            </w:tcBorders>
          </w:tcPr>
          <w:p>
            <w:pPr>
              <w:ind w:left="66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3</w:t>
            </w:r>
          </w:p>
        </w:tc>
        <w:tc>
          <w:tcPr>
            <w:tcW w:w="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SEC Use Only</w:t>
            </w: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4</w:t>
            </w:r>
          </w:p>
        </w:tc>
        <w:tc>
          <w:tcPr>
            <w:tcW w:w="800" w:type="dxa"/>
            <w:vAlign w:val="bottom"/>
            <w:tcBorders>
              <w:right w:val="single" w:sz="8" w:color="auto"/>
            </w:tcBorders>
          </w:tcPr>
          <w:p>
            <w:pPr>
              <w:spacing w:after="0"/>
              <w:rPr>
                <w:sz w:val="16"/>
                <w:szCs w:val="16"/>
                <w:color w:val="auto"/>
              </w:rPr>
            </w:pPr>
          </w:p>
        </w:tc>
        <w:tc>
          <w:tcPr>
            <w:tcW w:w="27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Source of Funds (See Instructions)</w:t>
            </w:r>
          </w:p>
        </w:tc>
        <w:tc>
          <w:tcPr>
            <w:tcW w:w="7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OO</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5</w:t>
            </w:r>
          </w:p>
        </w:tc>
        <w:tc>
          <w:tcPr>
            <w:tcW w:w="800" w:type="dxa"/>
            <w:vAlign w:val="bottom"/>
            <w:tcBorders>
              <w:bottom w:val="single" w:sz="8" w:color="auto"/>
              <w:right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4"/>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800" w:type="dxa"/>
            <w:vAlign w:val="bottom"/>
            <w:tcBorders>
              <w:right w:val="single" w:sz="8" w:color="auto"/>
            </w:tcBorders>
          </w:tcPr>
          <w:p>
            <w:pPr>
              <w:spacing w:after="0"/>
              <w:rPr>
                <w:sz w:val="16"/>
                <w:szCs w:val="16"/>
                <w:color w:val="auto"/>
              </w:rPr>
            </w:pPr>
          </w:p>
        </w:tc>
        <w:tc>
          <w:tcPr>
            <w:tcW w:w="9880" w:type="dxa"/>
            <w:vAlign w:val="bottom"/>
            <w:tcBorders>
              <w:right w:val="single" w:sz="8" w:color="auto"/>
            </w:tcBorders>
            <w:gridSpan w:val="4"/>
          </w:tcPr>
          <w:p>
            <w:pPr>
              <w:ind w:left="220"/>
              <w:spacing w:after="0" w:line="191"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tcPr>
          <w:p>
            <w:pPr>
              <w:spacing w:after="0"/>
              <w:rPr>
                <w:sz w:val="16"/>
                <w:szCs w:val="16"/>
                <w:color w:val="auto"/>
              </w:rPr>
            </w:pPr>
          </w:p>
        </w:tc>
        <w:tc>
          <w:tcPr>
            <w:tcW w:w="712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580" w:type="dxa"/>
            <w:vAlign w:val="bottom"/>
            <w:tcBorders>
              <w:left w:val="single" w:sz="8" w:color="auto"/>
            </w:tcBorders>
          </w:tcPr>
          <w:p>
            <w:pPr>
              <w:spacing w:after="0"/>
              <w:rPr>
                <w:sz w:val="16"/>
                <w:szCs w:val="16"/>
                <w:color w:val="auto"/>
              </w:rPr>
            </w:pPr>
          </w:p>
        </w:tc>
        <w:tc>
          <w:tcPr>
            <w:tcW w:w="2260" w:type="dxa"/>
            <w:vAlign w:val="bottom"/>
            <w:tcBorders>
              <w:right w:val="single" w:sz="8" w:color="auto"/>
            </w:tcBorders>
            <w:gridSpan w:val="2"/>
          </w:tcPr>
          <w:p>
            <w:pPr>
              <w:jc w:val="center"/>
              <w:ind w:right="3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right w:val="single" w:sz="8" w:color="auto"/>
            </w:tcBorders>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6"/>
                <w:szCs w:val="16"/>
                <w:color w:val="auto"/>
              </w:rPr>
            </w:pPr>
          </w:p>
        </w:tc>
        <w:tc>
          <w:tcPr>
            <w:tcW w:w="7120" w:type="dxa"/>
            <w:vAlign w:val="bottom"/>
            <w:tcBorders>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8"/>
        </w:trPr>
        <w:tc>
          <w:tcPr>
            <w:tcW w:w="58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174"/>
        </w:trPr>
        <w:tc>
          <w:tcPr>
            <w:tcW w:w="580" w:type="dxa"/>
            <w:vAlign w:val="bottom"/>
            <w:tcBorders>
              <w:left w:val="single" w:sz="8" w:color="auto"/>
            </w:tcBorders>
          </w:tcPr>
          <w:p>
            <w:pPr>
              <w:spacing w:after="0"/>
              <w:rPr>
                <w:sz w:val="15"/>
                <w:szCs w:val="15"/>
                <w:color w:val="auto"/>
              </w:rPr>
            </w:pPr>
          </w:p>
        </w:tc>
        <w:tc>
          <w:tcPr>
            <w:tcW w:w="2260" w:type="dxa"/>
            <w:vAlign w:val="bottom"/>
            <w:tcBorders>
              <w:right w:val="single" w:sz="8" w:color="auto"/>
            </w:tcBorders>
            <w:gridSpan w:val="2"/>
          </w:tcPr>
          <w:p>
            <w:pPr>
              <w:jc w:val="center"/>
              <w:ind w:right="3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1120" w:type="dxa"/>
            <w:vAlign w:val="bottom"/>
            <w:tcBorders>
              <w:right w:val="single" w:sz="8" w:color="auto"/>
            </w:tcBorders>
          </w:tcPr>
          <w:p>
            <w:pPr>
              <w:ind w:left="220"/>
              <w:spacing w:after="0" w:line="174" w:lineRule="exact"/>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Pr>
          <w:p>
            <w:pPr>
              <w:spacing w:after="0"/>
              <w:rPr>
                <w:sz w:val="15"/>
                <w:szCs w:val="15"/>
                <w:color w:val="auto"/>
              </w:rPr>
            </w:pPr>
          </w:p>
        </w:tc>
        <w:tc>
          <w:tcPr>
            <w:tcW w:w="7120" w:type="dxa"/>
            <w:vAlign w:val="bottom"/>
            <w:tcBorders>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
        </w:trPr>
        <w:tc>
          <w:tcPr>
            <w:tcW w:w="580" w:type="dxa"/>
            <w:vAlign w:val="bottom"/>
            <w:tcBorders>
              <w:left w:val="single" w:sz="8" w:color="auto"/>
            </w:tcBorders>
          </w:tcPr>
          <w:p>
            <w:pPr>
              <w:spacing w:after="0"/>
              <w:rPr>
                <w:sz w:val="3"/>
                <w:szCs w:val="3"/>
                <w:color w:val="auto"/>
              </w:rPr>
            </w:pPr>
          </w:p>
        </w:tc>
        <w:tc>
          <w:tcPr>
            <w:tcW w:w="2260" w:type="dxa"/>
            <w:vAlign w:val="bottom"/>
            <w:tcBorders>
              <w:right w:val="single" w:sz="8" w:color="auto"/>
            </w:tcBorders>
            <w:gridSpan w:val="2"/>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12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580" w:type="dxa"/>
            <w:vAlign w:val="bottom"/>
            <w:tcBorders>
              <w:left w:val="single" w:sz="8" w:color="auto"/>
            </w:tcBorders>
          </w:tcPr>
          <w:p>
            <w:pPr>
              <w:spacing w:after="0"/>
              <w:rPr>
                <w:sz w:val="13"/>
                <w:szCs w:val="13"/>
                <w:color w:val="auto"/>
              </w:rPr>
            </w:pPr>
          </w:p>
        </w:tc>
        <w:tc>
          <w:tcPr>
            <w:tcW w:w="2260" w:type="dxa"/>
            <w:vAlign w:val="bottom"/>
            <w:tcBorders>
              <w:right w:val="single" w:sz="8" w:color="auto"/>
            </w:tcBorders>
            <w:gridSpan w:val="2"/>
            <w:vMerge w:val="continue"/>
          </w:tcPr>
          <w:p>
            <w:pPr>
              <w:spacing w:after="0"/>
              <w:rPr>
                <w:sz w:val="13"/>
                <w:szCs w:val="13"/>
                <w:color w:val="auto"/>
              </w:rPr>
            </w:pPr>
          </w:p>
        </w:tc>
        <w:tc>
          <w:tcPr>
            <w:tcW w:w="1120" w:type="dxa"/>
            <w:vAlign w:val="bottom"/>
            <w:tcBorders>
              <w:right w:val="single" w:sz="8" w:color="auto"/>
            </w:tcBorders>
          </w:tcPr>
          <w:p>
            <w:pPr>
              <w:ind w:left="220"/>
              <w:spacing w:after="0" w:line="160" w:lineRule="exact"/>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13"/>
                <w:szCs w:val="13"/>
                <w:color w:val="auto"/>
              </w:rPr>
            </w:pPr>
          </w:p>
        </w:tc>
        <w:tc>
          <w:tcPr>
            <w:tcW w:w="712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7"/>
        </w:trPr>
        <w:tc>
          <w:tcPr>
            <w:tcW w:w="580" w:type="dxa"/>
            <w:vAlign w:val="bottom"/>
            <w:tcBorders>
              <w:left w:val="single" w:sz="8" w:color="auto"/>
            </w:tcBorders>
          </w:tcPr>
          <w:p>
            <w:pPr>
              <w:spacing w:after="0"/>
              <w:rPr>
                <w:sz w:val="21"/>
                <w:szCs w:val="21"/>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11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11</w:t>
            </w:r>
          </w:p>
        </w:tc>
        <w:tc>
          <w:tcPr>
            <w:tcW w:w="800" w:type="dxa"/>
            <w:vAlign w:val="bottom"/>
            <w:tcBorders>
              <w:right w:val="single" w:sz="8" w:color="auto"/>
            </w:tcBorders>
          </w:tcPr>
          <w:p>
            <w:pPr>
              <w:spacing w:after="0"/>
              <w:rPr>
                <w:sz w:val="16"/>
                <w:szCs w:val="16"/>
                <w:color w:val="auto"/>
              </w:rPr>
            </w:pPr>
          </w:p>
        </w:tc>
        <w:tc>
          <w:tcPr>
            <w:tcW w:w="258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Aggregate Amount Beneficially</w:t>
            </w:r>
          </w:p>
        </w:tc>
        <w:tc>
          <w:tcPr>
            <w:tcW w:w="730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Owned by Each Reporting Person</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88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880" w:type="dxa"/>
            <w:vAlign w:val="bottom"/>
            <w:tcBorders>
              <w:bottom w:val="single" w:sz="8" w:color="auto"/>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12</w:t>
            </w:r>
          </w:p>
        </w:tc>
        <w:tc>
          <w:tcPr>
            <w:tcW w:w="800" w:type="dxa"/>
            <w:vAlign w:val="bottom"/>
            <w:tcBorders>
              <w:bottom w:val="single" w:sz="8" w:color="auto"/>
              <w:right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4"/>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13</w:t>
            </w:r>
          </w:p>
        </w:tc>
        <w:tc>
          <w:tcPr>
            <w:tcW w:w="800" w:type="dxa"/>
            <w:vAlign w:val="bottom"/>
            <w:tcBorders>
              <w:right w:val="single" w:sz="8" w:color="auto"/>
            </w:tcBorders>
          </w:tcPr>
          <w:p>
            <w:pPr>
              <w:spacing w:after="0"/>
              <w:rPr>
                <w:sz w:val="16"/>
                <w:szCs w:val="16"/>
                <w:color w:val="auto"/>
              </w:rPr>
            </w:pPr>
          </w:p>
        </w:tc>
        <w:tc>
          <w:tcPr>
            <w:tcW w:w="9880" w:type="dxa"/>
            <w:vAlign w:val="bottom"/>
            <w:tcBorders>
              <w:right w:val="single" w:sz="8" w:color="auto"/>
            </w:tcBorders>
            <w:gridSpan w:val="4"/>
          </w:tcPr>
          <w:p>
            <w:pPr>
              <w:ind w:left="220"/>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55.3% of Class A common stock</w:t>
            </w:r>
          </w:p>
        </w:tc>
        <w:tc>
          <w:tcPr>
            <w:tcW w:w="7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33.7% of Class C common stock</w:t>
            </w: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14</w:t>
            </w:r>
          </w:p>
        </w:tc>
        <w:tc>
          <w:tcPr>
            <w:tcW w:w="800" w:type="dxa"/>
            <w:vAlign w:val="bottom"/>
            <w:tcBorders>
              <w:right w:val="single" w:sz="8" w:color="auto"/>
            </w:tcBorders>
          </w:tcPr>
          <w:p>
            <w:pPr>
              <w:spacing w:after="0"/>
              <w:rPr>
                <w:sz w:val="16"/>
                <w:szCs w:val="16"/>
                <w:color w:val="auto"/>
              </w:rPr>
            </w:pPr>
          </w:p>
        </w:tc>
        <w:tc>
          <w:tcPr>
            <w:tcW w:w="27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Type of Reporting Person</w:t>
            </w:r>
          </w:p>
        </w:tc>
        <w:tc>
          <w:tcPr>
            <w:tcW w:w="7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03" w:right="31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w:t>
            </w:r>
          </w:p>
        </w:tc>
        <w:tc>
          <w:tcPr>
            <w:tcW w:w="800" w:type="dxa"/>
            <w:vAlign w:val="bottom"/>
            <w:tcBorders>
              <w:top w:val="single" w:sz="8" w:color="auto"/>
              <w:right w:val="single" w:sz="8" w:color="auto"/>
            </w:tcBorders>
          </w:tcPr>
          <w:p>
            <w:pPr>
              <w:spacing w:after="0"/>
              <w:rPr>
                <w:sz w:val="18"/>
                <w:szCs w:val="18"/>
                <w:color w:val="auto"/>
              </w:rPr>
            </w:pPr>
          </w:p>
        </w:tc>
        <w:tc>
          <w:tcPr>
            <w:tcW w:w="276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71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TotalEnergies Delaware, Inc.</w:t>
            </w: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80" w:type="dxa"/>
            <w:vAlign w:val="bottom"/>
            <w:tcBorders>
              <w:left w:val="single" w:sz="8" w:color="auto"/>
            </w:tcBorders>
          </w:tcPr>
          <w:p>
            <w:pPr>
              <w:ind w:left="18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800" w:type="dxa"/>
            <w:vAlign w:val="bottom"/>
            <w:tcBorders>
              <w:right w:val="single" w:sz="8" w:color="auto"/>
            </w:tcBorders>
          </w:tcPr>
          <w:p>
            <w:pPr>
              <w:spacing w:after="0"/>
              <w:rPr>
                <w:sz w:val="13"/>
                <w:szCs w:val="13"/>
                <w:color w:val="auto"/>
              </w:rPr>
            </w:pPr>
          </w:p>
        </w:tc>
        <w:tc>
          <w:tcPr>
            <w:tcW w:w="9880" w:type="dxa"/>
            <w:vAlign w:val="bottom"/>
            <w:tcBorders>
              <w:right w:val="single" w:sz="8" w:color="auto"/>
            </w:tcBorders>
            <w:gridSpan w:val="4"/>
          </w:tcPr>
          <w:p>
            <w:pPr>
              <w:ind w:left="2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6660"/>
              <w:spacing w:after="0" w:line="207" w:lineRule="exact"/>
              <w:rPr>
                <w:sz w:val="20"/>
                <w:szCs w:val="20"/>
                <w:color w:val="auto"/>
              </w:rPr>
            </w:pPr>
            <w:r>
              <w:rPr>
                <w:rFonts w:ascii="Times New Roman" w:cs="Times New Roman" w:eastAsia="Times New Roman" w:hAnsi="Times New Roman"/>
                <w:sz w:val="18"/>
                <w:szCs w:val="18"/>
                <w:color w:val="auto"/>
                <w:w w:val="98"/>
              </w:rPr>
              <w:t xml:space="preserve">(a)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270"/>
        </w:trPr>
        <w:tc>
          <w:tcPr>
            <w:tcW w:w="580" w:type="dxa"/>
            <w:vAlign w:val="bottom"/>
            <w:tcBorders>
              <w:left w:val="single" w:sz="8" w:color="auto"/>
              <w:bottom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120" w:type="dxa"/>
            <w:vAlign w:val="bottom"/>
            <w:tcBorders>
              <w:bottom w:val="single" w:sz="8" w:color="auto"/>
              <w:right w:val="single" w:sz="8" w:color="auto"/>
            </w:tcBorders>
          </w:tcPr>
          <w:p>
            <w:pPr>
              <w:ind w:left="66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3</w:t>
            </w:r>
          </w:p>
        </w:tc>
        <w:tc>
          <w:tcPr>
            <w:tcW w:w="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SEC Use Only</w:t>
            </w: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4</w:t>
            </w:r>
          </w:p>
        </w:tc>
        <w:tc>
          <w:tcPr>
            <w:tcW w:w="800" w:type="dxa"/>
            <w:vAlign w:val="bottom"/>
            <w:tcBorders>
              <w:right w:val="single" w:sz="8" w:color="auto"/>
            </w:tcBorders>
          </w:tcPr>
          <w:p>
            <w:pPr>
              <w:spacing w:after="0"/>
              <w:rPr>
                <w:sz w:val="16"/>
                <w:szCs w:val="16"/>
                <w:color w:val="auto"/>
              </w:rPr>
            </w:pPr>
          </w:p>
        </w:tc>
        <w:tc>
          <w:tcPr>
            <w:tcW w:w="27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Source of Funds (See Instructions)</w:t>
            </w:r>
          </w:p>
        </w:tc>
        <w:tc>
          <w:tcPr>
            <w:tcW w:w="7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OO</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5</w:t>
            </w:r>
          </w:p>
        </w:tc>
        <w:tc>
          <w:tcPr>
            <w:tcW w:w="800" w:type="dxa"/>
            <w:vAlign w:val="bottom"/>
            <w:tcBorders>
              <w:bottom w:val="single" w:sz="8" w:color="auto"/>
              <w:right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4"/>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800" w:type="dxa"/>
            <w:vAlign w:val="bottom"/>
            <w:tcBorders>
              <w:right w:val="single" w:sz="8" w:color="auto"/>
            </w:tcBorders>
          </w:tcPr>
          <w:p>
            <w:pPr>
              <w:spacing w:after="0"/>
              <w:rPr>
                <w:sz w:val="16"/>
                <w:szCs w:val="16"/>
                <w:color w:val="auto"/>
              </w:rPr>
            </w:pPr>
          </w:p>
        </w:tc>
        <w:tc>
          <w:tcPr>
            <w:tcW w:w="9880" w:type="dxa"/>
            <w:vAlign w:val="bottom"/>
            <w:tcBorders>
              <w:right w:val="single" w:sz="8" w:color="auto"/>
            </w:tcBorders>
            <w:gridSpan w:val="4"/>
          </w:tcPr>
          <w:p>
            <w:pPr>
              <w:ind w:left="220"/>
              <w:spacing w:after="0" w:line="191"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tcPr>
          <w:p>
            <w:pPr>
              <w:spacing w:after="0"/>
              <w:rPr>
                <w:sz w:val="16"/>
                <w:szCs w:val="16"/>
                <w:color w:val="auto"/>
              </w:rPr>
            </w:pPr>
          </w:p>
        </w:tc>
        <w:tc>
          <w:tcPr>
            <w:tcW w:w="712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580" w:type="dxa"/>
            <w:vAlign w:val="bottom"/>
            <w:tcBorders>
              <w:left w:val="single" w:sz="8" w:color="auto"/>
            </w:tcBorders>
          </w:tcPr>
          <w:p>
            <w:pPr>
              <w:spacing w:after="0"/>
              <w:rPr>
                <w:sz w:val="16"/>
                <w:szCs w:val="16"/>
                <w:color w:val="auto"/>
              </w:rPr>
            </w:pPr>
          </w:p>
        </w:tc>
        <w:tc>
          <w:tcPr>
            <w:tcW w:w="2260" w:type="dxa"/>
            <w:vAlign w:val="bottom"/>
            <w:tcBorders>
              <w:right w:val="single" w:sz="8" w:color="auto"/>
            </w:tcBorders>
            <w:gridSpan w:val="2"/>
          </w:tcPr>
          <w:p>
            <w:pPr>
              <w:jc w:val="center"/>
              <w:ind w:right="3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right w:val="single" w:sz="8" w:color="auto"/>
            </w:tcBorders>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6"/>
                <w:szCs w:val="16"/>
                <w:color w:val="auto"/>
              </w:rPr>
            </w:pPr>
          </w:p>
        </w:tc>
        <w:tc>
          <w:tcPr>
            <w:tcW w:w="7120" w:type="dxa"/>
            <w:vAlign w:val="bottom"/>
            <w:tcBorders>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8"/>
        </w:trPr>
        <w:tc>
          <w:tcPr>
            <w:tcW w:w="58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174"/>
        </w:trPr>
        <w:tc>
          <w:tcPr>
            <w:tcW w:w="580" w:type="dxa"/>
            <w:vAlign w:val="bottom"/>
            <w:tcBorders>
              <w:left w:val="single" w:sz="8" w:color="auto"/>
            </w:tcBorders>
          </w:tcPr>
          <w:p>
            <w:pPr>
              <w:spacing w:after="0"/>
              <w:rPr>
                <w:sz w:val="15"/>
                <w:szCs w:val="15"/>
                <w:color w:val="auto"/>
              </w:rPr>
            </w:pPr>
          </w:p>
        </w:tc>
        <w:tc>
          <w:tcPr>
            <w:tcW w:w="2260" w:type="dxa"/>
            <w:vAlign w:val="bottom"/>
            <w:tcBorders>
              <w:right w:val="single" w:sz="8" w:color="auto"/>
            </w:tcBorders>
            <w:gridSpan w:val="2"/>
          </w:tcPr>
          <w:p>
            <w:pPr>
              <w:jc w:val="center"/>
              <w:ind w:right="3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1120" w:type="dxa"/>
            <w:vAlign w:val="bottom"/>
            <w:tcBorders>
              <w:right w:val="single" w:sz="8" w:color="auto"/>
            </w:tcBorders>
          </w:tcPr>
          <w:p>
            <w:pPr>
              <w:ind w:left="220"/>
              <w:spacing w:after="0" w:line="174" w:lineRule="exact"/>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Pr>
          <w:p>
            <w:pPr>
              <w:spacing w:after="0"/>
              <w:rPr>
                <w:sz w:val="15"/>
                <w:szCs w:val="15"/>
                <w:color w:val="auto"/>
              </w:rPr>
            </w:pPr>
          </w:p>
        </w:tc>
        <w:tc>
          <w:tcPr>
            <w:tcW w:w="7120" w:type="dxa"/>
            <w:vAlign w:val="bottom"/>
            <w:tcBorders>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
        </w:trPr>
        <w:tc>
          <w:tcPr>
            <w:tcW w:w="580" w:type="dxa"/>
            <w:vAlign w:val="bottom"/>
            <w:tcBorders>
              <w:left w:val="single" w:sz="8" w:color="auto"/>
            </w:tcBorders>
          </w:tcPr>
          <w:p>
            <w:pPr>
              <w:spacing w:after="0"/>
              <w:rPr>
                <w:sz w:val="3"/>
                <w:szCs w:val="3"/>
                <w:color w:val="auto"/>
              </w:rPr>
            </w:pPr>
          </w:p>
        </w:tc>
        <w:tc>
          <w:tcPr>
            <w:tcW w:w="2260" w:type="dxa"/>
            <w:vAlign w:val="bottom"/>
            <w:tcBorders>
              <w:right w:val="single" w:sz="8" w:color="auto"/>
            </w:tcBorders>
            <w:gridSpan w:val="2"/>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12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580" w:type="dxa"/>
            <w:vAlign w:val="bottom"/>
            <w:tcBorders>
              <w:left w:val="single" w:sz="8" w:color="auto"/>
            </w:tcBorders>
          </w:tcPr>
          <w:p>
            <w:pPr>
              <w:spacing w:after="0"/>
              <w:rPr>
                <w:sz w:val="13"/>
                <w:szCs w:val="13"/>
                <w:color w:val="auto"/>
              </w:rPr>
            </w:pPr>
          </w:p>
        </w:tc>
        <w:tc>
          <w:tcPr>
            <w:tcW w:w="2260" w:type="dxa"/>
            <w:vAlign w:val="bottom"/>
            <w:tcBorders>
              <w:right w:val="single" w:sz="8" w:color="auto"/>
            </w:tcBorders>
            <w:gridSpan w:val="2"/>
            <w:vMerge w:val="continue"/>
          </w:tcPr>
          <w:p>
            <w:pPr>
              <w:spacing w:after="0"/>
              <w:rPr>
                <w:sz w:val="13"/>
                <w:szCs w:val="13"/>
                <w:color w:val="auto"/>
              </w:rPr>
            </w:pPr>
          </w:p>
        </w:tc>
        <w:tc>
          <w:tcPr>
            <w:tcW w:w="1120" w:type="dxa"/>
            <w:vAlign w:val="bottom"/>
            <w:tcBorders>
              <w:right w:val="single" w:sz="8" w:color="auto"/>
            </w:tcBorders>
          </w:tcPr>
          <w:p>
            <w:pPr>
              <w:ind w:left="220"/>
              <w:spacing w:after="0" w:line="160" w:lineRule="exact"/>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13"/>
                <w:szCs w:val="13"/>
                <w:color w:val="auto"/>
              </w:rPr>
            </w:pPr>
          </w:p>
        </w:tc>
        <w:tc>
          <w:tcPr>
            <w:tcW w:w="712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7"/>
        </w:trPr>
        <w:tc>
          <w:tcPr>
            <w:tcW w:w="580" w:type="dxa"/>
            <w:vAlign w:val="bottom"/>
            <w:tcBorders>
              <w:left w:val="single" w:sz="8" w:color="auto"/>
            </w:tcBorders>
          </w:tcPr>
          <w:p>
            <w:pPr>
              <w:spacing w:after="0"/>
              <w:rPr>
                <w:sz w:val="21"/>
                <w:szCs w:val="21"/>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11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11</w:t>
            </w:r>
          </w:p>
        </w:tc>
        <w:tc>
          <w:tcPr>
            <w:tcW w:w="800" w:type="dxa"/>
            <w:vAlign w:val="bottom"/>
            <w:tcBorders>
              <w:right w:val="single" w:sz="8" w:color="auto"/>
            </w:tcBorders>
          </w:tcPr>
          <w:p>
            <w:pPr>
              <w:spacing w:after="0"/>
              <w:rPr>
                <w:sz w:val="16"/>
                <w:szCs w:val="16"/>
                <w:color w:val="auto"/>
              </w:rPr>
            </w:pPr>
          </w:p>
        </w:tc>
        <w:tc>
          <w:tcPr>
            <w:tcW w:w="258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Aggregate Amount Beneficially</w:t>
            </w:r>
          </w:p>
        </w:tc>
        <w:tc>
          <w:tcPr>
            <w:tcW w:w="730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Owned by Each Reporting Person</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88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880" w:type="dxa"/>
            <w:vAlign w:val="bottom"/>
            <w:tcBorders>
              <w:bottom w:val="single" w:sz="8" w:color="auto"/>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12</w:t>
            </w:r>
          </w:p>
        </w:tc>
        <w:tc>
          <w:tcPr>
            <w:tcW w:w="800" w:type="dxa"/>
            <w:vAlign w:val="bottom"/>
            <w:tcBorders>
              <w:bottom w:val="single" w:sz="8" w:color="auto"/>
              <w:right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4"/>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13</w:t>
            </w:r>
          </w:p>
        </w:tc>
        <w:tc>
          <w:tcPr>
            <w:tcW w:w="800" w:type="dxa"/>
            <w:vAlign w:val="bottom"/>
            <w:tcBorders>
              <w:right w:val="single" w:sz="8" w:color="auto"/>
            </w:tcBorders>
          </w:tcPr>
          <w:p>
            <w:pPr>
              <w:spacing w:after="0"/>
              <w:rPr>
                <w:sz w:val="16"/>
                <w:szCs w:val="16"/>
                <w:color w:val="auto"/>
              </w:rPr>
            </w:pPr>
          </w:p>
        </w:tc>
        <w:tc>
          <w:tcPr>
            <w:tcW w:w="9880" w:type="dxa"/>
            <w:vAlign w:val="bottom"/>
            <w:tcBorders>
              <w:right w:val="single" w:sz="8" w:color="auto"/>
            </w:tcBorders>
            <w:gridSpan w:val="4"/>
          </w:tcPr>
          <w:p>
            <w:pPr>
              <w:ind w:left="220"/>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55.3% of Class A common stock</w:t>
            </w:r>
          </w:p>
        </w:tc>
        <w:tc>
          <w:tcPr>
            <w:tcW w:w="7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33.7% of Class C common stock</w:t>
            </w: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14</w:t>
            </w:r>
          </w:p>
        </w:tc>
        <w:tc>
          <w:tcPr>
            <w:tcW w:w="800" w:type="dxa"/>
            <w:vAlign w:val="bottom"/>
            <w:tcBorders>
              <w:right w:val="single" w:sz="8" w:color="auto"/>
            </w:tcBorders>
          </w:tcPr>
          <w:p>
            <w:pPr>
              <w:spacing w:after="0"/>
              <w:rPr>
                <w:sz w:val="16"/>
                <w:szCs w:val="16"/>
                <w:color w:val="auto"/>
              </w:rPr>
            </w:pPr>
          </w:p>
        </w:tc>
        <w:tc>
          <w:tcPr>
            <w:tcW w:w="27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Type of Reporting Person</w:t>
            </w:r>
          </w:p>
        </w:tc>
        <w:tc>
          <w:tcPr>
            <w:tcW w:w="7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03" w:right="31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w:t>
            </w:r>
          </w:p>
        </w:tc>
        <w:tc>
          <w:tcPr>
            <w:tcW w:w="800" w:type="dxa"/>
            <w:vAlign w:val="bottom"/>
            <w:tcBorders>
              <w:top w:val="single" w:sz="8" w:color="auto"/>
              <w:right w:val="single" w:sz="8" w:color="auto"/>
            </w:tcBorders>
          </w:tcPr>
          <w:p>
            <w:pPr>
              <w:spacing w:after="0"/>
              <w:rPr>
                <w:sz w:val="18"/>
                <w:szCs w:val="18"/>
                <w:color w:val="auto"/>
              </w:rPr>
            </w:pPr>
          </w:p>
        </w:tc>
        <w:tc>
          <w:tcPr>
            <w:tcW w:w="276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71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880" w:type="dxa"/>
            <w:vAlign w:val="bottom"/>
            <w:tcBorders>
              <w:bottom w:val="single" w:sz="8" w:color="auto"/>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TotalEnergies Renewables USA, LLC</w:t>
            </w:r>
          </w:p>
        </w:tc>
        <w:tc>
          <w:tcPr>
            <w:tcW w:w="0" w:type="dxa"/>
            <w:vAlign w:val="bottom"/>
          </w:tcPr>
          <w:p>
            <w:pPr>
              <w:spacing w:after="0"/>
              <w:rPr>
                <w:sz w:val="1"/>
                <w:szCs w:val="1"/>
                <w:color w:val="auto"/>
              </w:rPr>
            </w:pPr>
          </w:p>
        </w:tc>
      </w:tr>
      <w:tr>
        <w:trPr>
          <w:trHeight w:val="155"/>
        </w:trPr>
        <w:tc>
          <w:tcPr>
            <w:tcW w:w="580" w:type="dxa"/>
            <w:vAlign w:val="bottom"/>
            <w:tcBorders>
              <w:left w:val="single" w:sz="8" w:color="auto"/>
            </w:tcBorders>
          </w:tcPr>
          <w:p>
            <w:pPr>
              <w:ind w:left="18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800" w:type="dxa"/>
            <w:vAlign w:val="bottom"/>
            <w:tcBorders>
              <w:right w:val="single" w:sz="8" w:color="auto"/>
            </w:tcBorders>
          </w:tcPr>
          <w:p>
            <w:pPr>
              <w:spacing w:after="0"/>
              <w:rPr>
                <w:sz w:val="13"/>
                <w:szCs w:val="13"/>
                <w:color w:val="auto"/>
              </w:rPr>
            </w:pPr>
          </w:p>
        </w:tc>
        <w:tc>
          <w:tcPr>
            <w:tcW w:w="9880" w:type="dxa"/>
            <w:vAlign w:val="bottom"/>
            <w:tcBorders>
              <w:right w:val="single" w:sz="8" w:color="auto"/>
            </w:tcBorders>
            <w:gridSpan w:val="4"/>
          </w:tcPr>
          <w:p>
            <w:pPr>
              <w:ind w:left="2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6660"/>
              <w:spacing w:after="0" w:line="207" w:lineRule="exact"/>
              <w:rPr>
                <w:sz w:val="20"/>
                <w:szCs w:val="20"/>
                <w:color w:val="auto"/>
              </w:rPr>
            </w:pPr>
            <w:r>
              <w:rPr>
                <w:rFonts w:ascii="Times New Roman" w:cs="Times New Roman" w:eastAsia="Times New Roman" w:hAnsi="Times New Roman"/>
                <w:sz w:val="18"/>
                <w:szCs w:val="18"/>
                <w:color w:val="auto"/>
                <w:w w:val="98"/>
              </w:rPr>
              <w:t xml:space="preserve">(a)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270"/>
        </w:trPr>
        <w:tc>
          <w:tcPr>
            <w:tcW w:w="580" w:type="dxa"/>
            <w:vAlign w:val="bottom"/>
            <w:tcBorders>
              <w:left w:val="single" w:sz="8" w:color="auto"/>
              <w:bottom w:val="single" w:sz="8" w:color="auto"/>
            </w:tcBorders>
          </w:tcPr>
          <w:p>
            <w:pPr>
              <w:spacing w:after="0"/>
              <w:rPr>
                <w:sz w:val="23"/>
                <w:szCs w:val="23"/>
                <w:color w:val="auto"/>
              </w:rPr>
            </w:pPr>
          </w:p>
        </w:tc>
        <w:tc>
          <w:tcPr>
            <w:tcW w:w="80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120" w:type="dxa"/>
            <w:vAlign w:val="bottom"/>
            <w:tcBorders>
              <w:bottom w:val="single" w:sz="8" w:color="auto"/>
              <w:right w:val="single" w:sz="8" w:color="auto"/>
            </w:tcBorders>
          </w:tcPr>
          <w:p>
            <w:pPr>
              <w:ind w:left="66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3</w:t>
            </w:r>
          </w:p>
        </w:tc>
        <w:tc>
          <w:tcPr>
            <w:tcW w:w="8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SEC Use Only</w:t>
            </w: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4</w:t>
            </w:r>
          </w:p>
        </w:tc>
        <w:tc>
          <w:tcPr>
            <w:tcW w:w="800" w:type="dxa"/>
            <w:vAlign w:val="bottom"/>
            <w:tcBorders>
              <w:right w:val="single" w:sz="8" w:color="auto"/>
            </w:tcBorders>
          </w:tcPr>
          <w:p>
            <w:pPr>
              <w:spacing w:after="0"/>
              <w:rPr>
                <w:sz w:val="16"/>
                <w:szCs w:val="16"/>
                <w:color w:val="auto"/>
              </w:rPr>
            </w:pPr>
          </w:p>
        </w:tc>
        <w:tc>
          <w:tcPr>
            <w:tcW w:w="27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Source of Funds (See Instructions)</w:t>
            </w:r>
          </w:p>
        </w:tc>
        <w:tc>
          <w:tcPr>
            <w:tcW w:w="7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OO</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5</w:t>
            </w:r>
          </w:p>
        </w:tc>
        <w:tc>
          <w:tcPr>
            <w:tcW w:w="800" w:type="dxa"/>
            <w:vAlign w:val="bottom"/>
            <w:tcBorders>
              <w:bottom w:val="single" w:sz="8" w:color="auto"/>
              <w:right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4"/>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800" w:type="dxa"/>
            <w:vAlign w:val="bottom"/>
            <w:tcBorders>
              <w:right w:val="single" w:sz="8" w:color="auto"/>
            </w:tcBorders>
          </w:tcPr>
          <w:p>
            <w:pPr>
              <w:spacing w:after="0"/>
              <w:rPr>
                <w:sz w:val="16"/>
                <w:szCs w:val="16"/>
                <w:color w:val="auto"/>
              </w:rPr>
            </w:pPr>
          </w:p>
        </w:tc>
        <w:tc>
          <w:tcPr>
            <w:tcW w:w="9880" w:type="dxa"/>
            <w:vAlign w:val="bottom"/>
            <w:tcBorders>
              <w:right w:val="single" w:sz="8" w:color="auto"/>
            </w:tcBorders>
            <w:gridSpan w:val="4"/>
          </w:tcPr>
          <w:p>
            <w:pPr>
              <w:ind w:left="220"/>
              <w:spacing w:after="0" w:line="191"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Delaware</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tcPr>
          <w:p>
            <w:pPr>
              <w:spacing w:after="0"/>
              <w:rPr>
                <w:sz w:val="16"/>
                <w:szCs w:val="16"/>
                <w:color w:val="auto"/>
              </w:rPr>
            </w:pPr>
          </w:p>
        </w:tc>
        <w:tc>
          <w:tcPr>
            <w:tcW w:w="712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580" w:type="dxa"/>
            <w:vAlign w:val="bottom"/>
            <w:tcBorders>
              <w:left w:val="single" w:sz="8" w:color="auto"/>
            </w:tcBorders>
          </w:tcPr>
          <w:p>
            <w:pPr>
              <w:spacing w:after="0"/>
              <w:rPr>
                <w:sz w:val="16"/>
                <w:szCs w:val="16"/>
                <w:color w:val="auto"/>
              </w:rPr>
            </w:pPr>
          </w:p>
        </w:tc>
        <w:tc>
          <w:tcPr>
            <w:tcW w:w="2260" w:type="dxa"/>
            <w:vAlign w:val="bottom"/>
            <w:tcBorders>
              <w:right w:val="single" w:sz="8" w:color="auto"/>
            </w:tcBorders>
            <w:gridSpan w:val="2"/>
          </w:tcPr>
          <w:p>
            <w:pPr>
              <w:jc w:val="center"/>
              <w:ind w:right="3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right w:val="single" w:sz="8" w:color="auto"/>
            </w:tcBorders>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Pr>
          <w:p>
            <w:pPr>
              <w:spacing w:after="0"/>
              <w:rPr>
                <w:sz w:val="16"/>
                <w:szCs w:val="16"/>
                <w:color w:val="auto"/>
              </w:rPr>
            </w:pPr>
          </w:p>
        </w:tc>
        <w:tc>
          <w:tcPr>
            <w:tcW w:w="7120" w:type="dxa"/>
            <w:vAlign w:val="bottom"/>
            <w:tcBorders>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8"/>
        </w:trPr>
        <w:tc>
          <w:tcPr>
            <w:tcW w:w="580" w:type="dxa"/>
            <w:vAlign w:val="bottom"/>
            <w:tcBorders>
              <w:left w:val="single" w:sz="8" w:color="auto"/>
            </w:tcBorders>
          </w:tcPr>
          <w:p>
            <w:pPr>
              <w:spacing w:after="0"/>
              <w:rPr>
                <w:sz w:val="20"/>
                <w:szCs w:val="20"/>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174"/>
        </w:trPr>
        <w:tc>
          <w:tcPr>
            <w:tcW w:w="580" w:type="dxa"/>
            <w:vAlign w:val="bottom"/>
            <w:tcBorders>
              <w:left w:val="single" w:sz="8" w:color="auto"/>
            </w:tcBorders>
          </w:tcPr>
          <w:p>
            <w:pPr>
              <w:spacing w:after="0"/>
              <w:rPr>
                <w:sz w:val="15"/>
                <w:szCs w:val="15"/>
                <w:color w:val="auto"/>
              </w:rPr>
            </w:pPr>
          </w:p>
        </w:tc>
        <w:tc>
          <w:tcPr>
            <w:tcW w:w="2260" w:type="dxa"/>
            <w:vAlign w:val="bottom"/>
            <w:tcBorders>
              <w:right w:val="single" w:sz="8" w:color="auto"/>
            </w:tcBorders>
            <w:gridSpan w:val="2"/>
          </w:tcPr>
          <w:p>
            <w:pPr>
              <w:jc w:val="center"/>
              <w:ind w:right="3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1120" w:type="dxa"/>
            <w:vAlign w:val="bottom"/>
            <w:tcBorders>
              <w:right w:val="single" w:sz="8" w:color="auto"/>
            </w:tcBorders>
          </w:tcPr>
          <w:p>
            <w:pPr>
              <w:ind w:left="220"/>
              <w:spacing w:after="0" w:line="174" w:lineRule="exact"/>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Pr>
          <w:p>
            <w:pPr>
              <w:spacing w:after="0"/>
              <w:rPr>
                <w:sz w:val="15"/>
                <w:szCs w:val="15"/>
                <w:color w:val="auto"/>
              </w:rPr>
            </w:pPr>
          </w:p>
        </w:tc>
        <w:tc>
          <w:tcPr>
            <w:tcW w:w="7120" w:type="dxa"/>
            <w:vAlign w:val="bottom"/>
            <w:tcBorders>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
        </w:trPr>
        <w:tc>
          <w:tcPr>
            <w:tcW w:w="580" w:type="dxa"/>
            <w:vAlign w:val="bottom"/>
            <w:tcBorders>
              <w:left w:val="single" w:sz="8" w:color="auto"/>
            </w:tcBorders>
          </w:tcPr>
          <w:p>
            <w:pPr>
              <w:spacing w:after="0"/>
              <w:rPr>
                <w:sz w:val="3"/>
                <w:szCs w:val="3"/>
                <w:color w:val="auto"/>
              </w:rPr>
            </w:pPr>
          </w:p>
        </w:tc>
        <w:tc>
          <w:tcPr>
            <w:tcW w:w="2260" w:type="dxa"/>
            <w:vAlign w:val="bottom"/>
            <w:tcBorders>
              <w:right w:val="single" w:sz="8" w:color="auto"/>
            </w:tcBorders>
            <w:gridSpan w:val="2"/>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112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580" w:type="dxa"/>
            <w:vAlign w:val="bottom"/>
            <w:tcBorders>
              <w:left w:val="single" w:sz="8" w:color="auto"/>
            </w:tcBorders>
          </w:tcPr>
          <w:p>
            <w:pPr>
              <w:spacing w:after="0"/>
              <w:rPr>
                <w:sz w:val="13"/>
                <w:szCs w:val="13"/>
                <w:color w:val="auto"/>
              </w:rPr>
            </w:pPr>
          </w:p>
        </w:tc>
        <w:tc>
          <w:tcPr>
            <w:tcW w:w="2260" w:type="dxa"/>
            <w:vAlign w:val="bottom"/>
            <w:tcBorders>
              <w:right w:val="single" w:sz="8" w:color="auto"/>
            </w:tcBorders>
            <w:gridSpan w:val="2"/>
            <w:vMerge w:val="continue"/>
          </w:tcPr>
          <w:p>
            <w:pPr>
              <w:spacing w:after="0"/>
              <w:rPr>
                <w:sz w:val="13"/>
                <w:szCs w:val="13"/>
                <w:color w:val="auto"/>
              </w:rPr>
            </w:pPr>
          </w:p>
        </w:tc>
        <w:tc>
          <w:tcPr>
            <w:tcW w:w="1120" w:type="dxa"/>
            <w:vAlign w:val="bottom"/>
            <w:tcBorders>
              <w:right w:val="single" w:sz="8" w:color="auto"/>
            </w:tcBorders>
          </w:tcPr>
          <w:p>
            <w:pPr>
              <w:ind w:left="220"/>
              <w:spacing w:after="0" w:line="160" w:lineRule="exact"/>
              <w:rPr>
                <w:sz w:val="20"/>
                <w:szCs w:val="20"/>
                <w:color w:val="auto"/>
              </w:rPr>
            </w:pPr>
            <w:r>
              <w:rPr>
                <w:rFonts w:ascii="Times New Roman" w:cs="Times New Roman" w:eastAsia="Times New Roman" w:hAnsi="Times New Roman"/>
                <w:sz w:val="18"/>
                <w:szCs w:val="18"/>
                <w:b w:val="1"/>
                <w:bCs w:val="1"/>
                <w:color w:val="auto"/>
              </w:rPr>
              <w:t>10</w:t>
            </w:r>
          </w:p>
        </w:tc>
        <w:tc>
          <w:tcPr>
            <w:tcW w:w="180" w:type="dxa"/>
            <w:vAlign w:val="bottom"/>
          </w:tcPr>
          <w:p>
            <w:pPr>
              <w:spacing w:after="0"/>
              <w:rPr>
                <w:sz w:val="13"/>
                <w:szCs w:val="13"/>
                <w:color w:val="auto"/>
              </w:rPr>
            </w:pPr>
          </w:p>
        </w:tc>
        <w:tc>
          <w:tcPr>
            <w:tcW w:w="7120" w:type="dxa"/>
            <w:vAlign w:val="bottom"/>
            <w:tcBorders>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7"/>
        </w:trPr>
        <w:tc>
          <w:tcPr>
            <w:tcW w:w="580" w:type="dxa"/>
            <w:vAlign w:val="bottom"/>
            <w:tcBorders>
              <w:left w:val="single" w:sz="8" w:color="auto"/>
            </w:tcBorders>
          </w:tcPr>
          <w:p>
            <w:pPr>
              <w:spacing w:after="0"/>
              <w:rPr>
                <w:sz w:val="21"/>
                <w:szCs w:val="21"/>
                <w:color w:val="auto"/>
              </w:rPr>
            </w:pPr>
          </w:p>
        </w:tc>
        <w:tc>
          <w:tcPr>
            <w:tcW w:w="226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WITH</w:t>
            </w:r>
          </w:p>
        </w:tc>
        <w:tc>
          <w:tcPr>
            <w:tcW w:w="11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11</w:t>
            </w:r>
          </w:p>
        </w:tc>
        <w:tc>
          <w:tcPr>
            <w:tcW w:w="800" w:type="dxa"/>
            <w:vAlign w:val="bottom"/>
            <w:tcBorders>
              <w:right w:val="single" w:sz="8" w:color="auto"/>
            </w:tcBorders>
          </w:tcPr>
          <w:p>
            <w:pPr>
              <w:spacing w:after="0"/>
              <w:rPr>
                <w:sz w:val="16"/>
                <w:szCs w:val="16"/>
                <w:color w:val="auto"/>
              </w:rPr>
            </w:pPr>
          </w:p>
        </w:tc>
        <w:tc>
          <w:tcPr>
            <w:tcW w:w="258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Aggregate Amount Beneficially</w:t>
            </w:r>
          </w:p>
        </w:tc>
        <w:tc>
          <w:tcPr>
            <w:tcW w:w="730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Owned by Each Reporting Person</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880" w:type="dxa"/>
            <w:vAlign w:val="bottom"/>
            <w:tcBorders>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880" w:type="dxa"/>
            <w:vAlign w:val="bottom"/>
            <w:tcBorders>
              <w:bottom w:val="single" w:sz="8" w:color="auto"/>
              <w:right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42,021,902 shares of Class C common stock</w:t>
            </w:r>
          </w:p>
        </w:tc>
        <w:tc>
          <w:tcPr>
            <w:tcW w:w="0" w:type="dxa"/>
            <w:vAlign w:val="bottom"/>
          </w:tcPr>
          <w:p>
            <w:pPr>
              <w:spacing w:after="0"/>
              <w:rPr>
                <w:sz w:val="1"/>
                <w:szCs w:val="1"/>
                <w:color w:val="auto"/>
              </w:rPr>
            </w:pPr>
          </w:p>
        </w:tc>
      </w:tr>
      <w:tr>
        <w:trPr>
          <w:trHeight w:val="210"/>
        </w:trPr>
        <w:tc>
          <w:tcPr>
            <w:tcW w:w="58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12</w:t>
            </w:r>
          </w:p>
        </w:tc>
        <w:tc>
          <w:tcPr>
            <w:tcW w:w="800" w:type="dxa"/>
            <w:vAlign w:val="bottom"/>
            <w:tcBorders>
              <w:bottom w:val="single" w:sz="8" w:color="auto"/>
              <w:right w:val="single" w:sz="8" w:color="auto"/>
            </w:tcBorders>
          </w:tcPr>
          <w:p>
            <w:pPr>
              <w:spacing w:after="0"/>
              <w:rPr>
                <w:sz w:val="18"/>
                <w:szCs w:val="18"/>
                <w:color w:val="auto"/>
              </w:rPr>
            </w:pPr>
          </w:p>
        </w:tc>
        <w:tc>
          <w:tcPr>
            <w:tcW w:w="9880" w:type="dxa"/>
            <w:vAlign w:val="bottom"/>
            <w:tcBorders>
              <w:bottom w:val="single" w:sz="8" w:color="auto"/>
              <w:right w:val="single" w:sz="8" w:color="auto"/>
            </w:tcBorders>
            <w:gridSpan w:val="4"/>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13</w:t>
            </w:r>
          </w:p>
        </w:tc>
        <w:tc>
          <w:tcPr>
            <w:tcW w:w="800" w:type="dxa"/>
            <w:vAlign w:val="bottom"/>
            <w:tcBorders>
              <w:right w:val="single" w:sz="8" w:color="auto"/>
            </w:tcBorders>
          </w:tcPr>
          <w:p>
            <w:pPr>
              <w:spacing w:after="0"/>
              <w:rPr>
                <w:sz w:val="16"/>
                <w:szCs w:val="16"/>
                <w:color w:val="auto"/>
              </w:rPr>
            </w:pPr>
          </w:p>
        </w:tc>
        <w:tc>
          <w:tcPr>
            <w:tcW w:w="9880" w:type="dxa"/>
            <w:vAlign w:val="bottom"/>
            <w:tcBorders>
              <w:right w:val="single" w:sz="8" w:color="auto"/>
            </w:tcBorders>
            <w:gridSpan w:val="4"/>
          </w:tcPr>
          <w:p>
            <w:pPr>
              <w:ind w:left="220"/>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55.3% of Class A common stock</w:t>
            </w:r>
          </w:p>
        </w:tc>
        <w:tc>
          <w:tcPr>
            <w:tcW w:w="7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33.7% of Class C common stock</w:t>
            </w: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14</w:t>
            </w:r>
          </w:p>
        </w:tc>
        <w:tc>
          <w:tcPr>
            <w:tcW w:w="800" w:type="dxa"/>
            <w:vAlign w:val="bottom"/>
            <w:tcBorders>
              <w:right w:val="single" w:sz="8" w:color="auto"/>
            </w:tcBorders>
          </w:tcPr>
          <w:p>
            <w:pPr>
              <w:spacing w:after="0"/>
              <w:rPr>
                <w:sz w:val="16"/>
                <w:szCs w:val="16"/>
                <w:color w:val="auto"/>
              </w:rPr>
            </w:pPr>
          </w:p>
        </w:tc>
        <w:tc>
          <w:tcPr>
            <w:tcW w:w="27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Type of Reporting Person</w:t>
            </w:r>
          </w:p>
        </w:tc>
        <w:tc>
          <w:tcPr>
            <w:tcW w:w="7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02" w:right="3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Amendment No. 1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amends and supplements the statement on Schedule 13D originally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September 15, 2022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related to the Class A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Class C common stock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of Clearway Energy,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offices are located at 300 Carnegie Center, Princeton, NJ 08540.</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This Amendment is being filed to disclose transactions related to grants of Class C Common Stock made in connection with the administration of the Clearway Energy Group Long Term Equity Incentive Program which, in the aggregate since the filing of the Schedule 13D, amount to more than 1% of the Class C Common Stock outstanding. The Items below amend the information disclosed under the corresponding Items of the Schedule 13D as described below. Except as specifically provided herein, this Amendment does not modify any of the information previously reported in the Schedule 13D. Capitalized terms used but not defined herein shall have the meanings attributed to them in the Schedule 13D.</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Item 2 of the Schedule 13D is hereby amended and supplemented to include updated information with respect to the directors and executive officers of each of the Reporting Persons on Schedule A attached hereto, which is incorporated herein by reference.</w:t>
      </w:r>
    </w:p>
    <w:p>
      <w:pPr>
        <w:spacing w:after="0" w:line="15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supplemented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or incorporated by reference in Item 4 of this Schedule 13D is incorporated by reference in its entirety into this Item 3.</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follows: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Since the filing of the Schedule 13D, Clearway Energy Group has granted 880,923 shares of Class C Common Stock to its employees in connection with the administration of the Clearway Energy Group Long Term Equity Incentive Program. In connection with such grants, since the filing of Amendment No. 2, Clearway Energy Group has purchased an aggregate of 268,944 shares of Class C Common Stock using working capital and on June 26, 2024, Clearway Energy Group converted 375,000 Class D units of Clearway Energy LLC (“</w:t>
      </w:r>
      <w:r>
        <w:rPr>
          <w:rFonts w:ascii="Times New Roman" w:cs="Times New Roman" w:eastAsia="Times New Roman" w:hAnsi="Times New Roman"/>
          <w:sz w:val="18"/>
          <w:szCs w:val="18"/>
          <w:u w:val="single" w:color="auto"/>
          <w:color w:val="auto"/>
        </w:rPr>
        <w:t>Class D Units</w:t>
      </w:r>
      <w:r>
        <w:rPr>
          <w:rFonts w:ascii="Times New Roman" w:cs="Times New Roman" w:eastAsia="Times New Roman" w:hAnsi="Times New Roman"/>
          <w:sz w:val="18"/>
          <w:szCs w:val="18"/>
          <w:color w:val="auto"/>
        </w:rPr>
        <w:t>”) into 375,000 shares of Class C Common Stock.</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previously disclosed by the Issuer, Craig Cornelius, Chief Executive Officer of Clearway Energy Group, has been elected to serve as a member of the Board of Directors and Chief Executive Officer of the Issuer, effective July 1, 2024. Clearway Energy Group granted Mr. Cornelius 375,000 shares of Class C Common Stock pursuant to the Clearway Energy Group Long Term Equity Incentive Program on June 28, 2024.</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5(a)-(c) of the Schedule 13D is hereby amended and restated as follows: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(a)-(b) The aggregate number and percentage of shares of Class A Common Stock and Class C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the Schedule 13D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18"/>
          <w:szCs w:val="18"/>
          <w:color w:val="auto"/>
        </w:rPr>
        <w:t>Calculations of the percentage of shares of stock beneficially owned are based on 34,613,853 shares of Class A Common Stock and 82,454,344 shares of Class C Common Stock, respectively, outstanding as of April 30, 2024, as reported in the Issuer’s Quarterly Report on Form 10-Q filed with the Securities and Exchange Commission on May 9, 2024, plus the 375,000 shares of Class C Common Stock outstanding following the conversion of 375,000 Class D Units disclosed herein and take into account the number of Class B units of Clearway Energy LLC (“</w:t>
      </w:r>
      <w:r>
        <w:rPr>
          <w:rFonts w:ascii="Times New Roman" w:cs="Times New Roman" w:eastAsia="Times New Roman" w:hAnsi="Times New Roman"/>
          <w:sz w:val="18"/>
          <w:szCs w:val="18"/>
          <w:u w:val="single" w:color="auto"/>
          <w:color w:val="auto"/>
        </w:rPr>
        <w:t>Class B Units</w:t>
      </w:r>
      <w:r>
        <w:rPr>
          <w:rFonts w:ascii="Times New Roman" w:cs="Times New Roman" w:eastAsia="Times New Roman" w:hAnsi="Times New Roman"/>
          <w:sz w:val="18"/>
          <w:szCs w:val="18"/>
          <w:color w:val="auto"/>
        </w:rPr>
        <w:t>”) and Class D Units beneficially owned by the Reporting Persons and convertible into shares of Class A Common Stock and Class C Common Stock, respectively, as applicable.</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Clearway Energy Group is the record holder of 21,841 shares of Class A Common Stock, 42,738,750 Class B Units, 60,152 shares of Class C Common Stock and 41,961,750 Class D Units. Pursuant to the terms of the Exchange Agreement, each Class B Unit is exchangeable at any time for shares of Class A Common Stock, and each Class D Unit is exchangeable at any time for shares of Class C Common Stock, in each case, on a one-for-one basis, subject to equitable adjustments for stock splits, stock dividends and reclassifications.</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securities reported herein are held directly by Clearway Energy Group. GIP III Zephyr Acquisition Partners, L.P. (“</w:t>
      </w:r>
      <w:r>
        <w:rPr>
          <w:rFonts w:ascii="Times New Roman" w:cs="Times New Roman" w:eastAsia="Times New Roman" w:hAnsi="Times New Roman"/>
          <w:sz w:val="18"/>
          <w:szCs w:val="18"/>
          <w:u w:val="single" w:color="auto"/>
          <w:color w:val="auto"/>
        </w:rPr>
        <w:t>Zephyr</w:t>
      </w:r>
      <w:r>
        <w:rPr>
          <w:rFonts w:ascii="Times New Roman" w:cs="Times New Roman" w:eastAsia="Times New Roman" w:hAnsi="Times New Roman"/>
          <w:sz w:val="18"/>
          <w:szCs w:val="18"/>
          <w:color w:val="auto"/>
        </w:rPr>
        <w:t>”) is the sole member of Clearway Energy Group. Zephyr Holdings GP, LLC (“</w:t>
      </w:r>
      <w:r>
        <w:rPr>
          <w:rFonts w:ascii="Times New Roman" w:cs="Times New Roman" w:eastAsia="Times New Roman" w:hAnsi="Times New Roman"/>
          <w:sz w:val="18"/>
          <w:szCs w:val="18"/>
          <w:u w:val="single" w:color="auto"/>
          <w:color w:val="auto"/>
        </w:rPr>
        <w:t>Zephyr GP</w:t>
      </w:r>
      <w:r>
        <w:rPr>
          <w:rFonts w:ascii="Times New Roman" w:cs="Times New Roman" w:eastAsia="Times New Roman" w:hAnsi="Times New Roman"/>
          <w:sz w:val="18"/>
          <w:szCs w:val="18"/>
          <w:color w:val="auto"/>
        </w:rPr>
        <w:t>”) is the general partner of Zephyr.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may be deemed to beneficially own the securities reported herein; however, each Reporting Person disclaims beneficial ownership of the securities reported herein, except to the extent of such Reporting Person's pecuniary interest therein.</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By virtue of the relationships and agreements described herein, the Reporting Persons may be deemed to be acting as a group with Global Infrastructure Investors III, LLC and certain of its affiliates (collectively, “</w:t>
      </w:r>
      <w:r>
        <w:rPr>
          <w:rFonts w:ascii="Times New Roman" w:cs="Times New Roman" w:eastAsia="Times New Roman" w:hAnsi="Times New Roman"/>
          <w:sz w:val="18"/>
          <w:szCs w:val="18"/>
          <w:u w:val="single" w:color="auto"/>
          <w:color w:val="auto"/>
        </w:rPr>
        <w:t>GIP</w:t>
      </w:r>
      <w:r>
        <w:rPr>
          <w:rFonts w:ascii="Times New Roman" w:cs="Times New Roman" w:eastAsia="Times New Roman" w:hAnsi="Times New Roman"/>
          <w:sz w:val="18"/>
          <w:szCs w:val="18"/>
          <w:color w:val="auto"/>
        </w:rPr>
        <w:t>”) for purposes of Rule 13d-3 under the Exchange Act. However, neither the filing of this Schedule 13D nor any of its contents shall be deemed to constitute an admission that such persons are members of any such group. GIP is separately making a Schedule 13D amendment filing reporting the Class A Common Stock and Class C Common Stock GIP may be deemed to beneficially own. Each Reporting Person disclaims beneficial ownership of any Class A Common Stock and Class C Common Stock that may be deemed to be beneficially owned by GIP, except as otherwise described herein.</w:t>
      </w:r>
    </w:p>
    <w:p>
      <w:pPr>
        <w:spacing w:after="0" w:line="187" w:lineRule="exact"/>
        <w:rPr>
          <w:sz w:val="20"/>
          <w:szCs w:val="20"/>
          <w:color w:val="auto"/>
        </w:rPr>
      </w:pPr>
    </w:p>
    <w:p>
      <w:pPr>
        <w:ind w:right="20" w:firstLine="8"/>
        <w:spacing w:after="0" w:line="282"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including the transactions listed on Annex A attached hereto, none of the Reporting Persons has effected any transactions in the Class A Common Stock or Class C Common Stock during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June 28,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SE</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Marine Delaitre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Marine Delaitre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GESTION USA SARL</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Bozec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HOLDINGS USA,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Frazier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DELAWARE,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Frazier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RENEWABLES USA,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Frazier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2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Annex A</w:t>
            </w: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60" w:type="dxa"/>
            <w:vAlign w:val="bottom"/>
            <w:gridSpan w:val="7"/>
          </w:tcPr>
          <w:p>
            <w:pPr>
              <w:jc w:val="center"/>
              <w:ind w:left="650"/>
              <w:spacing w:after="0"/>
              <w:rPr>
                <w:sz w:val="20"/>
                <w:szCs w:val="20"/>
                <w:color w:val="auto"/>
              </w:rPr>
            </w:pPr>
            <w:r>
              <w:rPr>
                <w:rFonts w:ascii="Times New Roman" w:cs="Times New Roman" w:eastAsia="Times New Roman" w:hAnsi="Times New Roman"/>
                <w:sz w:val="18"/>
                <w:szCs w:val="18"/>
                <w:color w:val="auto"/>
                <w:w w:val="99"/>
              </w:rPr>
              <w:t>Transactions in Class A Common Stock and Class C Common Stock in the previous 60 days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5"/>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Date</w:t>
            </w:r>
          </w:p>
        </w:tc>
        <w:tc>
          <w:tcPr>
            <w:tcW w:w="33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Security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Number of Shares</w:t>
            </w:r>
          </w:p>
        </w:tc>
        <w:tc>
          <w:tcPr>
            <w:tcW w:w="16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Transaction</w:t>
            </w:r>
          </w:p>
        </w:tc>
        <w:tc>
          <w:tcPr>
            <w:tcW w:w="400" w:type="dxa"/>
            <w:vAlign w:val="bottom"/>
          </w:tcPr>
          <w:p>
            <w:pPr>
              <w:spacing w:after="0"/>
              <w:rPr>
                <w:sz w:val="24"/>
                <w:szCs w:val="24"/>
                <w:color w:val="auto"/>
              </w:rPr>
            </w:pPr>
          </w:p>
        </w:tc>
        <w:tc>
          <w:tcPr>
            <w:tcW w:w="17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Price</w:t>
            </w:r>
          </w:p>
        </w:tc>
      </w:tr>
      <w:tr>
        <w:trPr>
          <w:trHeight w:val="210"/>
        </w:trPr>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05/03/2024</w:t>
            </w:r>
          </w:p>
        </w:tc>
        <w:tc>
          <w:tcPr>
            <w:tcW w:w="14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Class C Common Stock</w:t>
            </w: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5"/>
              </w:rPr>
              <w:t>(2)</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05/15/2024</w:t>
            </w:r>
          </w:p>
        </w:tc>
        <w:tc>
          <w:tcPr>
            <w:tcW w:w="140" w:type="dxa"/>
            <w:vAlign w:val="bottom"/>
          </w:tcPr>
          <w:p>
            <w:pPr>
              <w:spacing w:after="0"/>
              <w:rPr>
                <w:sz w:val="18"/>
                <w:szCs w:val="18"/>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Class C Common Stock</w:t>
            </w:r>
          </w:p>
        </w:tc>
        <w:tc>
          <w:tcPr>
            <w:tcW w:w="27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27.48(3)</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05/20/2024</w:t>
            </w:r>
          </w:p>
        </w:tc>
        <w:tc>
          <w:tcPr>
            <w:tcW w:w="140" w:type="dxa"/>
            <w:vAlign w:val="bottom"/>
            <w:shd w:val="clear" w:color="auto" w:fill="CCEEFF"/>
          </w:tcPr>
          <w:p>
            <w:pPr>
              <w:spacing w:after="0"/>
              <w:rPr>
                <w:sz w:val="18"/>
                <w:szCs w:val="18"/>
                <w:color w:val="auto"/>
              </w:rPr>
            </w:pP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Class C Common Stock</w:t>
            </w:r>
          </w:p>
        </w:tc>
        <w:tc>
          <w:tcPr>
            <w:tcW w:w="2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05/24/2024</w:t>
            </w:r>
          </w:p>
        </w:tc>
        <w:tc>
          <w:tcPr>
            <w:tcW w:w="140" w:type="dxa"/>
            <w:vAlign w:val="bottom"/>
          </w:tcPr>
          <w:p>
            <w:pPr>
              <w:spacing w:after="0"/>
              <w:rPr>
                <w:sz w:val="18"/>
                <w:szCs w:val="18"/>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Class C Common Stock</w:t>
            </w:r>
          </w:p>
        </w:tc>
        <w:tc>
          <w:tcPr>
            <w:tcW w:w="27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9,491</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26.85(3)</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06/07/2024</w:t>
            </w:r>
          </w:p>
        </w:tc>
        <w:tc>
          <w:tcPr>
            <w:tcW w:w="140" w:type="dxa"/>
            <w:vAlign w:val="bottom"/>
            <w:shd w:val="clear" w:color="auto" w:fill="CCEEFF"/>
          </w:tcPr>
          <w:p>
            <w:pPr>
              <w:spacing w:after="0"/>
              <w:rPr>
                <w:sz w:val="18"/>
                <w:szCs w:val="18"/>
                <w:color w:val="auto"/>
              </w:rPr>
            </w:pP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Class C Common Stock</w:t>
            </w:r>
          </w:p>
        </w:tc>
        <w:tc>
          <w:tcPr>
            <w:tcW w:w="2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06/18/2024</w:t>
            </w:r>
          </w:p>
        </w:tc>
        <w:tc>
          <w:tcPr>
            <w:tcW w:w="140" w:type="dxa"/>
            <w:vAlign w:val="bottom"/>
          </w:tcPr>
          <w:p>
            <w:pPr>
              <w:spacing w:after="0"/>
              <w:rPr>
                <w:sz w:val="18"/>
                <w:szCs w:val="18"/>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Class C Common Stock</w:t>
            </w:r>
          </w:p>
        </w:tc>
        <w:tc>
          <w:tcPr>
            <w:tcW w:w="27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1,723</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06/21/2024</w:t>
            </w:r>
          </w:p>
        </w:tc>
        <w:tc>
          <w:tcPr>
            <w:tcW w:w="140" w:type="dxa"/>
            <w:vAlign w:val="bottom"/>
            <w:shd w:val="clear" w:color="auto" w:fill="CCEEFF"/>
          </w:tcPr>
          <w:p>
            <w:pPr>
              <w:spacing w:after="0"/>
              <w:rPr>
                <w:sz w:val="18"/>
                <w:szCs w:val="18"/>
                <w:color w:val="auto"/>
              </w:rPr>
            </w:pP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Class C Common Stock</w:t>
            </w:r>
          </w:p>
        </w:tc>
        <w:tc>
          <w:tcPr>
            <w:tcW w:w="2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06/26/2024</w:t>
            </w:r>
          </w:p>
        </w:tc>
        <w:tc>
          <w:tcPr>
            <w:tcW w:w="140" w:type="dxa"/>
            <w:vAlign w:val="bottom"/>
          </w:tcPr>
          <w:p>
            <w:pPr>
              <w:spacing w:after="0"/>
              <w:rPr>
                <w:sz w:val="18"/>
                <w:szCs w:val="18"/>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Class C Common Stock</w:t>
            </w:r>
          </w:p>
        </w:tc>
        <w:tc>
          <w:tcPr>
            <w:tcW w:w="27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375,000</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06/28/2024</w:t>
            </w:r>
          </w:p>
        </w:tc>
        <w:tc>
          <w:tcPr>
            <w:tcW w:w="140" w:type="dxa"/>
            <w:vAlign w:val="bottom"/>
            <w:shd w:val="clear" w:color="auto" w:fill="CCEEFF"/>
          </w:tcPr>
          <w:p>
            <w:pPr>
              <w:spacing w:after="0"/>
              <w:rPr>
                <w:sz w:val="18"/>
                <w:szCs w:val="18"/>
                <w:color w:val="auto"/>
              </w:rPr>
            </w:pPr>
          </w:p>
        </w:tc>
        <w:tc>
          <w:tcPr>
            <w:tcW w:w="33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Class C Common Stock</w:t>
            </w:r>
          </w:p>
        </w:tc>
        <w:tc>
          <w:tcPr>
            <w:tcW w:w="2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375,000</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ind w:right="680"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of the Issuer granted by Clearway Energy Group under its Long Term Equity Incentive Program to one or more of its employees.</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of the Issuer previously granted by Clearway Energy Group under its Long Term Equity Incentive Program forfeited by certain of its employees due to termination of service.</w:t>
      </w:r>
    </w:p>
    <w:p>
      <w:pPr>
        <w:spacing w:after="0" w:line="161"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withheld to satisfy tax withholding obligations in connection with the vesting of restricted stock of the Issuer previously granted by Clearway Energy Group under its Long Term Equity Incentive Program to certain of its employees.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received pursuant to the exchange of Class D Units for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THE REPORTING PERSONS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Set forth below is the name and current principal occupation or employment of each director and executive officer, as applicable, of TotalEnergies SE, TotalEnergies Gestion USA SARL, TotalEnergies Holdings USA Inc., TotalEnergies Delaware Inc. and TotalEnergies Renewables USA LLC. The business address of each of the directors and executive officers of TotalEnergies SE and TotalEnergies Gestion USA SARL is 2, place Jean Millier, La Défense 6, 92400 Courbevoie, France. The business address of each of the other individuals listed below is 1201 Louisiana St. Suite 1800, Houston, TX 77002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TOTALENERGIES 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Occupation</w:t>
            </w:r>
          </w:p>
        </w:tc>
        <w:tc>
          <w:tcPr>
            <w:tcW w:w="3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Patrick Pouyanné</w:t>
            </w:r>
          </w:p>
        </w:tc>
        <w:tc>
          <w:tcPr>
            <w:tcW w:w="49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1"/>
        </w:trPr>
        <w:tc>
          <w:tcPr>
            <w:tcW w:w="31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Helle Kristoffersen</w:t>
            </w:r>
          </w:p>
        </w:tc>
        <w:tc>
          <w:tcPr>
            <w:tcW w:w="49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rPr>
              <w:t>President, Asia</w:t>
            </w:r>
          </w:p>
        </w:tc>
        <w:tc>
          <w:tcPr>
            <w:tcW w:w="3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French and Danish</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Stéphane Michel</w:t>
            </w:r>
          </w:p>
        </w:tc>
        <w:tc>
          <w:tcPr>
            <w:tcW w:w="49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rPr>
              <w:t>President, Gas, Renewables &amp; Power</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1"/>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Thierry Pflimlin</w:t>
            </w:r>
          </w:p>
        </w:tc>
        <w:tc>
          <w:tcPr>
            <w:tcW w:w="49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President, Marketing &amp; Services</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Bernard Pinatel</w:t>
            </w:r>
          </w:p>
        </w:tc>
        <w:tc>
          <w:tcPr>
            <w:tcW w:w="49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President, Refining &amp; Chemicals</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1"/>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Jean-Pierre Sbraire</w:t>
            </w:r>
          </w:p>
        </w:tc>
        <w:tc>
          <w:tcPr>
            <w:tcW w:w="49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1"/>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Namita Shah</w:t>
            </w:r>
          </w:p>
        </w:tc>
        <w:tc>
          <w:tcPr>
            <w:tcW w:w="49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8"/>
              </w:rPr>
              <w:t>President, OneTech</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7"/>
              </w:rPr>
              <w:t>Nicolas Terraz</w:t>
            </w:r>
          </w:p>
        </w:tc>
        <w:tc>
          <w:tcPr>
            <w:tcW w:w="49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President, Exploration &amp; Production</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1"/>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Aurélien Hamelle</w:t>
            </w:r>
          </w:p>
        </w:tc>
        <w:tc>
          <w:tcPr>
            <w:tcW w:w="49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rPr>
              <w:t>President Strategy &amp; Sustainability</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Jacques Aschenbroich</w:t>
            </w:r>
          </w:p>
        </w:tc>
        <w:tc>
          <w:tcPr>
            <w:tcW w:w="49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Anelise Quintão Lara</w:t>
            </w:r>
          </w:p>
        </w:tc>
        <w:tc>
          <w:tcPr>
            <w:tcW w:w="49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Marie-Christine Coisne-Roquette</w:t>
            </w:r>
          </w:p>
        </w:tc>
        <w:tc>
          <w:tcPr>
            <w:tcW w:w="49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Lise Croteau</w:t>
            </w:r>
          </w:p>
        </w:tc>
        <w:tc>
          <w:tcPr>
            <w:tcW w:w="49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3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Canadian</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Mark Cutifani</w:t>
            </w:r>
          </w:p>
        </w:tc>
        <w:tc>
          <w:tcPr>
            <w:tcW w:w="49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3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Australian</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Emma de Jonge</w:t>
            </w:r>
          </w:p>
        </w:tc>
        <w:tc>
          <w:tcPr>
            <w:tcW w:w="49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Director representing employee shareholders</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1"/>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Romain Garcia-Ivaldi</w:t>
            </w:r>
          </w:p>
        </w:tc>
        <w:tc>
          <w:tcPr>
            <w:tcW w:w="49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Director representing employees</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Maria van der Hoeven</w:t>
            </w:r>
          </w:p>
        </w:tc>
        <w:tc>
          <w:tcPr>
            <w:tcW w:w="49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3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Netherlands</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Glenn Hubbard</w:t>
            </w:r>
          </w:p>
        </w:tc>
        <w:tc>
          <w:tcPr>
            <w:tcW w:w="49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3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American</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Marie-Ange Debon</w:t>
            </w:r>
          </w:p>
        </w:tc>
        <w:tc>
          <w:tcPr>
            <w:tcW w:w="49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Jean Lemierre</w:t>
            </w:r>
          </w:p>
        </w:tc>
        <w:tc>
          <w:tcPr>
            <w:tcW w:w="49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Dirk Paskert</w:t>
            </w:r>
          </w:p>
        </w:tc>
        <w:tc>
          <w:tcPr>
            <w:tcW w:w="49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German</w:t>
            </w: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Angel Pobo</w:t>
            </w:r>
          </w:p>
        </w:tc>
        <w:tc>
          <w:tcPr>
            <w:tcW w:w="496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Director representing employees</w:t>
            </w:r>
          </w:p>
        </w:tc>
        <w:tc>
          <w:tcPr>
            <w:tcW w:w="3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426"/>
        </w:trPr>
        <w:tc>
          <w:tcPr>
            <w:tcW w:w="3120" w:type="dxa"/>
            <w:vAlign w:val="bottom"/>
          </w:tcPr>
          <w:p>
            <w:pPr>
              <w:spacing w:after="0"/>
              <w:rPr>
                <w:sz w:val="24"/>
                <w:szCs w:val="24"/>
                <w:color w:val="auto"/>
              </w:rPr>
            </w:pPr>
          </w:p>
        </w:tc>
        <w:tc>
          <w:tcPr>
            <w:tcW w:w="49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TOTALENERGIES GESTION USA SARL</w:t>
            </w:r>
          </w:p>
        </w:tc>
        <w:tc>
          <w:tcPr>
            <w:tcW w:w="3160" w:type="dxa"/>
            <w:vAlign w:val="bottom"/>
          </w:tcPr>
          <w:p>
            <w:pPr>
              <w:spacing w:after="0"/>
              <w:rPr>
                <w:sz w:val="24"/>
                <w:szCs w:val="24"/>
                <w:color w:val="auto"/>
              </w:rPr>
            </w:pPr>
          </w:p>
        </w:tc>
      </w:tr>
      <w:tr>
        <w:trPr>
          <w:trHeight w:val="216"/>
        </w:trPr>
        <w:tc>
          <w:tcPr>
            <w:tcW w:w="312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r>
      <w:tr>
        <w:trPr>
          <w:trHeight w:val="290"/>
        </w:trPr>
        <w:tc>
          <w:tcPr>
            <w:tcW w:w="3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Eric Bozec</w:t>
            </w:r>
          </w:p>
        </w:tc>
        <w:tc>
          <w:tcPr>
            <w:tcW w:w="49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General Manager</w:t>
            </w:r>
          </w:p>
        </w:tc>
        <w:tc>
          <w:tcPr>
            <w:tcW w:w="31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French</w:t>
            </w:r>
          </w:p>
        </w:tc>
      </w:tr>
      <w:tr>
        <w:trPr>
          <w:trHeight w:val="669"/>
        </w:trPr>
        <w:tc>
          <w:tcPr>
            <w:tcW w:w="31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TOTALENERGIES HOLDINGS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Mike Naeve</w:t>
            </w:r>
          </w:p>
        </w:tc>
        <w:tc>
          <w:tcPr>
            <w:tcW w:w="5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Francois Good</w:t>
            </w:r>
          </w:p>
        </w:tc>
        <w:tc>
          <w:tcPr>
            <w:tcW w:w="5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Director, Chief Executive Officer &amp; President</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1"/>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Alexander Adotevi</w:t>
            </w:r>
          </w:p>
        </w:tc>
        <w:tc>
          <w:tcPr>
            <w:tcW w:w="5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Director and Chief Financial Officer</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German</w:t>
            </w:r>
          </w:p>
        </w:tc>
      </w:tr>
      <w:tr>
        <w:trPr>
          <w:trHeight w:val="291"/>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Dawn Lannin</w:t>
            </w:r>
          </w:p>
        </w:tc>
        <w:tc>
          <w:tcPr>
            <w:tcW w:w="5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Kwajo Sarfoh</w:t>
            </w:r>
          </w:p>
        </w:tc>
        <w:tc>
          <w:tcPr>
            <w:tcW w:w="5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Vice President, Tax</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1"/>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Eric Bozec</w:t>
            </w:r>
          </w:p>
        </w:tc>
        <w:tc>
          <w:tcPr>
            <w:tcW w:w="5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Esmeralda Fernandez</w:t>
            </w:r>
          </w:p>
        </w:tc>
        <w:tc>
          <w:tcPr>
            <w:tcW w:w="5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Treasurer</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1"/>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Rich Frazier</w:t>
            </w:r>
          </w:p>
        </w:tc>
        <w:tc>
          <w:tcPr>
            <w:tcW w:w="5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Assistant Secretary</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Ha C. Yi</w:t>
            </w:r>
          </w:p>
        </w:tc>
        <w:tc>
          <w:tcPr>
            <w:tcW w:w="5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Assistant Secretary</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426"/>
        </w:trPr>
        <w:tc>
          <w:tcPr>
            <w:tcW w:w="2560" w:type="dxa"/>
            <w:vAlign w:val="bottom"/>
          </w:tcPr>
          <w:p>
            <w:pPr>
              <w:spacing w:after="0"/>
              <w:rPr>
                <w:sz w:val="24"/>
                <w:szCs w:val="24"/>
                <w:color w:val="auto"/>
              </w:rPr>
            </w:pPr>
          </w:p>
        </w:tc>
        <w:tc>
          <w:tcPr>
            <w:tcW w:w="59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TOTALENERGIES DELAWARE INC.</w:t>
            </w:r>
          </w:p>
        </w:tc>
        <w:tc>
          <w:tcPr>
            <w:tcW w:w="2760" w:type="dxa"/>
            <w:vAlign w:val="bottom"/>
          </w:tcPr>
          <w:p>
            <w:pPr>
              <w:spacing w:after="0"/>
              <w:rPr>
                <w:sz w:val="24"/>
                <w:szCs w:val="24"/>
                <w:color w:val="auto"/>
              </w:rPr>
            </w:pPr>
          </w:p>
        </w:tc>
      </w:tr>
      <w:tr>
        <w:trPr>
          <w:trHeight w:val="216"/>
        </w:trPr>
        <w:tc>
          <w:tcPr>
            <w:tcW w:w="2560" w:type="dxa"/>
            <w:vAlign w:val="bottom"/>
            <w:tcBorders>
              <w:bottom w:val="single" w:sz="8" w:color="auto"/>
            </w:tcBorders>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91"/>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Francois Good</w:t>
            </w:r>
          </w:p>
        </w:tc>
        <w:tc>
          <w:tcPr>
            <w:tcW w:w="5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Director and President</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Alexander Adotevi</w:t>
            </w:r>
          </w:p>
        </w:tc>
        <w:tc>
          <w:tcPr>
            <w:tcW w:w="5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Director and Vice President</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German</w:t>
            </w:r>
          </w:p>
        </w:tc>
      </w:tr>
      <w:tr>
        <w:trPr>
          <w:trHeight w:val="291"/>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Dawn Lannin</w:t>
            </w:r>
          </w:p>
        </w:tc>
        <w:tc>
          <w:tcPr>
            <w:tcW w:w="5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Kwajo Sarfoh</w:t>
            </w:r>
          </w:p>
        </w:tc>
        <w:tc>
          <w:tcPr>
            <w:tcW w:w="5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1"/>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Esmeralda Fernandez</w:t>
            </w:r>
          </w:p>
        </w:tc>
        <w:tc>
          <w:tcPr>
            <w:tcW w:w="5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Treasurer</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Rich Frazier</w:t>
            </w:r>
          </w:p>
        </w:tc>
        <w:tc>
          <w:tcPr>
            <w:tcW w:w="5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Secretary</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Ha C. Yi</w:t>
            </w:r>
          </w:p>
        </w:tc>
        <w:tc>
          <w:tcPr>
            <w:tcW w:w="5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Assistant Secretary</w:t>
            </w:r>
          </w:p>
        </w:tc>
        <w:tc>
          <w:tcPr>
            <w:tcW w:w="27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642"/>
        </w:trPr>
        <w:tc>
          <w:tcPr>
            <w:tcW w:w="2560" w:type="dxa"/>
            <w:vAlign w:val="bottom"/>
          </w:tcPr>
          <w:p>
            <w:pPr>
              <w:spacing w:after="0"/>
              <w:rPr>
                <w:sz w:val="24"/>
                <w:szCs w:val="24"/>
                <w:color w:val="auto"/>
              </w:rPr>
            </w:pPr>
          </w:p>
        </w:tc>
        <w:tc>
          <w:tcPr>
            <w:tcW w:w="59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TOTALENERGIES RENEWABLES USA LLC</w:t>
            </w:r>
          </w:p>
        </w:tc>
        <w:tc>
          <w:tcPr>
            <w:tcW w:w="2760" w:type="dxa"/>
            <w:vAlign w:val="bottom"/>
          </w:tcPr>
          <w:p>
            <w:pPr>
              <w:spacing w:after="0"/>
              <w:rPr>
                <w:sz w:val="24"/>
                <w:szCs w:val="24"/>
                <w:color w:val="auto"/>
              </w:rPr>
            </w:pPr>
          </w:p>
        </w:tc>
      </w:tr>
      <w:tr>
        <w:trPr>
          <w:trHeight w:val="216"/>
        </w:trPr>
        <w:tc>
          <w:tcPr>
            <w:tcW w:w="2560" w:type="dxa"/>
            <w:vAlign w:val="bottom"/>
            <w:tcBorders>
              <w:bottom w:val="single" w:sz="8" w:color="auto"/>
            </w:tcBorders>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7"/>
              </w:rPr>
              <w:t>Vincent Stoquart</w:t>
            </w:r>
          </w:p>
        </w:tc>
        <w:tc>
          <w:tcPr>
            <w:tcW w:w="59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Manager</w:t>
            </w:r>
          </w:p>
        </w:tc>
        <w:tc>
          <w:tcPr>
            <w:tcW w:w="276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Belgian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Marc-Antoine Pignon</w:t>
            </w:r>
          </w:p>
        </w:tc>
        <w:tc>
          <w:tcPr>
            <w:tcW w:w="59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Manager and Chief Executive Officer</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1"/>
        </w:trPr>
        <w:tc>
          <w:tcPr>
            <w:tcW w:w="25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Olivier Terneaud</w:t>
            </w:r>
          </w:p>
        </w:tc>
        <w:tc>
          <w:tcPr>
            <w:tcW w:w="59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Manager</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Alexander Adotevi</w:t>
            </w:r>
          </w:p>
        </w:tc>
        <w:tc>
          <w:tcPr>
            <w:tcW w:w="59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Manager</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German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David Foulon</w:t>
            </w:r>
          </w:p>
        </w:tc>
        <w:tc>
          <w:tcPr>
            <w:tcW w:w="59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Manager and Vice President, Managing Director – Offshore Wind</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Christopher Gillies</w:t>
            </w:r>
          </w:p>
        </w:tc>
        <w:tc>
          <w:tcPr>
            <w:tcW w:w="59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8"/>
              </w:rPr>
              <w:t>Australian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Ali Mirza</w:t>
            </w:r>
          </w:p>
        </w:tc>
        <w:tc>
          <w:tcPr>
            <w:tcW w:w="59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Vice President, Structured Finance</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Jeff Newcombe</w:t>
            </w:r>
          </w:p>
        </w:tc>
        <w:tc>
          <w:tcPr>
            <w:tcW w:w="59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Vice President, Technical</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Anais Immas</w:t>
            </w:r>
          </w:p>
        </w:tc>
        <w:tc>
          <w:tcPr>
            <w:tcW w:w="59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Vice President, Business Development</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91"/>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Eric Potts</w:t>
            </w:r>
          </w:p>
        </w:tc>
        <w:tc>
          <w:tcPr>
            <w:tcW w:w="59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Vice President, Managing Director, Distributed Generation</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Greg Nelson</w:t>
            </w:r>
          </w:p>
        </w:tc>
        <w:tc>
          <w:tcPr>
            <w:tcW w:w="59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Vice President, Managing Director – Core Solar</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Esmeralda Fernandez</w:t>
            </w:r>
          </w:p>
        </w:tc>
        <w:tc>
          <w:tcPr>
            <w:tcW w:w="59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8"/>
              </w:rPr>
              <w:t>Treasurer</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8"/>
              </w:rPr>
              <w:t>Rich Frazier</w:t>
            </w:r>
          </w:p>
        </w:tc>
        <w:tc>
          <w:tcPr>
            <w:tcW w:w="59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Secretary</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Simon Hayes</w:t>
            </w:r>
          </w:p>
        </w:tc>
        <w:tc>
          <w:tcPr>
            <w:tcW w:w="59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Assistant Secretary</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rPr>
              <w:t>British</w:t>
            </w:r>
          </w:p>
        </w:tc>
      </w:tr>
      <w:tr>
        <w:trPr>
          <w:trHeight w:val="290"/>
        </w:trPr>
        <w:tc>
          <w:tcPr>
            <w:tcW w:w="25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Ha C. Yi</w:t>
            </w:r>
          </w:p>
        </w:tc>
        <w:tc>
          <w:tcPr>
            <w:tcW w:w="59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Assistant Secretary</w:t>
            </w:r>
          </w:p>
        </w:tc>
        <w:tc>
          <w:tcPr>
            <w:tcW w:w="27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669"/>
        </w:trPr>
        <w:tc>
          <w:tcPr>
            <w:tcW w:w="25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2024-06-28T20:18:45Z</dcterms:created>
  <dcterms:modified xsi:type="dcterms:W3CDTF">2024-06-28T20:18:45Z</dcterms:modified>
</cp:coreProperties>
</file>