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Rubenstein Sarah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Clearway Energy,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CWEN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12/01/2021</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585"/>
        <w:spacing w:after="0"/>
        <w:rPr>
          <w:sz w:val="20"/>
          <w:szCs w:val="20"/>
          <w:color w:val="auto"/>
        </w:rPr>
      </w:pPr>
      <w:r>
        <w:rPr>
          <w:rFonts w:ascii="Arial" w:cs="Arial" w:eastAsia="Arial" w:hAnsi="Arial"/>
          <w:sz w:val="17"/>
          <w:szCs w:val="17"/>
          <w:color w:val="0000FF"/>
        </w:rPr>
        <w:t>VP Accounting &amp; Controller</w:t>
      </w:r>
    </w:p>
    <w:p>
      <w:pPr>
        <w:spacing w:after="0" w:line="402"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20" w:type="dxa"/>
            <w:vAlign w:val="bottom"/>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40" w:type="dxa"/>
            <w:vAlign w:val="bottom"/>
            <w:gridSpan w:val="2"/>
            <w:vMerge w:val="restart"/>
          </w:tcPr>
          <w:p>
            <w:pPr>
              <w:spacing w:after="0"/>
              <w:rPr>
                <w:sz w:val="20"/>
                <w:szCs w:val="20"/>
                <w:color w:val="auto"/>
              </w:rPr>
            </w:pPr>
            <w:r>
              <w:rPr>
                <w:rFonts w:ascii="Arial" w:cs="Arial" w:eastAsia="Arial" w:hAnsi="Arial"/>
                <w:sz w:val="17"/>
                <w:szCs w:val="17"/>
                <w:color w:val="0000FF"/>
              </w:rPr>
              <w:t>PRINCETON   NJ</w:t>
            </w:r>
          </w:p>
        </w:tc>
        <w:tc>
          <w:tcPr>
            <w:tcW w:w="860" w:type="dxa"/>
            <w:vAlign w:val="bottom"/>
          </w:tcPr>
          <w:p>
            <w:pPr>
              <w:spacing w:after="0"/>
              <w:rPr>
                <w:sz w:val="11"/>
                <w:szCs w:val="11"/>
                <w:color w:val="auto"/>
              </w:rPr>
            </w:pPr>
          </w:p>
        </w:tc>
        <w:tc>
          <w:tcPr>
            <w:tcW w:w="700" w:type="dxa"/>
            <w:vAlign w:val="bottom"/>
            <w:vMerge w:val="restart"/>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8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7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4"/>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440" w:type="dxa"/>
            <w:vAlign w:val="bottom"/>
            <w:tcBorders>
              <w:bottom w:val="single" w:sz="8" w:color="2C2C2C"/>
            </w:tcBorders>
            <w:gridSpan w:val="5"/>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17"/>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8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00" w:type="dxa"/>
            <w:vAlign w:val="bottom"/>
            <w:tcBorders>
              <w:bottom w:val="single" w:sz="8" w:color="2C2C2C"/>
            </w:tcBorders>
            <w:gridSpan w:val="5"/>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5"/>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3"/>
            <w:vMerge w:val="restart"/>
          </w:tcPr>
          <w:p>
            <w:pPr>
              <w:jc w:val="right"/>
              <w:ind w:right="58"/>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240"/>
              <w:spacing w:after="0"/>
              <w:rPr>
                <w:sz w:val="20"/>
                <w:szCs w:val="20"/>
                <w:color w:val="auto"/>
              </w:rPr>
            </w:pPr>
            <w:r>
              <w:rPr>
                <w:rFonts w:ascii="Arial" w:cs="Arial" w:eastAsia="Arial" w:hAnsi="Arial"/>
                <w:sz w:val="17"/>
                <w:szCs w:val="17"/>
                <w:color w:val="0000FF"/>
                <w:w w:val="94"/>
              </w:rPr>
              <w:t>135</w:t>
            </w:r>
            <w:r>
              <w:rPr>
                <w:rFonts w:ascii="Arial" w:cs="Arial" w:eastAsia="Arial" w:hAnsi="Arial"/>
                <w:sz w:val="22"/>
                <w:szCs w:val="22"/>
                <w:color w:val="008000"/>
                <w:w w:val="94"/>
                <w:vertAlign w:val="superscript"/>
              </w:rPr>
              <w:t>(1)</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2"/>
            <w:vMerge w:val="restart"/>
          </w:tcPr>
          <w:p>
            <w:pPr>
              <w:ind w:left="180"/>
              <w:spacing w:after="0"/>
              <w:rPr>
                <w:sz w:val="20"/>
                <w:szCs w:val="20"/>
                <w:color w:val="auto"/>
              </w:rPr>
            </w:pPr>
            <w:r>
              <w:rPr>
                <w:rFonts w:ascii="Arial" w:cs="Arial" w:eastAsia="Arial" w:hAnsi="Arial"/>
                <w:sz w:val="11"/>
                <w:szCs w:val="11"/>
                <w:color w:val="008000"/>
              </w:rPr>
              <w:t>(2)</w:t>
            </w:r>
          </w:p>
        </w:tc>
        <w:tc>
          <w:tcPr>
            <w:tcW w:w="1380" w:type="dxa"/>
            <w:vAlign w:val="bottom"/>
            <w:gridSpan w:val="3"/>
            <w:vMerge w:val="restart"/>
          </w:tcPr>
          <w:p>
            <w:pPr>
              <w:ind w:left="520"/>
              <w:spacing w:after="0"/>
              <w:rPr>
                <w:sz w:val="20"/>
                <w:szCs w:val="20"/>
                <w:color w:val="auto"/>
              </w:rPr>
            </w:pPr>
            <w:r>
              <w:rPr>
                <w:rFonts w:ascii="Arial" w:cs="Arial" w:eastAsia="Arial" w:hAnsi="Arial"/>
                <w:sz w:val="17"/>
                <w:szCs w:val="17"/>
                <w:color w:val="0000FF"/>
              </w:rPr>
              <w:t>23,426</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3"/>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6"/>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2"/>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8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Restricted Stock Units ("RSUs") which become exercisable proportionately with the RSUs to which they relate and may only be settled in Class C Common Stock of Clearway Energy, Inc. as determined by the RSU to which they relate.</w:t>
      </w:r>
    </w:p>
    <w:p>
      <w:pPr>
        <w:spacing w:after="0" w:line="15" w:lineRule="exact"/>
        <w:rPr>
          <w:rFonts w:ascii="Arial" w:cs="Arial" w:eastAsia="Arial" w:hAnsi="Arial"/>
          <w:sz w:val="13"/>
          <w:szCs w:val="13"/>
          <w:color w:val="008000"/>
        </w:rPr>
      </w:pPr>
    </w:p>
    <w:p>
      <w:pPr>
        <w:ind w:left="40" w:right="1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708 dividend equivalent rights that may only be settled in Class C Common Stock. There has been a de minimus adjustment of 1 share to the number of dividend equivalent rights as a result of rounding fractional shares.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 by</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9270"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2021-12-03T15:47:31Z</dcterms:created>
  <dcterms:modified xsi:type="dcterms:W3CDTF">2021-12-03T15:47:31Z</dcterms:modified>
</cp:coreProperties>
</file>