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4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More Daniel B.</w:t>
              </w:r>
            </w:hyperlink>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40" w:type="dxa"/>
            <w:vAlign w:val="bottom"/>
            <w:gridSpan w:val="6"/>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Clearway Energy,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4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40" w:type="dxa"/>
            <w:vAlign w:val="bottom"/>
            <w:gridSpan w:val="6"/>
            <w:vMerge w:val="continue"/>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CLEARWAY ENERGY, INC.</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7"/>
                <w:szCs w:val="17"/>
                <w:color w:val="0000FF"/>
              </w:rPr>
              <w:t>12/01/2020</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4"/>
            <w:vMerge w:val="restart"/>
          </w:tcPr>
          <w:p>
            <w:pPr>
              <w:spacing w:after="0"/>
              <w:rPr>
                <w:sz w:val="20"/>
                <w:szCs w:val="20"/>
                <w:color w:val="auto"/>
              </w:rPr>
            </w:pPr>
            <w:r>
              <w:rPr>
                <w:rFonts w:ascii="Arial" w:cs="Arial" w:eastAsia="Arial" w:hAnsi="Arial"/>
                <w:sz w:val="17"/>
                <w:szCs w:val="17"/>
                <w:color w:val="0000FF"/>
              </w:rPr>
              <w:t>300 CARNEGIE CENTER, SUITE 300</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4"/>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50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9"/>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4"/>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4"/>
            <w:vMerge w:val="restart"/>
          </w:tcPr>
          <w:p>
            <w:pPr>
              <w:jc w:val="right"/>
              <w:ind w:right="57"/>
              <w:spacing w:after="0"/>
              <w:rPr>
                <w:sz w:val="20"/>
                <w:szCs w:val="20"/>
                <w:color w:val="auto"/>
              </w:rPr>
            </w:pPr>
            <w:r>
              <w:rPr>
                <w:rFonts w:ascii="Arial" w:cs="Arial" w:eastAsia="Arial" w:hAnsi="Arial"/>
                <w:sz w:val="17"/>
                <w:szCs w:val="17"/>
                <w:color w:val="0000FF"/>
              </w:rPr>
              <w:t>12/01/2020</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265</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22"/>
                <w:szCs w:val="22"/>
                <w:color w:val="auto"/>
              </w:rPr>
            </w:pPr>
          </w:p>
        </w:tc>
        <w:tc>
          <w:tcPr>
            <w:tcW w:w="1200" w:type="dxa"/>
            <w:vAlign w:val="bottom"/>
            <w:gridSpan w:val="2"/>
            <w:vMerge w:val="restart"/>
          </w:tcPr>
          <w:p>
            <w:pPr>
              <w:ind w:left="280"/>
              <w:spacing w:after="0"/>
              <w:rPr>
                <w:sz w:val="20"/>
                <w:szCs w:val="20"/>
                <w:color w:val="auto"/>
              </w:rPr>
            </w:pPr>
            <w:r>
              <w:rPr>
                <w:rFonts w:ascii="Arial" w:cs="Arial" w:eastAsia="Arial" w:hAnsi="Arial"/>
                <w:sz w:val="17"/>
                <w:szCs w:val="17"/>
                <w:color w:val="0000FF"/>
              </w:rPr>
              <w:t>24,972</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4"/>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5"/>
          </w:tcPr>
          <w:p>
            <w:pPr>
              <w:spacing w:after="0"/>
              <w:rPr>
                <w:sz w:val="8"/>
                <w:szCs w:val="8"/>
                <w:color w:val="auto"/>
              </w:rPr>
            </w:pPr>
          </w:p>
        </w:tc>
        <w:tc>
          <w:tcPr>
            <w:tcW w:w="24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-3009265</wp:posOffset>
            </wp:positionV>
            <wp:extent cx="7031355" cy="305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05435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15" w:lineRule="exact"/>
        <w:rPr>
          <w:rFonts w:ascii="Arial" w:cs="Arial" w:eastAsia="Arial" w:hAnsi="Arial"/>
          <w:sz w:val="13"/>
          <w:szCs w:val="13"/>
          <w:color w:val="008000"/>
        </w:rPr>
      </w:pPr>
    </w:p>
    <w:p>
      <w:pPr>
        <w:ind w:left="40" w:right="1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1,472 dividend equivalent rights that may only be settled in Class C Common Stock. There has been a de minimus adjustment of 2 shares to the number of dividend equivalent rights as a result of rounding fractional shares.</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Michael A. Brown, by</w:t>
            </w:r>
          </w:p>
        </w:tc>
        <w:tc>
          <w:tcPr>
            <w:tcW w:w="3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12/03/2020</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39398"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2020-12-03T16:19:26Z</dcterms:created>
  <dcterms:modified xsi:type="dcterms:W3CDTF">2020-12-03T16:19:26Z</dcterms:modified>
</cp:coreProperties>
</file>