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980" w:type="dxa"/>
            <w:vAlign w:val="bottom"/>
            <w:gridSpan w:val="9"/>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7"/>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2980" w:type="dxa"/>
            <w:vAlign w:val="bottom"/>
            <w:gridSpan w:val="9"/>
          </w:tcPr>
          <w:p>
            <w:pPr>
              <w:ind w:left="80"/>
              <w:spacing w:after="0" w:line="107" w:lineRule="exact"/>
              <w:rPr>
                <w:rFonts w:ascii="Arial" w:cs="Arial" w:eastAsia="Arial" w:hAnsi="Arial"/>
                <w:sz w:val="12"/>
                <w:szCs w:val="12"/>
                <w:color w:val="0000EE"/>
              </w:rPr>
            </w:pPr>
            <w:hyperlink r:id="rId14">
              <w:r>
                <w:rPr>
                  <w:rFonts w:ascii="Arial" w:cs="Arial" w:eastAsia="Arial" w:hAnsi="Arial"/>
                  <w:sz w:val="12"/>
                  <w:szCs w:val="12"/>
                  <w:u w:val="single" w:color="auto"/>
                  <w:color w:val="0000EE"/>
                </w:rPr>
                <w:t>Clearway Energy, Inc.</w:t>
              </w:r>
              <w:r>
                <w:rPr>
                  <w:rFonts w:ascii="Arial" w:cs="Arial" w:eastAsia="Arial" w:hAnsi="Arial"/>
                  <w:sz w:val="12"/>
                  <w:szCs w:val="12"/>
                  <w:color w:val="0000EE"/>
                </w:rPr>
                <w:t xml:space="preserve">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720" w:type="dxa"/>
            <w:vAlign w:val="bottom"/>
            <w:gridSpan w:val="7"/>
            <w:vMerge w:val="continue"/>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6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20" w:type="dxa"/>
            <w:vAlign w:val="bottom"/>
            <w:gridSpan w:val="4"/>
            <w:vMerge w:val="continue"/>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20" w:type="dxa"/>
            <w:vAlign w:val="bottom"/>
            <w:gridSpan w:val="7"/>
            <w:vMerge w:val="continue"/>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340" w:type="dxa"/>
            <w:vAlign w:val="bottom"/>
          </w:tcPr>
          <w:p>
            <w:pPr>
              <w:spacing w:after="0"/>
              <w:rPr>
                <w:sz w:val="13"/>
                <w:szCs w:val="13"/>
                <w:color w:val="auto"/>
              </w:rPr>
            </w:pPr>
          </w:p>
        </w:tc>
        <w:tc>
          <w:tcPr>
            <w:tcW w:w="1680" w:type="dxa"/>
            <w:vAlign w:val="bottom"/>
            <w:gridSpan w:val="6"/>
            <w:vMerge w:val="restart"/>
          </w:tcPr>
          <w:p>
            <w:pPr>
              <w:ind w:left="1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gridSpan w:val="6"/>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gridSpan w:val="3"/>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680" w:type="dxa"/>
            <w:vAlign w:val="bottom"/>
            <w:gridSpan w:val="6"/>
            <w:vMerge w:val="restart"/>
          </w:tcPr>
          <w:p>
            <w:pPr>
              <w:ind w:left="4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20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134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80" w:type="dxa"/>
            <w:vAlign w:val="bottom"/>
            <w:gridSpan w:val="6"/>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80" w:type="dxa"/>
            <w:vAlign w:val="bottom"/>
            <w:gridSpan w:val="3"/>
            <w:vMerge w:val="continue"/>
          </w:tcPr>
          <w:p>
            <w:pPr>
              <w:spacing w:after="0"/>
              <w:rPr>
                <w:sz w:val="3"/>
                <w:szCs w:val="3"/>
                <w:color w:val="auto"/>
              </w:rPr>
            </w:pPr>
          </w:p>
        </w:tc>
        <w:tc>
          <w:tcPr>
            <w:tcW w:w="16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13"/>
                <w:szCs w:val="13"/>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980" w:type="dxa"/>
            <w:vAlign w:val="bottom"/>
            <w:gridSpan w:val="9"/>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3"/>
                <w:szCs w:val="13"/>
                <w:color w:val="auto"/>
              </w:rPr>
            </w:pPr>
          </w:p>
        </w:tc>
        <w:tc>
          <w:tcPr>
            <w:tcW w:w="900" w:type="dxa"/>
            <w:vAlign w:val="bottom"/>
            <w:gridSpan w:val="2"/>
          </w:tcPr>
          <w:p>
            <w:pPr>
              <w:ind w:left="4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Arial" w:cs="Arial" w:eastAsia="Arial" w:hAnsi="Arial"/>
                <w:sz w:val="17"/>
                <w:szCs w:val="17"/>
                <w:color w:val="0000FF"/>
              </w:rPr>
              <w:t>1345 AVENUE OF THE AMERICAS, 30TH</w:t>
            </w:r>
          </w:p>
        </w:tc>
        <w:tc>
          <w:tcPr>
            <w:tcW w:w="1360" w:type="dxa"/>
            <w:vAlign w:val="bottom"/>
            <w:gridSpan w:val="6"/>
          </w:tcPr>
          <w:p>
            <w:pPr>
              <w:ind w:left="80"/>
              <w:spacing w:after="0"/>
              <w:rPr>
                <w:sz w:val="20"/>
                <w:szCs w:val="20"/>
                <w:color w:val="auto"/>
              </w:rPr>
            </w:pPr>
            <w:r>
              <w:rPr>
                <w:rFonts w:ascii="Arial" w:cs="Arial" w:eastAsia="Arial" w:hAnsi="Arial"/>
                <w:sz w:val="17"/>
                <w:szCs w:val="17"/>
                <w:color w:val="0000FF"/>
              </w:rPr>
              <w:t>10/25/2020</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720" w:type="dxa"/>
            <w:vAlign w:val="bottom"/>
            <w:gridSpan w:val="7"/>
            <w:vMerge w:val="continue"/>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line="182" w:lineRule="exact"/>
              <w:rPr>
                <w:sz w:val="20"/>
                <w:szCs w:val="20"/>
                <w:color w:val="auto"/>
              </w:rPr>
            </w:pPr>
            <w:r>
              <w:rPr>
                <w:rFonts w:ascii="Arial" w:cs="Arial" w:eastAsia="Arial" w:hAnsi="Arial"/>
                <w:sz w:val="17"/>
                <w:szCs w:val="17"/>
                <w:color w:val="0000FF"/>
              </w:rPr>
              <w:t>FLOOR</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Borders>
              <w:bottom w:val="single" w:sz="8" w:color="2C2C2C"/>
            </w:tcBorders>
          </w:tcPr>
          <w:p>
            <w:pPr>
              <w:spacing w:after="0"/>
              <w:rPr>
                <w:sz w:val="16"/>
                <w:szCs w:val="16"/>
                <w:color w:val="auto"/>
              </w:rPr>
            </w:pPr>
          </w:p>
        </w:tc>
        <w:tc>
          <w:tcPr>
            <w:tcW w:w="14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7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340" w:type="dxa"/>
            <w:vAlign w:val="bottom"/>
            <w:tcBorders>
              <w:bottom w:val="single" w:sz="8" w:color="2C2C2C"/>
            </w:tcBorders>
          </w:tcPr>
          <w:p>
            <w:pPr>
              <w:spacing w:after="0"/>
              <w:rPr>
                <w:sz w:val="16"/>
                <w:szCs w:val="16"/>
                <w:color w:val="auto"/>
              </w:rPr>
            </w:pPr>
          </w:p>
        </w:tc>
        <w:tc>
          <w:tcPr>
            <w:tcW w:w="5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920" w:type="dxa"/>
            <w:vAlign w:val="bottom"/>
            <w:tcBorders>
              <w:bottom w:val="single" w:sz="8" w:color="9A9A9A"/>
            </w:tcBorders>
          </w:tcPr>
          <w:p>
            <w:pPr>
              <w:spacing w:after="0"/>
              <w:rPr>
                <w:sz w:val="19"/>
                <w:szCs w:val="19"/>
                <w:color w:val="auto"/>
              </w:rPr>
            </w:pPr>
          </w:p>
        </w:tc>
        <w:tc>
          <w:tcPr>
            <w:tcW w:w="1340" w:type="dxa"/>
            <w:vAlign w:val="bottom"/>
            <w:tcBorders>
              <w:bottom w:val="single" w:sz="8" w:color="9A9A9A"/>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80" w:type="dxa"/>
            <w:vAlign w:val="bottom"/>
            <w:gridSpan w:val="10"/>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gridSpan w:val="2"/>
          </w:tcPr>
          <w:p>
            <w:pPr>
              <w:spacing w:after="0" w:line="120" w:lineRule="exact"/>
              <w:rPr>
                <w:sz w:val="20"/>
                <w:szCs w:val="20"/>
                <w:color w:val="auto"/>
              </w:rPr>
            </w:pPr>
            <w:r>
              <w:rPr>
                <w:rFonts w:ascii="Arial" w:cs="Arial" w:eastAsia="Arial" w:hAnsi="Arial"/>
                <w:sz w:val="13"/>
                <w:szCs w:val="13"/>
                <w:color w:val="auto"/>
              </w:rPr>
              <w:t>Line)</w:t>
            </w:r>
          </w:p>
        </w:tc>
        <w:tc>
          <w:tcPr>
            <w:tcW w:w="2960" w:type="dxa"/>
            <w:vAlign w:val="bottom"/>
            <w:gridSpan w:val="9"/>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960" w:type="dxa"/>
            <w:vAlign w:val="bottom"/>
            <w:gridSpan w:val="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2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1340" w:type="dxa"/>
            <w:vAlign w:val="bottom"/>
          </w:tcPr>
          <w:p>
            <w:pPr>
              <w:ind w:left="14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2960" w:type="dxa"/>
            <w:vAlign w:val="bottom"/>
            <w:gridSpan w:val="9"/>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2"/>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gridSpan w:val="3"/>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246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20"/>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16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7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2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720" w:type="dxa"/>
            <w:vAlign w:val="bottom"/>
            <w:gridSpan w:val="4"/>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76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80" w:type="dxa"/>
            <w:vAlign w:val="bottom"/>
          </w:tcPr>
          <w:p>
            <w:pPr>
              <w:spacing w:after="0"/>
              <w:rPr>
                <w:sz w:val="6"/>
                <w:szCs w:val="6"/>
                <w:color w:val="auto"/>
              </w:rPr>
            </w:pPr>
          </w:p>
        </w:tc>
        <w:tc>
          <w:tcPr>
            <w:tcW w:w="1100" w:type="dxa"/>
            <w:vAlign w:val="bottom"/>
            <w:gridSpan w:val="5"/>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7"/>
                <w:szCs w:val="17"/>
                <w:color w:val="0000FF"/>
              </w:rPr>
              <w:t>Class C Common Stock</w:t>
            </w:r>
          </w:p>
        </w:tc>
        <w:tc>
          <w:tcPr>
            <w:tcW w:w="1720" w:type="dxa"/>
            <w:vAlign w:val="bottom"/>
            <w:gridSpan w:val="4"/>
            <w:vMerge w:val="restart"/>
          </w:tcPr>
          <w:p>
            <w:pPr>
              <w:ind w:left="720"/>
              <w:spacing w:after="0"/>
              <w:rPr>
                <w:sz w:val="20"/>
                <w:szCs w:val="20"/>
                <w:color w:val="auto"/>
              </w:rPr>
            </w:pPr>
            <w:r>
              <w:rPr>
                <w:rFonts w:ascii="Arial" w:cs="Arial" w:eastAsia="Arial" w:hAnsi="Arial"/>
                <w:sz w:val="17"/>
                <w:szCs w:val="17"/>
                <w:color w:val="0000FF"/>
              </w:rPr>
              <w:t>10/25/2020</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restart"/>
          </w:tcPr>
          <w:p>
            <w:pPr>
              <w:ind w:left="6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w:t>
            </w:r>
          </w:p>
        </w:tc>
        <w:tc>
          <w:tcPr>
            <w:tcW w:w="760" w:type="dxa"/>
            <w:vAlign w:val="bottom"/>
            <w:vMerge w:val="restart"/>
          </w:tcPr>
          <w:p>
            <w:pPr>
              <w:ind w:left="140"/>
              <w:spacing w:after="0"/>
              <w:rPr>
                <w:sz w:val="20"/>
                <w:szCs w:val="20"/>
                <w:color w:val="auto"/>
              </w:rPr>
            </w:pPr>
            <w:r>
              <w:rPr>
                <w:rFonts w:ascii="Arial" w:cs="Arial" w:eastAsia="Arial" w:hAnsi="Arial"/>
                <w:sz w:val="17"/>
                <w:szCs w:val="17"/>
                <w:color w:val="0000FF"/>
              </w:rPr>
              <w:t>4,520</w:t>
            </w:r>
          </w:p>
        </w:tc>
        <w:tc>
          <w:tcPr>
            <w:tcW w:w="50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340" w:type="dxa"/>
            <w:vAlign w:val="bottom"/>
            <w:vMerge w:val="restart"/>
          </w:tcPr>
          <w:p>
            <w:pPr>
              <w:ind w:left="180"/>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7"/>
                <w:szCs w:val="17"/>
                <w:color w:val="0000FF"/>
              </w:rPr>
              <w:t>15,424</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00" w:type="dxa"/>
            <w:vAlign w:val="bottom"/>
            <w:gridSpan w:val="5"/>
            <w:vMerge w:val="continue"/>
          </w:tcPr>
          <w:p>
            <w:pPr>
              <w:spacing w:after="0"/>
              <w:rPr>
                <w:sz w:val="9"/>
                <w:szCs w:val="9"/>
                <w:color w:val="auto"/>
              </w:rPr>
            </w:pPr>
          </w:p>
        </w:tc>
        <w:tc>
          <w:tcPr>
            <w:tcW w:w="1720" w:type="dxa"/>
            <w:vAlign w:val="bottom"/>
            <w:gridSpan w:val="4"/>
            <w:vMerge w:val="continue"/>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640" w:type="dxa"/>
            <w:vAlign w:val="bottom"/>
            <w:tcBorders>
              <w:top w:val="single" w:sz="8" w:color="2C2C2C"/>
            </w:tcBorders>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70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3"/>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20" w:type="dxa"/>
            <w:vAlign w:val="bottom"/>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4"/>
              </w:rPr>
              <w:t>Owned</w:t>
            </w:r>
          </w:p>
        </w:tc>
        <w:tc>
          <w:tcPr>
            <w:tcW w:w="340" w:type="dxa"/>
            <w:vAlign w:val="bottom"/>
          </w:tcPr>
          <w:p>
            <w:pPr>
              <w:spacing w:after="0"/>
              <w:rPr>
                <w:sz w:val="11"/>
                <w:szCs w:val="11"/>
                <w:color w:val="auto"/>
              </w:rPr>
            </w:pP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3"/>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w w:val="98"/>
              </w:rPr>
              <w:t>Expiration</w:t>
            </w:r>
          </w:p>
        </w:tc>
        <w:tc>
          <w:tcPr>
            <w:tcW w:w="50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3760" w:type="dxa"/>
            <w:vAlign w:val="bottom"/>
            <w:tcBorders>
              <w:bottom w:val="single" w:sz="8" w:color="2C2C2C"/>
            </w:tcBorders>
            <w:gridSpan w:val="7"/>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8"/>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Global Infrastructure Investors III, LLC</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8"/>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Global Infrastructure GP III, L.P.</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8"/>
          </w:tcPr>
          <w:p>
            <w:pPr>
              <w:spacing w:after="0"/>
              <w:rPr>
                <w:sz w:val="20"/>
                <w:szCs w:val="20"/>
                <w:color w:val="auto"/>
              </w:rPr>
            </w:pPr>
            <w:r>
              <w:rPr>
                <w:rFonts w:ascii="Arial" w:cs="Arial" w:eastAsia="Arial" w:hAnsi="Arial"/>
                <w:sz w:val="17"/>
                <w:szCs w:val="17"/>
                <w:color w:val="0000FF"/>
              </w:rPr>
              <w:t>1345 AVENUE OF THE AMERICAS, 30TH FLOOR</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9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1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2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7"/>
                <w:szCs w:val="17"/>
                <w:color w:val="0000FF"/>
              </w:rPr>
              <w:t>NY</w:t>
            </w:r>
          </w:p>
        </w:tc>
        <w:tc>
          <w:tcPr>
            <w:tcW w:w="1340" w:type="dxa"/>
            <w:vAlign w:val="bottom"/>
          </w:tcPr>
          <w:p>
            <w:pPr>
              <w:ind w:left="500"/>
              <w:spacing w:after="0"/>
              <w:rPr>
                <w:sz w:val="20"/>
                <w:szCs w:val="20"/>
                <w:color w:val="auto"/>
              </w:rPr>
            </w:pPr>
            <w:r>
              <w:rPr>
                <w:rFonts w:ascii="Arial" w:cs="Arial" w:eastAsia="Arial" w:hAnsi="Arial"/>
                <w:sz w:val="17"/>
                <w:szCs w:val="17"/>
                <w:color w:val="0000FF"/>
              </w:rPr>
              <w:t>10105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gridSpan w:val="3"/>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820" w:type="dxa"/>
            <w:vAlign w:val="bottom"/>
            <w:tcBorders>
              <w:bottom w:val="single" w:sz="8" w:color="2C2C2C"/>
            </w:tcBorders>
            <w:gridSpan w:val="8"/>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gridSpan w:val="7"/>
          </w:tcPr>
          <w:p>
            <w:pPr>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GIP III Zephyr Acquisition Partners L.P.</w:t>
              </w:r>
            </w:hyperlink>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420" w:type="dxa"/>
            <w:vAlign w:val="bottom"/>
            <w:tcBorders>
              <w:bottom w:val="single" w:sz="8" w:color="9A9A9A"/>
            </w:tcBorders>
            <w:gridSpan w:val="3"/>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Arial" w:cs="Arial" w:eastAsia="Arial" w:hAnsi="Arial"/>
                <w:sz w:val="13"/>
                <w:szCs w:val="13"/>
                <w:color w:val="auto"/>
              </w:rPr>
              <w:t>(First)</w:t>
            </w:r>
          </w:p>
        </w:tc>
        <w:tc>
          <w:tcPr>
            <w:tcW w:w="142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-7005320</wp:posOffset>
            </wp:positionV>
            <wp:extent cx="7031355" cy="7547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031355" cy="7547610"/>
                    </a:xfrm>
                    <a:prstGeom prst="rect">
                      <a:avLst/>
                    </a:prstGeom>
                    <a:noFill/>
                  </pic:spPr>
                </pic:pic>
              </a:graphicData>
            </a:graphic>
          </wp:anchor>
        </w:drawing>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1345 AVENUE OF THE AMERICAS, 30TH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143510</wp:posOffset>
            </wp:positionV>
            <wp:extent cx="264858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648585" cy="17145"/>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359"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0"/>
        </w:trPr>
        <w:tc>
          <w:tcPr>
            <w:tcW w:w="100" w:type="dxa"/>
            <w:vAlign w:val="bottom"/>
          </w:tcPr>
          <w:p>
            <w:pPr>
              <w:spacing w:after="0"/>
              <w:rPr>
                <w:sz w:val="19"/>
                <w:szCs w:val="19"/>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500" w:type="dxa"/>
            <w:vAlign w:val="bottom"/>
          </w:tcPr>
          <w:p>
            <w:pPr>
              <w:ind w:left="220"/>
              <w:spacing w:after="0"/>
              <w:rPr>
                <w:sz w:val="20"/>
                <w:szCs w:val="20"/>
                <w:color w:val="auto"/>
              </w:rPr>
            </w:pPr>
            <w:r>
              <w:rPr>
                <w:rFonts w:ascii="Arial" w:cs="Arial" w:eastAsia="Arial" w:hAnsi="Arial"/>
                <w:sz w:val="17"/>
                <w:szCs w:val="17"/>
                <w:color w:val="0000FF"/>
              </w:rPr>
              <w:t>NY</w:t>
            </w:r>
          </w:p>
        </w:tc>
        <w:tc>
          <w:tcPr>
            <w:tcW w:w="1480" w:type="dxa"/>
            <w:vAlign w:val="bottom"/>
          </w:tcPr>
          <w:p>
            <w:pPr>
              <w:ind w:left="120"/>
              <w:spacing w:after="0"/>
              <w:rPr>
                <w:sz w:val="20"/>
                <w:szCs w:val="20"/>
                <w:color w:val="auto"/>
              </w:rPr>
            </w:pPr>
            <w:r>
              <w:rPr>
                <w:rFonts w:ascii="Arial" w:cs="Arial" w:eastAsia="Arial" w:hAnsi="Arial"/>
                <w:sz w:val="17"/>
                <w:szCs w:val="17"/>
                <w:color w:val="0000FF"/>
              </w:rPr>
              <w:t>10105</w:t>
            </w:r>
          </w:p>
        </w:tc>
        <w:tc>
          <w:tcPr>
            <w:tcW w:w="100" w:type="dxa"/>
            <w:vAlign w:val="bottom"/>
          </w:tcPr>
          <w:p>
            <w:pPr>
              <w:spacing w:after="0"/>
              <w:rPr>
                <w:sz w:val="19"/>
                <w:szCs w:val="19"/>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00" w:type="dxa"/>
            <w:vAlign w:val="bottom"/>
          </w:tcPr>
          <w:p>
            <w:pPr>
              <w:ind w:left="220"/>
              <w:spacing w:after="0"/>
              <w:rPr>
                <w:sz w:val="20"/>
                <w:szCs w:val="20"/>
                <w:color w:val="auto"/>
              </w:rPr>
            </w:pPr>
            <w:r>
              <w:rPr>
                <w:rFonts w:ascii="Arial" w:cs="Arial" w:eastAsia="Arial" w:hAnsi="Arial"/>
                <w:sz w:val="13"/>
                <w:szCs w:val="13"/>
                <w:color w:val="auto"/>
              </w:rPr>
              <w:t>(State)</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8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72"/>
        </w:trPr>
        <w:tc>
          <w:tcPr>
            <w:tcW w:w="100" w:type="dxa"/>
            <w:vAlign w:val="bottom"/>
          </w:tcPr>
          <w:p>
            <w:pPr>
              <w:spacing w:after="0"/>
              <w:rPr>
                <w:sz w:val="23"/>
                <w:szCs w:val="23"/>
                <w:color w:val="auto"/>
              </w:rPr>
            </w:pPr>
          </w:p>
        </w:tc>
        <w:tc>
          <w:tcPr>
            <w:tcW w:w="2680" w:type="dxa"/>
            <w:vAlign w:val="bottom"/>
            <w:gridSpan w:val="2"/>
          </w:tcPr>
          <w:p>
            <w:pPr>
              <w:spacing w:after="0"/>
              <w:rPr>
                <w:rFonts w:ascii="Arial" w:cs="Arial" w:eastAsia="Arial" w:hAnsi="Arial"/>
                <w:sz w:val="21"/>
                <w:szCs w:val="21"/>
                <w:u w:val="single" w:color="auto"/>
                <w:color w:val="0000EE"/>
                <w:w w:val="99"/>
              </w:rPr>
            </w:pPr>
            <w:hyperlink r:id="rId19">
              <w:r>
                <w:rPr>
                  <w:rFonts w:ascii="Arial" w:cs="Arial" w:eastAsia="Arial" w:hAnsi="Arial"/>
                  <w:sz w:val="21"/>
                  <w:szCs w:val="21"/>
                  <w:u w:val="single" w:color="auto"/>
                  <w:color w:val="0000EE"/>
                  <w:w w:val="99"/>
                </w:rPr>
                <w:t>Clearway Energy Group LLC</w:t>
              </w:r>
            </w:hyperlink>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43"/>
        </w:trPr>
        <w:tc>
          <w:tcPr>
            <w:tcW w:w="10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500" w:type="dxa"/>
            <w:vAlign w:val="bottom"/>
            <w:tcBorders>
              <w:bottom w:val="single" w:sz="8" w:color="9A9A9A"/>
            </w:tcBorders>
          </w:tcPr>
          <w:p>
            <w:pPr>
              <w:spacing w:after="0"/>
              <w:rPr>
                <w:sz w:val="12"/>
                <w:szCs w:val="12"/>
                <w:color w:val="auto"/>
              </w:rPr>
            </w:pPr>
          </w:p>
        </w:tc>
        <w:tc>
          <w:tcPr>
            <w:tcW w:w="14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0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gridSpan w:val="2"/>
          </w:tcPr>
          <w:p>
            <w:pPr>
              <w:ind w:left="120"/>
              <w:spacing w:after="0"/>
              <w:rPr>
                <w:sz w:val="20"/>
                <w:szCs w:val="20"/>
                <w:color w:val="auto"/>
              </w:rPr>
            </w:pPr>
            <w:r>
              <w:rPr>
                <w:rFonts w:ascii="Arial" w:cs="Arial" w:eastAsia="Arial" w:hAnsi="Arial"/>
                <w:sz w:val="13"/>
                <w:szCs w:val="13"/>
                <w:color w:val="auto"/>
              </w:rPr>
              <w:t>(Middle)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-1141730</wp:posOffset>
            </wp:positionV>
            <wp:extent cx="2783840" cy="21577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2783840" cy="2157730"/>
                    </a:xfrm>
                    <a:prstGeom prst="rect">
                      <a:avLst/>
                    </a:prstGeom>
                    <a:noFill/>
                  </pic:spPr>
                </pic:pic>
              </a:graphicData>
            </a:graphic>
          </wp:anchor>
        </w:drawing>
      </w:r>
    </w:p>
    <w:p>
      <w:pPr>
        <w:spacing w:after="0" w:line="38"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1345 AVENUE OF THE AMERICAS, 30TH FLOOR</w:t>
      </w:r>
    </w:p>
    <w:p>
      <w:pPr>
        <w:spacing w:after="0" w:line="35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8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the forfeiture of shares of restricted stock of the Issuer previously granted by Clearway Energy Group LLC ("Clearway Energy Group") under its Long Term Equity Incentive Program to one of its employees.</w:t>
      </w:r>
    </w:p>
    <w:p>
      <w:pPr>
        <w:spacing w:after="0" w:line="15" w:lineRule="exact"/>
        <w:rPr>
          <w:rFonts w:ascii="Arial" w:cs="Arial" w:eastAsia="Arial" w:hAnsi="Arial"/>
          <w:sz w:val="13"/>
          <w:szCs w:val="13"/>
          <w:color w:val="008000"/>
        </w:rPr>
      </w:pPr>
    </w:p>
    <w:p>
      <w:pPr>
        <w:jc w:val="both"/>
        <w:ind w:left="20" w:right="80" w:firstLine="7"/>
        <w:spacing w:after="0" w:line="243"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Reflects securities held directly by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9" w:lineRule="exact"/>
        <w:rPr>
          <w:rFonts w:ascii="Arial" w:cs="Arial" w:eastAsia="Arial" w:hAnsi="Arial"/>
          <w:sz w:val="13"/>
          <w:szCs w:val="13"/>
          <w:color w:val="008000"/>
        </w:rPr>
      </w:pPr>
    </w:p>
    <w:p>
      <w:pPr>
        <w:ind w:left="160" w:hanging="133"/>
        <w:spacing w:after="0"/>
        <w:tabs>
          <w:tab w:leader="none" w:pos="16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and, pursuant to Rule 16a-1(a)</w:t>
      </w:r>
    </w:p>
    <w:p>
      <w:pPr>
        <w:spacing w:after="0" w:line="18" w:lineRule="exact"/>
        <w:rPr>
          <w:rFonts w:ascii="Arial" w:cs="Arial" w:eastAsia="Arial" w:hAnsi="Arial"/>
          <w:sz w:val="12"/>
          <w:szCs w:val="12"/>
          <w:color w:val="008000"/>
        </w:rPr>
      </w:pPr>
    </w:p>
    <w:p>
      <w:pPr>
        <w:ind w:left="20" w:right="280"/>
        <w:spacing w:after="0" w:line="250" w:lineRule="auto"/>
        <w:rPr>
          <w:rFonts w:ascii="Arial" w:cs="Arial" w:eastAsia="Arial" w:hAnsi="Arial"/>
          <w:sz w:val="12"/>
          <w:szCs w:val="12"/>
          <w:color w:val="008000"/>
        </w:rPr>
      </w:pPr>
      <w:r>
        <w:rPr>
          <w:rFonts w:ascii="Arial" w:cs="Arial" w:eastAsia="Arial" w:hAnsi="Arial"/>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31" w:right="519" w:bottom="1440" w:gutter="0" w:footer="0" w:header="0"/>
        </w:sectPr>
      </w:pPr>
    </w:p>
    <w:p>
      <w:pPr>
        <w:spacing w:after="0" w:line="52"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Jonathan 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2700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70000" cy="8255"/>
                    </a:xfrm>
                    <a:prstGeom prst="rect">
                      <a:avLst/>
                    </a:prstGeom>
                    <a:noFill/>
                  </pic:spPr>
                </pic:pic>
              </a:graphicData>
            </a:graphic>
          </wp:anchor>
        </w:drawing>
      </w:r>
    </w:p>
    <w:p>
      <w:pPr>
        <w:spacing w:after="0" w:line="5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4457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7696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93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064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5"/>
          <w:szCs w:val="15"/>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wp:posOffset>
            </wp:positionV>
            <wp:extent cx="135318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21"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188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11188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6"/>
          <w:szCs w:val="16"/>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31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6"/>
          <w:szCs w:val="16"/>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-5080</wp:posOffset>
            </wp:positionV>
            <wp:extent cx="13195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9"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52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17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44"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-8255</wp:posOffset>
            </wp:positionV>
            <wp:extent cx="106870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5" w:lineRule="exact"/>
        <w:rPr>
          <w:sz w:val="20"/>
          <w:szCs w:val="20"/>
          <w:color w:val="auto"/>
        </w:rPr>
      </w:pPr>
    </w:p>
    <w:p>
      <w:pPr>
        <w:ind w:left="6560"/>
        <w:spacing w:after="0"/>
        <w:rPr>
          <w:sz w:val="20"/>
          <w:szCs w:val="20"/>
          <w:color w:val="auto"/>
        </w:rPr>
      </w:pPr>
      <w:r>
        <w:rPr>
          <w:rFonts w:ascii="Arial" w:cs="Arial" w:eastAsia="Arial" w:hAnsi="Arial"/>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76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119761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99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13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961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829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5"/>
          <w:szCs w:val="15"/>
          <w:color w:val="0000FF"/>
        </w:rPr>
        <w:t>10/27/2020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5"/>
          <w:szCs w:val="15"/>
          <w:color w:val="0000FF"/>
        </w:rPr>
        <w:t>10/27/2020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5"/>
          <w:szCs w:val="15"/>
          <w:color w:val="0000FF"/>
        </w:rPr>
        <w:t>10/27/2020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5"/>
          <w:szCs w:val="15"/>
          <w:color w:val="0000FF"/>
        </w:rPr>
        <w:t>10/27/2020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28" w:lineRule="exact"/>
        <w:rPr>
          <w:sz w:val="20"/>
          <w:szCs w:val="20"/>
          <w:color w:val="auto"/>
        </w:rPr>
      </w:pPr>
    </w:p>
    <w:p>
      <w:pPr>
        <w:sectPr>
          <w:pgSz w:w="11900" w:h="16838" w:orient="portrait"/>
          <w:cols w:equalWidth="0" w:num="2">
            <w:col w:w="8700" w:space="60"/>
            <w:col w:w="2140"/>
          </w:cols>
          <w:pgMar w:left="480" w:top="131"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31"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13" Type="http://schemas.openxmlformats.org/officeDocument/2006/relationships/hyperlink" Target="http://www.sec.gov/cgi-bin/browse-edgar?action=getcompany&amp;CIK=0001747194" TargetMode="External"/><Relationship Id="rId14" Type="http://schemas.openxmlformats.org/officeDocument/2006/relationships/hyperlink" Target="http://www.sec.gov/cgi-bin/browse-edgar?action=getcompany&amp;CIK=0001567683" TargetMode="External"/><Relationship Id="rId15" Type="http://schemas.openxmlformats.org/officeDocument/2006/relationships/hyperlink" Target="http://www.sec.gov/cgi-bin/browse-edgar?action=getcompany&amp;CIK=0001747185" TargetMode="External"/><Relationship Id="rId16" Type="http://schemas.openxmlformats.org/officeDocument/2006/relationships/hyperlink" Target="http://www.sec.gov/cgi-bin/browse-edgar?action=getcompany&amp;CIK=0001752556" TargetMode="External"/><Relationship Id="rId19"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2020-10-27T18:27:31Z</dcterms:created>
  <dcterms:modified xsi:type="dcterms:W3CDTF">2020-10-27T18:27:31Z</dcterms:modified>
</cp:coreProperties>
</file>