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61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619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Murphy Michael Taft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300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vMerge w:val="restart"/>
          </w:tcPr>
          <w:p>
            <w:pPr>
              <w:ind w:left="1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97"/>
              </w:rPr>
              <w:t>X</w:t>
            </w:r>
          </w:p>
        </w:tc>
        <w:tc>
          <w:tcPr>
            <w:tcW w:w="1440" w:type="dxa"/>
            <w:vAlign w:val="bottom"/>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1440" w:type="dxa"/>
            <w:vAlign w:val="bottom"/>
          </w:tcPr>
          <w:p>
            <w:pPr>
              <w:ind w:left="18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12/01/2023</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CHIEF INVESTMENT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12/01/2023</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473</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30,492</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1,993 dividend equivalent rights that may only be settled in Class C Common Stock. There has been a de minimus adjustment of 1 share to the number of dividend equivalent rights as a result of rounding fractional shares.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12/05/2023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2383"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2023-12-05T15:34:54Z</dcterms:created>
  <dcterms:modified xsi:type="dcterms:W3CDTF">2023-12-05T15:34:54Z</dcterms:modified>
</cp:coreProperties>
</file>