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36" w:lineRule="exact"/>
        <w:rPr>
          <w:sz w:val="24"/>
          <w:szCs w:val="24"/>
          <w:color w:val="auto"/>
        </w:rPr>
      </w:pPr>
    </w:p>
    <w:p>
      <w:pPr>
        <w:ind w:left="860" w:hanging="353"/>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333-203369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13"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32-0407370</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413" w:right="339" w:bottom="1440" w:gutter="0" w:footer="0" w:header="0"/>
          <w:type w:val="continuous"/>
        </w:sectPr>
      </w:pPr>
    </w:p>
    <w:p>
      <w:pPr>
        <w:ind w:left="2160" w:right="100" w:hanging="1477"/>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93" w:lineRule="exact"/>
        <w:rPr>
          <w:sz w:val="24"/>
          <w:szCs w:val="24"/>
          <w:color w:val="auto"/>
        </w:rPr>
      </w:pPr>
    </w:p>
    <w:p>
      <w:pPr>
        <w:sectPr>
          <w:pgSz w:w="11900" w:h="16838" w:orient="portrait"/>
          <w:cols w:equalWidth="0" w:num="3">
            <w:col w:w="5120" w:space="720"/>
            <w:col w:w="2180" w:space="720"/>
            <w:col w:w="2500"/>
          </w:cols>
          <w:pgMar w:left="320" w:top="1413" w:right="3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22" w:lineRule="exact"/>
        <w:rPr>
          <w:sz w:val="24"/>
          <w:szCs w:val="24"/>
          <w:color w:val="auto"/>
        </w:rPr>
      </w:pPr>
    </w:p>
    <w:p>
      <w:pPr>
        <w:jc w:val="both"/>
        <w:ind w:firstLine="283"/>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01" w:lineRule="exact"/>
        <w:rPr>
          <w:sz w:val="24"/>
          <w:szCs w:val="24"/>
          <w:color w:val="auto"/>
        </w:rPr>
      </w:pPr>
    </w:p>
    <w:p>
      <w:pPr>
        <w:jc w:val="both"/>
        <w:ind w:firstLine="283"/>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0" w:lineRule="exact"/>
        <w:rPr>
          <w:sz w:val="24"/>
          <w:szCs w:val="24"/>
          <w:color w:val="auto"/>
        </w:rPr>
      </w:pPr>
    </w:p>
    <w:p>
      <w:pPr>
        <w:jc w:val="both"/>
        <w:ind w:firstLine="283"/>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6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97"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6"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6" w:lineRule="exact"/>
        <w:rPr>
          <w:sz w:val="24"/>
          <w:szCs w:val="24"/>
          <w:color w:val="auto"/>
        </w:rPr>
      </w:pPr>
    </w:p>
    <w:p>
      <w:pPr>
        <w:ind w:firstLine="283"/>
        <w:spacing w:after="0" w:line="275" w:lineRule="auto"/>
        <w:rPr>
          <w:sz w:val="20"/>
          <w:szCs w:val="20"/>
          <w:color w:val="auto"/>
        </w:rPr>
      </w:pPr>
      <w:r>
        <w:rPr>
          <w:rFonts w:ascii="Arial" w:cs="Arial" w:eastAsia="Arial" w:hAnsi="Arial"/>
          <w:sz w:val="16"/>
          <w:szCs w:val="16"/>
          <w:color w:val="auto"/>
        </w:rPr>
        <w:t>As of October 31, 2021, there were 34,599,645 Class A units outstanding, 42,738,750 Class B units outstanding, 81,664,108 Class C units outstanding, and 42,633,750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40" w:type="dxa"/>
            <w:vAlign w:val="bottom"/>
            <w:gridSpan w:val="5"/>
          </w:tcPr>
          <w:p>
            <w:pPr>
              <w:ind w:left="1100"/>
              <w:spacing w:after="0"/>
              <w:rPr>
                <w:sz w:val="20"/>
                <w:szCs w:val="20"/>
                <w:color w:val="auto"/>
              </w:rPr>
            </w:pPr>
            <w:r>
              <w:rPr>
                <w:rFonts w:ascii="Arial" w:cs="Arial" w:eastAsia="Arial" w:hAnsi="Arial"/>
                <w:sz w:val="18"/>
                <w:szCs w:val="18"/>
                <w:b w:val="1"/>
                <w:bCs w:val="1"/>
                <w:color w:val="auto"/>
              </w:rPr>
              <w:t>Index</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126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16"/>
          </w:tcPr>
          <w:p>
            <w:pPr>
              <w:spacing w:after="0"/>
              <w:rPr>
                <w:sz w:val="20"/>
                <w:szCs w:val="20"/>
                <w:color w:val="auto"/>
              </w:rPr>
            </w:pPr>
            <w:r>
              <w:rPr>
                <w:rFonts w:ascii="Arial" w:cs="Arial" w:eastAsia="Arial" w:hAnsi="Arial"/>
                <w:sz w:val="18"/>
                <w:szCs w:val="18"/>
                <w:b w:val="1"/>
                <w:bCs w:val="1"/>
                <w:color w:val="0000FF"/>
              </w:rPr>
              <w:t>GLOSSARY OF TERMS</w:t>
            </w:r>
          </w:p>
        </w:tc>
        <w:tc>
          <w:tcPr>
            <w:tcW w:w="3100" w:type="dxa"/>
            <w:vAlign w:val="bottom"/>
            <w:gridSpan w:val="4"/>
          </w:tcPr>
          <w:p>
            <w:pPr>
              <w:spacing w:after="0"/>
              <w:rPr>
                <w:sz w:val="18"/>
                <w:szCs w:val="18"/>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2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60" w:type="dxa"/>
            <w:vAlign w:val="bottom"/>
            <w:gridSpan w:val="14"/>
          </w:tcPr>
          <w:p>
            <w:pPr>
              <w:spacing w:after="0"/>
              <w:rPr>
                <w:sz w:val="20"/>
                <w:szCs w:val="20"/>
                <w:color w:val="auto"/>
              </w:rPr>
            </w:pPr>
            <w:r>
              <w:rPr>
                <w:rFonts w:ascii="Arial" w:cs="Arial" w:eastAsia="Arial" w:hAnsi="Arial"/>
                <w:sz w:val="18"/>
                <w:szCs w:val="18"/>
                <w:color w:val="0000FF"/>
                <w:w w:val="96"/>
              </w:rPr>
              <w:t>ITEM 1 — FINANCIAL STATEMENTS AND NOTES</w:t>
            </w:r>
          </w:p>
        </w:tc>
        <w:tc>
          <w:tcPr>
            <w:tcW w:w="5640" w:type="dxa"/>
            <w:vAlign w:val="bottom"/>
            <w:gridSpan w:val="5"/>
          </w:tcPr>
          <w:p>
            <w:pPr>
              <w:spacing w:after="0"/>
              <w:rPr>
                <w:sz w:val="18"/>
                <w:szCs w:val="18"/>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w:t>
            </w:r>
          </w:p>
        </w:tc>
        <w:tc>
          <w:tcPr>
            <w:tcW w:w="1080" w:type="dxa"/>
            <w:vAlign w:val="bottom"/>
            <w:vMerge w:val="restart"/>
          </w:tcPr>
          <w:p>
            <w:pPr>
              <w:spacing w:after="0"/>
              <w:rPr>
                <w:sz w:val="18"/>
                <w:szCs w:val="18"/>
                <w:color w:val="auto"/>
              </w:rPr>
            </w:pPr>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1"/>
              </w:rPr>
              <w:t>OPERATIONS</w:t>
            </w:r>
          </w:p>
        </w:tc>
        <w:tc>
          <w:tcPr>
            <w:tcW w:w="6460" w:type="dxa"/>
            <w:vAlign w:val="bottom"/>
            <w:tcBorders>
              <w:top w:val="single" w:sz="8" w:color="0000FF"/>
            </w:tcBorders>
            <w:gridSpan w:val="12"/>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3 — QUANTITATIVE AND QUALITATIVE DISCLOSURES ABOUT MARKET RISK</w:t>
            </w:r>
          </w:p>
        </w:tc>
        <w:tc>
          <w:tcPr>
            <w:tcW w:w="126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9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ITEM 4 — CONTROLS AND PROCEDURES</w:t>
            </w:r>
          </w:p>
        </w:tc>
        <w:tc>
          <w:tcPr>
            <w:tcW w:w="27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6940" w:type="dxa"/>
            <w:vAlign w:val="bottom"/>
            <w:gridSpan w:val="9"/>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59</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LEGAL PROCEEDINGS</w:t>
            </w:r>
          </w:p>
        </w:tc>
        <w:tc>
          <w:tcPr>
            <w:tcW w:w="126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1A — RISK FACTORS</w:t>
            </w:r>
          </w:p>
        </w:tc>
        <w:tc>
          <w:tcPr>
            <w:tcW w:w="6980" w:type="dxa"/>
            <w:vAlign w:val="bottom"/>
            <w:gridSpan w:val="11"/>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4"/>
              </w:rPr>
              <w:t>ITEM 2 — UNREGISTERED SALES OF EQUITY SECURITIES AND USE OF PROCEEDS</w:t>
            </w:r>
          </w:p>
        </w:tc>
        <w:tc>
          <w:tcPr>
            <w:tcW w:w="27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5640" w:type="dxa"/>
            <w:vAlign w:val="bottom"/>
            <w:gridSpan w:val="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4</w:t>
            </w:r>
          </w:p>
        </w:tc>
        <w:tc>
          <w:tcPr>
            <w:tcW w:w="9100" w:type="dxa"/>
            <w:vAlign w:val="bottom"/>
            <w:gridSpan w:val="18"/>
          </w:tcPr>
          <w:p>
            <w:pPr>
              <w:ind w:left="20"/>
              <w:spacing w:after="0"/>
              <w:rPr>
                <w:sz w:val="20"/>
                <w:szCs w:val="20"/>
                <w:color w:val="auto"/>
              </w:rPr>
            </w:pPr>
            <w:r>
              <w:rPr>
                <w:rFonts w:ascii="Arial" w:cs="Arial" w:eastAsia="Arial" w:hAnsi="Arial"/>
                <w:sz w:val="18"/>
                <w:szCs w:val="18"/>
                <w:color w:val="0000FF"/>
              </w:rPr>
              <w:t>— MINE SAFETY DISCLOSURES</w:t>
            </w:r>
          </w:p>
        </w:tc>
        <w:tc>
          <w:tcPr>
            <w:tcW w:w="126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8"/>
                <w:szCs w:val="18"/>
                <w:color w:val="0000FF"/>
                <w:w w:val="96"/>
              </w:rPr>
              <w:t>— OTHER INFORMATION</w:t>
            </w:r>
          </w:p>
        </w:tc>
        <w:tc>
          <w:tcPr>
            <w:tcW w:w="540" w:type="dxa"/>
            <w:vAlign w:val="bottom"/>
            <w:tcBorders>
              <w:top w:val="single" w:sz="8" w:color="0000FF"/>
            </w:tcBorders>
            <w:gridSpan w:val="3"/>
          </w:tcPr>
          <w:p>
            <w:pPr>
              <w:spacing w:after="0"/>
              <w:rPr>
                <w:sz w:val="18"/>
                <w:szCs w:val="18"/>
                <w:color w:val="auto"/>
              </w:rPr>
            </w:pPr>
          </w:p>
        </w:tc>
        <w:tc>
          <w:tcPr>
            <w:tcW w:w="642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6</w:t>
            </w:r>
          </w:p>
        </w:tc>
        <w:tc>
          <w:tcPr>
            <w:tcW w:w="9100" w:type="dxa"/>
            <w:vAlign w:val="bottom"/>
            <w:gridSpan w:val="18"/>
          </w:tcPr>
          <w:p>
            <w:pPr>
              <w:ind w:left="20"/>
              <w:spacing w:after="0"/>
              <w:rPr>
                <w:sz w:val="20"/>
                <w:szCs w:val="20"/>
                <w:color w:val="auto"/>
              </w:rPr>
            </w:pPr>
            <w:r>
              <w:rPr>
                <w:rFonts w:ascii="Arial" w:cs="Arial" w:eastAsia="Arial" w:hAnsi="Arial"/>
                <w:sz w:val="18"/>
                <w:szCs w:val="18"/>
                <w:color w:val="0000FF"/>
              </w:rPr>
              <w:t>— EXHIBITS</w:t>
            </w:r>
          </w:p>
        </w:tc>
        <w:tc>
          <w:tcPr>
            <w:tcW w:w="126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SIGNATURES</w:t>
            </w:r>
          </w:p>
        </w:tc>
        <w:tc>
          <w:tcPr>
            <w:tcW w:w="500" w:type="dxa"/>
            <w:vAlign w:val="bottom"/>
            <w:tcBorders>
              <w:top w:val="single" w:sz="8" w:color="0000FF"/>
            </w:tcBorders>
          </w:tcPr>
          <w:p>
            <w:pPr>
              <w:spacing w:after="0"/>
              <w:rPr>
                <w:sz w:val="18"/>
                <w:szCs w:val="18"/>
                <w:color w:val="auto"/>
              </w:rPr>
            </w:pPr>
          </w:p>
        </w:tc>
        <w:tc>
          <w:tcPr>
            <w:tcW w:w="8040" w:type="dxa"/>
            <w:vAlign w:val="bottom"/>
            <w:gridSpan w:val="1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2020, as well as the following:</w:t>
      </w:r>
    </w:p>
    <w:p>
      <w:pPr>
        <w:spacing w:after="0" w:line="1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COVID-19 (including any variant of the virus) or any other pandemic;</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2025 Senior Notes</w:t>
            </w:r>
          </w:p>
        </w:tc>
        <w:tc>
          <w:tcPr>
            <w:tcW w:w="8580" w:type="dxa"/>
            <w:vAlign w:val="bottom"/>
          </w:tcPr>
          <w:p>
            <w:pPr>
              <w:ind w:left="240"/>
              <w:spacing w:after="0" w:line="202" w:lineRule="exact"/>
              <w:rPr>
                <w:sz w:val="20"/>
                <w:szCs w:val="20"/>
                <w:color w:val="auto"/>
              </w:rPr>
            </w:pPr>
            <w:r>
              <w:rPr>
                <w:rFonts w:ascii="Arial" w:cs="Arial" w:eastAsia="Arial" w:hAnsi="Arial"/>
                <w:sz w:val="18"/>
                <w:szCs w:val="18"/>
                <w:color w:val="auto"/>
                <w:w w:val="91"/>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 which were repaid in March 2021</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2026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 which were repaid in October 2021</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2028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2031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$925 million aggregate principal amount of 3.750% unsecured senior notes due 2031, issued by Clearway Energy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2032 Senior Notes</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$350 million aggregate principal amount of 3.750% unsecured senior notes due 2032, issued by Clearway Energy</w:t>
            </w: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4"/>
        </w:trPr>
        <w:tc>
          <w:tcPr>
            <w:tcW w:w="2660" w:type="dxa"/>
            <w:vAlign w:val="bottom"/>
            <w:vMerge w:val="continue"/>
          </w:tcPr>
          <w:p>
            <w:pPr>
              <w:spacing w:after="0"/>
              <w:rPr>
                <w:sz w:val="18"/>
                <w:szCs w:val="18"/>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w w:val="94"/>
              </w:rPr>
              <w:t>A  non-GAAP  measure,  represents  earnings  before  interest  (including  loss  on  debt  extinguishment),  tax,</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8580" w:type="dxa"/>
            <w:vAlign w:val="bottom"/>
          </w:tcPr>
          <w:p>
            <w:pPr>
              <w:ind w:left="240"/>
              <w:spacing w:after="0" w:line="202" w:lineRule="exact"/>
              <w:rPr>
                <w:sz w:val="20"/>
                <w:szCs w:val="20"/>
                <w:color w:val="auto"/>
              </w:rPr>
            </w:pPr>
            <w:r>
              <w:rPr>
                <w:rFonts w:ascii="Arial" w:cs="Arial" w:eastAsia="Arial" w:hAnsi="Arial"/>
                <w:sz w:val="18"/>
                <w:szCs w:val="18"/>
                <w:color w:val="auto"/>
                <w:w w:val="92"/>
              </w:rPr>
              <w:t>depreciation and amortization adjusted for mark-to-market gains or losses, asset write offs and impairments;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AOCL</w:t>
            </w:r>
          </w:p>
        </w:tc>
        <w:tc>
          <w:tcPr>
            <w:tcW w:w="85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351"/>
        </w:trPr>
        <w:tc>
          <w:tcPr>
            <w:tcW w:w="2660" w:type="dxa"/>
            <w:vAlign w:val="bottom"/>
          </w:tcPr>
          <w:p>
            <w:pPr>
              <w:ind w:left="20"/>
              <w:spacing w:after="0"/>
              <w:rPr>
                <w:sz w:val="20"/>
                <w:szCs w:val="20"/>
                <w:color w:val="auto"/>
              </w:rPr>
            </w:pPr>
            <w:r>
              <w:rPr>
                <w:rFonts w:ascii="Arial" w:cs="Arial" w:eastAsia="Arial" w:hAnsi="Arial"/>
                <w:sz w:val="18"/>
                <w:szCs w:val="18"/>
                <w:color w:val="auto"/>
              </w:rPr>
              <w:t>ASC</w:t>
            </w:r>
          </w:p>
        </w:tc>
        <w:tc>
          <w:tcPr>
            <w:tcW w:w="8580" w:type="dxa"/>
            <w:vAlign w:val="bottom"/>
          </w:tcPr>
          <w:p>
            <w:pPr>
              <w:ind w:left="24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ASU</w:t>
            </w:r>
          </w:p>
        </w:tc>
        <w:tc>
          <w:tcPr>
            <w:tcW w:w="8580" w:type="dxa"/>
            <w:vAlign w:val="bottom"/>
          </w:tcPr>
          <w:p>
            <w:pPr>
              <w:ind w:left="24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ATM Programs</w:t>
            </w:r>
          </w:p>
        </w:tc>
        <w:tc>
          <w:tcPr>
            <w:tcW w:w="8580" w:type="dxa"/>
            <w:vAlign w:val="bottom"/>
          </w:tcPr>
          <w:p>
            <w:pPr>
              <w:ind w:left="240"/>
              <w:spacing w:after="0"/>
              <w:rPr>
                <w:sz w:val="20"/>
                <w:szCs w:val="20"/>
                <w:color w:val="auto"/>
              </w:rPr>
            </w:pPr>
            <w:r>
              <w:rPr>
                <w:rFonts w:ascii="Arial" w:cs="Arial" w:eastAsia="Arial" w:hAnsi="Arial"/>
                <w:sz w:val="18"/>
                <w:szCs w:val="18"/>
                <w:color w:val="auto"/>
              </w:rPr>
              <w:t>At-The-Market Equity Offering Programs</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A non-GAAP measure, Cash Available for Distribution is defined as of September 30, 2021 as Adjusted EBITDA</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plus cash distributions/return of investment from unconsolidated affiliates, adjustments to reflect CAFD generated</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by unconsolidated investments that were not able to distribute project dividends prior to PG&amp;E's emergence from</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bankruptcy on July 1, 2020 and subsequent release post-bankruptcy, cash receipts from notes receivable, cash</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7"/>
              </w:rPr>
              <w:t>distributions from noncontrolling interests, adjustments to reflect sales-type lease cash payments, less cash</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8"/>
              </w:rPr>
              <w:t>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1"/>
              </w:rPr>
              <w:t>unconsolidated affiliates, cash interest paid, income taxes paid, principal amortization of indebtedness, changes in</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prepaid and accrued capacity payments, and adjusted for development expenses</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CEG</w:t>
            </w:r>
          </w:p>
        </w:tc>
        <w:tc>
          <w:tcPr>
            <w:tcW w:w="8580" w:type="dxa"/>
            <w:vAlign w:val="bottom"/>
          </w:tcPr>
          <w:p>
            <w:pPr>
              <w:ind w:left="24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w w:val="98"/>
              </w:rPr>
              <w:t>CEG Master Services Agreement</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Energy, Inc.,</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Clearway Energy Operating LLC and CEG</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CEG ROFO Agreement</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4"/>
              </w:rPr>
              <w:t>and Clearway Energy, Inc., and solely for purposes of Section 2.4, GIP III Zephyr Acquisition Partners, L.P., as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3"/>
              </w:rPr>
              <w:t>amended by the First Amendment dated February 14, 2019, the Second Amendment dated August 1, 2019, the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8"/>
              </w:rPr>
              <w:t>Third Amendment dated December 6, 2019, the Fourth Amendment dated November 2, 2020 and the Fifth</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Amendment dated August 2, 2021</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tcPr>
          <w:p>
            <w:pPr>
              <w:ind w:left="240"/>
              <w:spacing w:after="0"/>
              <w:rPr>
                <w:sz w:val="20"/>
                <w:szCs w:val="20"/>
                <w:color w:val="auto"/>
              </w:rPr>
            </w:pPr>
            <w:r>
              <w:rPr>
                <w:rFonts w:ascii="Arial" w:cs="Arial" w:eastAsia="Arial" w:hAnsi="Arial"/>
                <w:sz w:val="18"/>
                <w:szCs w:val="18"/>
                <w:color w:val="auto"/>
              </w:rPr>
              <w:t>The Coronavirus Aid, Relief, and Economic Security Act</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LLC</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0"/>
              </w:rPr>
              <w:t>B and Class D units of the Company, and Clearway Energy, Inc., the holder of the Company's Class A and Class C</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units</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0"/>
              </w:rPr>
              <w:t>The holder of all of Clearway Energy, Inc.'s Class B and Class D common stock, the Company's Class B and Class</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w w:val="92"/>
              </w:rPr>
              <w:t>D units and, from time to time, possibly shares of Clearway Energy, Inc.’s Class A and/or Class C common stock</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80" w:type="dxa"/>
            <w:vAlign w:val="bottom"/>
          </w:tcPr>
          <w:p>
            <w:pPr>
              <w:ind w:left="240"/>
              <w:spacing w:after="0"/>
              <w:rPr>
                <w:sz w:val="20"/>
                <w:szCs w:val="20"/>
                <w:color w:val="auto"/>
              </w:rPr>
            </w:pPr>
            <w:r>
              <w:rPr>
                <w:rFonts w:ascii="Arial" w:cs="Arial" w:eastAsia="Arial" w:hAnsi="Arial"/>
                <w:sz w:val="18"/>
                <w:szCs w:val="18"/>
                <w:color w:val="auto"/>
              </w:rPr>
              <w:t>The holder of the project assets that are owned by the Company</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COD</w:t>
            </w:r>
          </w:p>
        </w:tc>
        <w:tc>
          <w:tcPr>
            <w:tcW w:w="8580" w:type="dxa"/>
            <w:vAlign w:val="bottom"/>
          </w:tcPr>
          <w:p>
            <w:pPr>
              <w:ind w:left="24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tcPr>
          <w:p>
            <w:pPr>
              <w:ind w:left="24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CVSR</w:t>
            </w:r>
          </w:p>
        </w:tc>
        <w:tc>
          <w:tcPr>
            <w:tcW w:w="8580" w:type="dxa"/>
            <w:vAlign w:val="bottom"/>
          </w:tcPr>
          <w:p>
            <w:pPr>
              <w:ind w:left="24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80" w:type="dxa"/>
            <w:vAlign w:val="bottom"/>
          </w:tcPr>
          <w:p>
            <w:pPr>
              <w:ind w:left="24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80" w:type="dxa"/>
            <w:vAlign w:val="bottom"/>
          </w:tcPr>
          <w:p>
            <w:pPr>
              <w:ind w:left="240"/>
              <w:spacing w:after="0" w:line="176" w:lineRule="exact"/>
              <w:rPr>
                <w:sz w:val="20"/>
                <w:szCs w:val="20"/>
                <w:color w:val="auto"/>
              </w:rPr>
            </w:pPr>
            <w:r>
              <w:rPr>
                <w:rFonts w:ascii="Arial" w:cs="Arial" w:eastAsia="Arial" w:hAnsi="Arial"/>
                <w:sz w:val="18"/>
                <w:szCs w:val="18"/>
                <w:color w:val="auto"/>
                <w:w w:val="92"/>
              </w:rPr>
              <w:t>Solar power projects, typically less than 20 MW in size (on an alternating current, or AC, basis), that primarily sell</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w w:val="93"/>
              </w:rPr>
              <w:t>power produced to customers for usage on site, or are interconnected to sell power into the local distribution grid</w:t>
            </w:r>
          </w:p>
        </w:tc>
        <w:tc>
          <w:tcPr>
            <w:tcW w:w="0" w:type="dxa"/>
            <w:vAlign w:val="bottom"/>
          </w:tcPr>
          <w:p>
            <w:pPr>
              <w:spacing w:after="0"/>
              <w:rPr>
                <w:sz w:val="1"/>
                <w:szCs w:val="1"/>
                <w:color w:val="auto"/>
              </w:rPr>
            </w:pPr>
          </w:p>
        </w:tc>
      </w:tr>
      <w:tr>
        <w:trPr>
          <w:trHeight w:val="863"/>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Drop Down Assets</w:t>
            </w:r>
          </w:p>
        </w:tc>
        <w:tc>
          <w:tcPr>
            <w:tcW w:w="9020" w:type="dxa"/>
            <w:vAlign w:val="bottom"/>
          </w:tcPr>
          <w:p>
            <w:pPr>
              <w:ind w:left="700"/>
              <w:spacing w:after="0"/>
              <w:rPr>
                <w:sz w:val="20"/>
                <w:szCs w:val="20"/>
                <w:color w:val="auto"/>
              </w:rPr>
            </w:pPr>
            <w:r>
              <w:rPr>
                <w:rFonts w:ascii="Arial" w:cs="Arial" w:eastAsia="Arial" w:hAnsi="Arial"/>
                <w:sz w:val="18"/>
                <w:szCs w:val="18"/>
                <w:color w:val="auto"/>
                <w:w w:val="91"/>
              </w:rPr>
              <w:t>Collectively, assets under common control acquired by the Company from NRG from January 1, 2014 through the</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9020" w:type="dxa"/>
            <w:vAlign w:val="bottom"/>
          </w:tcPr>
          <w:p>
            <w:pPr>
              <w:ind w:left="700"/>
              <w:spacing w:after="0"/>
              <w:rPr>
                <w:sz w:val="20"/>
                <w:szCs w:val="20"/>
                <w:color w:val="auto"/>
              </w:rPr>
            </w:pPr>
            <w:r>
              <w:rPr>
                <w:rFonts w:ascii="Arial" w:cs="Arial" w:eastAsia="Arial" w:hAnsi="Arial"/>
                <w:sz w:val="18"/>
                <w:szCs w:val="18"/>
                <w:color w:val="auto"/>
                <w:w w:val="90"/>
              </w:rPr>
              <w:t>period ended August 31, 2018 and from CEG from August 31, 2018 through the period ended September 30, 2021</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Exchange Act</w:t>
            </w:r>
          </w:p>
        </w:tc>
        <w:tc>
          <w:tcPr>
            <w:tcW w:w="9020" w:type="dxa"/>
            <w:vAlign w:val="bottom"/>
          </w:tcPr>
          <w:p>
            <w:pPr>
              <w:ind w:left="70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FASB</w:t>
            </w:r>
          </w:p>
        </w:tc>
        <w:tc>
          <w:tcPr>
            <w:tcW w:w="9020" w:type="dxa"/>
            <w:vAlign w:val="bottom"/>
          </w:tcPr>
          <w:p>
            <w:pPr>
              <w:ind w:left="70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GAAP</w:t>
            </w:r>
          </w:p>
        </w:tc>
        <w:tc>
          <w:tcPr>
            <w:tcW w:w="9020" w:type="dxa"/>
            <w:vAlign w:val="bottom"/>
          </w:tcPr>
          <w:p>
            <w:pPr>
              <w:ind w:left="70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GenConn</w:t>
            </w:r>
          </w:p>
        </w:tc>
        <w:tc>
          <w:tcPr>
            <w:tcW w:w="9020" w:type="dxa"/>
            <w:vAlign w:val="bottom"/>
          </w:tcPr>
          <w:p>
            <w:pPr>
              <w:ind w:left="70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GIP</w:t>
            </w:r>
          </w:p>
        </w:tc>
        <w:tc>
          <w:tcPr>
            <w:tcW w:w="9020" w:type="dxa"/>
            <w:vAlign w:val="bottom"/>
            <w:vMerge w:val="restart"/>
          </w:tcPr>
          <w:p>
            <w:pPr>
              <w:ind w:left="70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HLBV</w:t>
            </w:r>
          </w:p>
        </w:tc>
        <w:tc>
          <w:tcPr>
            <w:tcW w:w="9020" w:type="dxa"/>
            <w:vAlign w:val="bottom"/>
          </w:tcPr>
          <w:p>
            <w:pPr>
              <w:ind w:left="70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LIBOR</w:t>
            </w:r>
          </w:p>
        </w:tc>
        <w:tc>
          <w:tcPr>
            <w:tcW w:w="9020" w:type="dxa"/>
            <w:vAlign w:val="bottom"/>
          </w:tcPr>
          <w:p>
            <w:pPr>
              <w:ind w:left="70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MBTA</w:t>
            </w:r>
          </w:p>
        </w:tc>
        <w:tc>
          <w:tcPr>
            <w:tcW w:w="9020" w:type="dxa"/>
            <w:vAlign w:val="bottom"/>
          </w:tcPr>
          <w:p>
            <w:pPr>
              <w:ind w:left="70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Mesquite Star</w:t>
            </w:r>
          </w:p>
        </w:tc>
        <w:tc>
          <w:tcPr>
            <w:tcW w:w="9020" w:type="dxa"/>
            <w:vAlign w:val="bottom"/>
          </w:tcPr>
          <w:p>
            <w:pPr>
              <w:ind w:left="700"/>
              <w:spacing w:after="0"/>
              <w:rPr>
                <w:sz w:val="20"/>
                <w:szCs w:val="20"/>
                <w:color w:val="auto"/>
              </w:rPr>
            </w:pPr>
            <w:r>
              <w:rPr>
                <w:rFonts w:ascii="Arial" w:cs="Arial" w:eastAsia="Arial" w:hAnsi="Arial"/>
                <w:sz w:val="18"/>
                <w:szCs w:val="18"/>
                <w:color w:val="auto"/>
              </w:rPr>
              <w:t>Mesquite Star Special LLC</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MMBtu</w:t>
            </w:r>
          </w:p>
        </w:tc>
        <w:tc>
          <w:tcPr>
            <w:tcW w:w="9020" w:type="dxa"/>
            <w:vAlign w:val="bottom"/>
          </w:tcPr>
          <w:p>
            <w:pPr>
              <w:ind w:left="70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Mt. Storm</w:t>
            </w:r>
          </w:p>
        </w:tc>
        <w:tc>
          <w:tcPr>
            <w:tcW w:w="9020" w:type="dxa"/>
            <w:vAlign w:val="bottom"/>
          </w:tcPr>
          <w:p>
            <w:pPr>
              <w:ind w:left="700"/>
              <w:spacing w:after="0"/>
              <w:rPr>
                <w:sz w:val="20"/>
                <w:szCs w:val="20"/>
                <w:color w:val="auto"/>
              </w:rPr>
            </w:pPr>
            <w:r>
              <w:rPr>
                <w:rFonts w:ascii="Arial" w:cs="Arial" w:eastAsia="Arial" w:hAnsi="Arial"/>
                <w:sz w:val="18"/>
                <w:szCs w:val="18"/>
                <w:color w:val="auto"/>
              </w:rPr>
              <w:t>NedPower Mount Storm LLC</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MW</w:t>
            </w:r>
          </w:p>
        </w:tc>
        <w:tc>
          <w:tcPr>
            <w:tcW w:w="9020" w:type="dxa"/>
            <w:vAlign w:val="bottom"/>
          </w:tcPr>
          <w:p>
            <w:pPr>
              <w:ind w:left="70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MWh</w:t>
            </w:r>
          </w:p>
        </w:tc>
        <w:tc>
          <w:tcPr>
            <w:tcW w:w="9020" w:type="dxa"/>
            <w:vAlign w:val="bottom"/>
          </w:tcPr>
          <w:p>
            <w:pPr>
              <w:ind w:left="70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MWt</w:t>
            </w:r>
          </w:p>
        </w:tc>
        <w:tc>
          <w:tcPr>
            <w:tcW w:w="9020" w:type="dxa"/>
            <w:vAlign w:val="bottom"/>
          </w:tcPr>
          <w:p>
            <w:pPr>
              <w:ind w:left="70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Net Exposure</w:t>
            </w:r>
          </w:p>
        </w:tc>
        <w:tc>
          <w:tcPr>
            <w:tcW w:w="9020" w:type="dxa"/>
            <w:vAlign w:val="bottom"/>
          </w:tcPr>
          <w:p>
            <w:pPr>
              <w:ind w:left="70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NOLs</w:t>
            </w:r>
          </w:p>
        </w:tc>
        <w:tc>
          <w:tcPr>
            <w:tcW w:w="9020" w:type="dxa"/>
            <w:vAlign w:val="bottom"/>
          </w:tcPr>
          <w:p>
            <w:pPr>
              <w:ind w:left="70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NPPD</w:t>
            </w:r>
          </w:p>
        </w:tc>
        <w:tc>
          <w:tcPr>
            <w:tcW w:w="9020" w:type="dxa"/>
            <w:vAlign w:val="bottom"/>
          </w:tcPr>
          <w:p>
            <w:pPr>
              <w:ind w:left="70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NRG</w:t>
            </w:r>
          </w:p>
        </w:tc>
        <w:tc>
          <w:tcPr>
            <w:tcW w:w="9020" w:type="dxa"/>
            <w:vAlign w:val="bottom"/>
          </w:tcPr>
          <w:p>
            <w:pPr>
              <w:ind w:left="70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OCL</w:t>
            </w:r>
          </w:p>
        </w:tc>
        <w:tc>
          <w:tcPr>
            <w:tcW w:w="902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O&amp;M</w:t>
            </w:r>
          </w:p>
        </w:tc>
        <w:tc>
          <w:tcPr>
            <w:tcW w:w="9020" w:type="dxa"/>
            <w:vAlign w:val="bottom"/>
          </w:tcPr>
          <w:p>
            <w:pPr>
              <w:ind w:left="70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PG&amp;E</w:t>
            </w:r>
          </w:p>
        </w:tc>
        <w:tc>
          <w:tcPr>
            <w:tcW w:w="9020" w:type="dxa"/>
            <w:vAlign w:val="bottom"/>
          </w:tcPr>
          <w:p>
            <w:pPr>
              <w:ind w:left="70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PPA</w:t>
            </w:r>
          </w:p>
        </w:tc>
        <w:tc>
          <w:tcPr>
            <w:tcW w:w="9020" w:type="dxa"/>
            <w:vAlign w:val="bottom"/>
          </w:tcPr>
          <w:p>
            <w:pPr>
              <w:ind w:left="7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RENOM</w:t>
            </w:r>
          </w:p>
        </w:tc>
        <w:tc>
          <w:tcPr>
            <w:tcW w:w="9020" w:type="dxa"/>
            <w:vAlign w:val="bottom"/>
          </w:tcPr>
          <w:p>
            <w:pPr>
              <w:ind w:left="70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RPV Holdco</w:t>
            </w:r>
          </w:p>
        </w:tc>
        <w:tc>
          <w:tcPr>
            <w:tcW w:w="9020" w:type="dxa"/>
            <w:vAlign w:val="bottom"/>
          </w:tcPr>
          <w:p>
            <w:pPr>
              <w:ind w:left="70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SCE</w:t>
            </w:r>
          </w:p>
        </w:tc>
        <w:tc>
          <w:tcPr>
            <w:tcW w:w="9020" w:type="dxa"/>
            <w:vAlign w:val="bottom"/>
          </w:tcPr>
          <w:p>
            <w:pPr>
              <w:ind w:left="70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SEC</w:t>
            </w:r>
          </w:p>
        </w:tc>
        <w:tc>
          <w:tcPr>
            <w:tcW w:w="9020" w:type="dxa"/>
            <w:vAlign w:val="bottom"/>
          </w:tcPr>
          <w:p>
            <w:pPr>
              <w:ind w:left="70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Senior Notes</w:t>
            </w:r>
          </w:p>
        </w:tc>
        <w:tc>
          <w:tcPr>
            <w:tcW w:w="9020" w:type="dxa"/>
            <w:vAlign w:val="bottom"/>
          </w:tcPr>
          <w:p>
            <w:pPr>
              <w:ind w:left="700"/>
              <w:spacing w:after="0"/>
              <w:rPr>
                <w:sz w:val="20"/>
                <w:szCs w:val="20"/>
                <w:color w:val="auto"/>
              </w:rPr>
            </w:pPr>
            <w:r>
              <w:rPr>
                <w:rFonts w:ascii="Arial" w:cs="Arial" w:eastAsia="Arial" w:hAnsi="Arial"/>
                <w:sz w:val="18"/>
                <w:szCs w:val="18"/>
                <w:color w:val="auto"/>
                <w:w w:val="94"/>
              </w:rPr>
              <w:t>Collectively, the 2026 Senior Notes, the 2028 Senior Notes, the 2031 Senior Notes and the 2032 Senior Notes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SPP</w:t>
            </w:r>
          </w:p>
        </w:tc>
        <w:tc>
          <w:tcPr>
            <w:tcW w:w="9020" w:type="dxa"/>
            <w:vAlign w:val="bottom"/>
          </w:tcPr>
          <w:p>
            <w:pPr>
              <w:ind w:left="70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SREC</w:t>
            </w:r>
          </w:p>
        </w:tc>
        <w:tc>
          <w:tcPr>
            <w:tcW w:w="9020" w:type="dxa"/>
            <w:vAlign w:val="bottom"/>
          </w:tcPr>
          <w:p>
            <w:pPr>
              <w:ind w:left="70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Tax Act</w:t>
            </w:r>
          </w:p>
        </w:tc>
        <w:tc>
          <w:tcPr>
            <w:tcW w:w="9020" w:type="dxa"/>
            <w:vAlign w:val="bottom"/>
          </w:tcPr>
          <w:p>
            <w:pPr>
              <w:ind w:left="70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180" w:type="dxa"/>
            <w:vAlign w:val="bottom"/>
          </w:tcPr>
          <w:p>
            <w:pPr>
              <w:spacing w:after="0" w:line="176" w:lineRule="exact"/>
              <w:rPr>
                <w:sz w:val="20"/>
                <w:szCs w:val="20"/>
                <w:color w:val="auto"/>
              </w:rPr>
            </w:pPr>
            <w:r>
              <w:rPr>
                <w:rFonts w:ascii="Arial" w:cs="Arial" w:eastAsia="Arial" w:hAnsi="Arial"/>
                <w:sz w:val="18"/>
                <w:szCs w:val="18"/>
                <w:color w:val="auto"/>
              </w:rPr>
              <w:t>Thermal Business</w:t>
            </w:r>
          </w:p>
        </w:tc>
        <w:tc>
          <w:tcPr>
            <w:tcW w:w="9020" w:type="dxa"/>
            <w:vAlign w:val="bottom"/>
          </w:tcPr>
          <w:p>
            <w:pPr>
              <w:ind w:left="700"/>
              <w:spacing w:after="0" w:line="176" w:lineRule="exact"/>
              <w:rPr>
                <w:sz w:val="20"/>
                <w:szCs w:val="20"/>
                <w:color w:val="auto"/>
              </w:rPr>
            </w:pPr>
            <w:r>
              <w:rPr>
                <w:rFonts w:ascii="Arial" w:cs="Arial" w:eastAsia="Arial" w:hAnsi="Arial"/>
                <w:sz w:val="18"/>
                <w:szCs w:val="18"/>
                <w:color w:val="auto"/>
                <w:w w:val="94"/>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9020" w:type="dxa"/>
            <w:vAlign w:val="bottom"/>
          </w:tcPr>
          <w:p>
            <w:pPr>
              <w:ind w:left="700"/>
              <w:spacing w:after="0" w:line="176" w:lineRule="exact"/>
              <w:rPr>
                <w:sz w:val="20"/>
                <w:szCs w:val="20"/>
                <w:color w:val="auto"/>
              </w:rPr>
            </w:pPr>
            <w:r>
              <w:rPr>
                <w:rFonts w:ascii="Arial" w:cs="Arial" w:eastAsia="Arial" w:hAnsi="Arial"/>
                <w:sz w:val="18"/>
                <w:szCs w:val="18"/>
                <w:color w:val="auto"/>
                <w:w w:val="96"/>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9020" w:type="dxa"/>
            <w:vAlign w:val="bottom"/>
          </w:tcPr>
          <w:p>
            <w:pPr>
              <w:ind w:left="70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U.S.</w:t>
            </w:r>
          </w:p>
        </w:tc>
        <w:tc>
          <w:tcPr>
            <w:tcW w:w="9020" w:type="dxa"/>
            <w:vAlign w:val="bottom"/>
          </w:tcPr>
          <w:p>
            <w:pPr>
              <w:ind w:left="7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76"/>
        </w:trPr>
        <w:tc>
          <w:tcPr>
            <w:tcW w:w="2180" w:type="dxa"/>
            <w:vAlign w:val="bottom"/>
          </w:tcPr>
          <w:p>
            <w:pPr>
              <w:spacing w:after="0" w:line="176" w:lineRule="exact"/>
              <w:rPr>
                <w:sz w:val="20"/>
                <w:szCs w:val="20"/>
                <w:color w:val="auto"/>
              </w:rPr>
            </w:pPr>
            <w:r>
              <w:rPr>
                <w:rFonts w:ascii="Arial" w:cs="Arial" w:eastAsia="Arial" w:hAnsi="Arial"/>
                <w:sz w:val="18"/>
                <w:szCs w:val="18"/>
                <w:color w:val="auto"/>
              </w:rPr>
              <w:t>Utah Solar Portfolio</w:t>
            </w:r>
          </w:p>
        </w:tc>
        <w:tc>
          <w:tcPr>
            <w:tcW w:w="9020" w:type="dxa"/>
            <w:vAlign w:val="bottom"/>
          </w:tcPr>
          <w:p>
            <w:pPr>
              <w:ind w:left="700"/>
              <w:spacing w:after="0" w:line="176" w:lineRule="exact"/>
              <w:rPr>
                <w:sz w:val="20"/>
                <w:szCs w:val="20"/>
                <w:color w:val="auto"/>
              </w:rPr>
            </w:pPr>
            <w:r>
              <w:rPr>
                <w:rFonts w:ascii="Arial" w:cs="Arial" w:eastAsia="Arial" w:hAnsi="Arial"/>
                <w:sz w:val="18"/>
                <w:szCs w:val="18"/>
                <w:color w:val="auto"/>
                <w:w w:val="96"/>
              </w:rPr>
              <w:t>Collection consists of Four Brothers Solar, LLC, Granite Mountain Holdings, LLC, and Iron Springs Holdings,</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9020" w:type="dxa"/>
            <w:vAlign w:val="bottom"/>
          </w:tcPr>
          <w:p>
            <w:pPr>
              <w:ind w:left="700"/>
              <w:spacing w:after="0" w:line="176" w:lineRule="exact"/>
              <w:rPr>
                <w:sz w:val="20"/>
                <w:szCs w:val="20"/>
                <w:color w:val="auto"/>
              </w:rPr>
            </w:pPr>
            <w:r>
              <w:rPr>
                <w:rFonts w:ascii="Arial" w:cs="Arial" w:eastAsia="Arial" w:hAnsi="Arial"/>
                <w:sz w:val="18"/>
                <w:szCs w:val="18"/>
                <w:color w:val="auto"/>
                <w:w w:val="95"/>
              </w:rPr>
              <w:t>LLC, which are equity investments owned by Four Brothers Capital, LLC, Granite Mountain Capital, LLC, and</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9020" w:type="dxa"/>
            <w:vAlign w:val="bottom"/>
          </w:tcPr>
          <w:p>
            <w:pPr>
              <w:ind w:left="700"/>
              <w:spacing w:after="0"/>
              <w:rPr>
                <w:sz w:val="20"/>
                <w:szCs w:val="20"/>
                <w:color w:val="auto"/>
              </w:rPr>
            </w:pPr>
            <w:r>
              <w:rPr>
                <w:rFonts w:ascii="Arial" w:cs="Arial" w:eastAsia="Arial" w:hAnsi="Arial"/>
                <w:sz w:val="18"/>
                <w:szCs w:val="18"/>
                <w:color w:val="auto"/>
              </w:rPr>
              <w:t>Iron Springs Capital, LLC, respectively</w:t>
            </w:r>
          </w:p>
        </w:tc>
        <w:tc>
          <w:tcPr>
            <w:tcW w:w="0" w:type="dxa"/>
            <w:vAlign w:val="bottom"/>
          </w:tcPr>
          <w:p>
            <w:pPr>
              <w:spacing w:after="0"/>
              <w:rPr>
                <w:sz w:val="1"/>
                <w:szCs w:val="1"/>
                <w:color w:val="auto"/>
              </w:rPr>
            </w:pPr>
          </w:p>
        </w:tc>
      </w:tr>
      <w:tr>
        <w:trPr>
          <w:trHeight w:val="176"/>
        </w:trPr>
        <w:tc>
          <w:tcPr>
            <w:tcW w:w="2180" w:type="dxa"/>
            <w:vAlign w:val="bottom"/>
          </w:tcPr>
          <w:p>
            <w:pPr>
              <w:spacing w:after="0" w:line="176" w:lineRule="exact"/>
              <w:rPr>
                <w:sz w:val="20"/>
                <w:szCs w:val="20"/>
                <w:color w:val="auto"/>
              </w:rPr>
            </w:pPr>
            <w:r>
              <w:rPr>
                <w:rFonts w:ascii="Arial" w:cs="Arial" w:eastAsia="Arial" w:hAnsi="Arial"/>
                <w:sz w:val="18"/>
                <w:szCs w:val="18"/>
                <w:color w:val="auto"/>
              </w:rPr>
              <w:t>Utility Scale Solar</w:t>
            </w:r>
          </w:p>
        </w:tc>
        <w:tc>
          <w:tcPr>
            <w:tcW w:w="9020" w:type="dxa"/>
            <w:vAlign w:val="bottom"/>
          </w:tcPr>
          <w:p>
            <w:pPr>
              <w:ind w:left="700"/>
              <w:spacing w:after="0" w:line="176" w:lineRule="exact"/>
              <w:rPr>
                <w:sz w:val="20"/>
                <w:szCs w:val="20"/>
                <w:color w:val="auto"/>
              </w:rPr>
            </w:pPr>
            <w:r>
              <w:rPr>
                <w:rFonts w:ascii="Arial" w:cs="Arial" w:eastAsia="Arial" w:hAnsi="Arial"/>
                <w:sz w:val="18"/>
                <w:szCs w:val="18"/>
                <w:color w:val="auto"/>
                <w:w w:val="99"/>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9020" w:type="dxa"/>
            <w:vAlign w:val="bottom"/>
          </w:tcPr>
          <w:p>
            <w:pPr>
              <w:ind w:left="70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VaR</w:t>
            </w:r>
          </w:p>
        </w:tc>
        <w:tc>
          <w:tcPr>
            <w:tcW w:w="9020" w:type="dxa"/>
            <w:vAlign w:val="bottom"/>
          </w:tcPr>
          <w:p>
            <w:pPr>
              <w:ind w:left="70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VIE</w:t>
            </w:r>
          </w:p>
        </w:tc>
        <w:tc>
          <w:tcPr>
            <w:tcW w:w="9020" w:type="dxa"/>
            <w:vAlign w:val="bottom"/>
          </w:tcPr>
          <w:p>
            <w:pPr>
              <w:ind w:left="70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0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4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88"/>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351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140"/>
              <w:spacing w:after="0" w:line="176" w:lineRule="exact"/>
              <w:rPr>
                <w:sz w:val="20"/>
                <w:szCs w:val="20"/>
                <w:color w:val="auto"/>
              </w:rPr>
            </w:pPr>
            <w:r>
              <w:rPr>
                <w:rFonts w:ascii="Arial" w:cs="Arial" w:eastAsia="Arial" w:hAnsi="Arial"/>
                <w:sz w:val="18"/>
                <w:szCs w:val="18"/>
                <w:color w:val="auto"/>
                <w:w w:val="98"/>
              </w:rPr>
              <w:t>Cost of operations, exclusive of depreciation, amortization and accretion</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474747"/>
              </w:rPr>
              <w:t>117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474747"/>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Development costs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262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474747"/>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74747"/>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474747"/>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74747"/>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474747"/>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Less: Loss attributable to noncontrolling interests and redeemable interests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53"/>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55"/>
        </w:trPr>
        <w:tc>
          <w:tcPr>
            <w:tcW w:w="5840" w:type="dxa"/>
            <w:vAlign w:val="bottom"/>
          </w:tcPr>
          <w:p>
            <w:pPr>
              <w:ind w:left="20"/>
              <w:spacing w:after="0" w:line="156" w:lineRule="exact"/>
              <w:rPr>
                <w:sz w:val="20"/>
                <w:szCs w:val="20"/>
                <w:color w:val="auto"/>
              </w:rPr>
            </w:pPr>
            <w:r>
              <w:rPr>
                <w:rFonts w:ascii="Arial" w:cs="Arial" w:eastAsia="Arial" w:hAnsi="Arial"/>
                <w:sz w:val="18"/>
                <w:szCs w:val="18"/>
                <w:color w:val="auto"/>
              </w:rPr>
              <w:t>Less: Comprehensive loss attributable to noncontrolling interests and</w:t>
            </w:r>
          </w:p>
        </w:tc>
        <w:tc>
          <w:tcPr>
            <w:tcW w:w="1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center"/>
              <w:ind w:left="513"/>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redeemable interests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Clearway Energy LLC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97"/>
        </w:trPr>
        <w:tc>
          <w:tcPr>
            <w:tcW w:w="752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6"/>
                <w:szCs w:val="16"/>
                <w:color w:val="auto"/>
              </w:rPr>
              <w:t>Right of use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280"/>
              <w:spacing w:after="0"/>
              <w:rPr>
                <w:sz w:val="20"/>
                <w:szCs w:val="20"/>
                <w:color w:val="auto"/>
              </w:rPr>
            </w:pPr>
            <w:r>
              <w:rPr>
                <w:rFonts w:ascii="Arial" w:cs="Arial" w:eastAsia="Arial" w:hAnsi="Arial"/>
                <w:sz w:val="16"/>
                <w:szCs w:val="16"/>
                <w:b w:val="1"/>
                <w:bCs w:val="1"/>
                <w:color w:val="auto"/>
              </w:rPr>
              <w:t>LIABILITIES AND MEMBERS'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affiliates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debt — external</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30"/>
        </w:trPr>
        <w:tc>
          <w:tcPr>
            <w:tcW w:w="7520" w:type="dxa"/>
            <w:vAlign w:val="bottom"/>
          </w:tcPr>
          <w:p>
            <w:pPr>
              <w:ind w:left="200"/>
              <w:spacing w:after="0"/>
              <w:rPr>
                <w:sz w:val="20"/>
                <w:szCs w:val="20"/>
                <w:color w:val="auto"/>
              </w:rPr>
            </w:pPr>
            <w:r>
              <w:rPr>
                <w:rFonts w:ascii="Arial" w:cs="Arial" w:eastAsia="Arial" w:hAnsi="Arial"/>
                <w:sz w:val="16"/>
                <w:szCs w:val="16"/>
                <w:color w:val="auto"/>
              </w:rPr>
              <w:t>Derivative instruments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Contributed capital</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212"/>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Amortization of financing costs and debt discounts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Gain on sale of unconsolidated affiliate</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derivative instruments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Gain on disposal of asset components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provided by (used in) changes in other working capital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other working capital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Drop Down Asset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Consolidation of DGPV Holdco 3 LLC</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Asset purchase from affiliate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of investment from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receipts from notes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proceeds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contributions from noncontrolling interests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Contributions from CEG</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Buyout of Repowering Partnership II LLC noncontrolling interest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Net proceeds from the issuance of Class C units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distributions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the revolving credit facility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the revolving credit facility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the issuance of long-term debt — external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long-term debt — affiliate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Payments of debt issuance costs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long-term debt — external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Payments for long-term debt — affiliate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Members'</w:t>
            </w:r>
          </w:p>
        </w:tc>
        <w:tc>
          <w:tcPr>
            <w:tcW w:w="0" w:type="dxa"/>
            <w:vAlign w:val="bottom"/>
          </w:tcPr>
          <w:p>
            <w:pPr>
              <w:spacing w:after="0"/>
              <w:rPr>
                <w:sz w:val="1"/>
                <w:szCs w:val="1"/>
                <w:color w:val="auto"/>
              </w:rPr>
            </w:pPr>
          </w:p>
        </w:tc>
      </w:tr>
      <w:tr>
        <w:trPr>
          <w:trHeight w:val="188"/>
        </w:trPr>
        <w:tc>
          <w:tcPr>
            <w:tcW w:w="5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(Distributions) contributions from CEG, non-cash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Contributions from noncontrolling interests, net of distributions, cash</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Agua Caliente acquisition</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Rattlesnake Drop Down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30"/>
        </w:trPr>
        <w:tc>
          <w:tcPr>
            <w:tcW w:w="522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474747"/>
              </w:rPr>
              <w:t>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(loss) on derivatives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Contributions from noncontrolling interests, net of distributions,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Rattlesnake Drop Down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Distributions to noncontrolling interests, net of contributions,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Contributed</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Members'</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Unrealized loss on derivatives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3"/>
        </w:trPr>
        <w:tc>
          <w:tcPr>
            <w:tcW w:w="520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to tax equity interests, net of contributions, 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Consolidation of DGPV Holdco 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Buyout of Repowering Partnership II LLC noncontrolling interest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to CEG, non-cash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Consolidation of DGPV Holdco 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Mesquite Star Drop Down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September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CEG.</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Clearway Energy, Inc. consolidates the results of the Company through its controlling interest, with CEG's interest shown as non-controlling interest in the financial statements. The holders of Clearway Energy, Inc.'s outstanding shares of Class A and Class C common stock are entitled to dividends as declared. CEG receives its distributions from the Company through its ownership of the Company's Class B and Class D units.</w:t>
      </w:r>
    </w:p>
    <w:p>
      <w:pPr>
        <w:spacing w:after="0" w:line="1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Clearway Energy, Inc. owns 57.65% of the economic interests of the Company, with CEG owning 42.35% of the economic interests of the Company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3590" cy="4328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2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2020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2021, and results of operations, comprehensive income and cash flows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$152 million and $149 million as of September 30, 2021 and December 31, 2020, respectively.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4"/>
              </w:rPr>
              <w:t>December 31, 2020</w:t>
            </w:r>
          </w:p>
        </w:tc>
      </w:tr>
      <w:tr>
        <w:trPr>
          <w:trHeight w:val="210"/>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4"/>
          </w:tcPr>
          <w:p>
            <w:pPr>
              <w:jc w:val="right"/>
              <w:ind w:right="135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7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September 30, 2021, these restricted funds were comprised of $121 million designated to fund operating expenses, approximately $68 million designated for current debt service payments and $133 million restricted for reserves including debt service, performance obligations and other reserves, as well as capital expenditures. The remaining $44 million is held in distribution reserve accounts.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September 30, 2021, $13 million has been utilized to offset invoiced amounts under the projects' PPAs.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Accumulated Depreciation and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5"/>
              </w:rPr>
              <w:t>September 30, 2021</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2020</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0"/>
                <w:szCs w:val="20"/>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on the Company's Class A, B, C and D units during the nine months ended September 30,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2021</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2021</w:t>
            </w: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0.3290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3, 2021, the Company declared a distribution on its Class A, Class B, Class C and Class D units of $0.34 per unit payable on December 15, 2021 to unit holders of record as of December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 the Company retained its historical lease assessments and classification upon adoption of ASC 842.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nine months ended September 30, 2021 and 2020,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1"/>
                <w:szCs w:val="11"/>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Renewables</w:t>
            </w:r>
          </w:p>
        </w:tc>
        <w:tc>
          <w:tcPr>
            <w:tcW w:w="12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33</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97"/>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54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333333"/>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(198)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333333"/>
                <w:w w:val="90"/>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060" w:type="dxa"/>
            <w:vAlign w:val="bottom"/>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520" w:type="dxa"/>
            <w:vAlign w:val="bottom"/>
          </w:tcPr>
          <w:p>
            <w:pPr>
              <w:jc w:val="center"/>
              <w:ind w:left="1828"/>
              <w:spacing w:after="0"/>
              <w:rPr>
                <w:sz w:val="20"/>
                <w:szCs w:val="20"/>
                <w:color w:val="auto"/>
              </w:rPr>
            </w:pPr>
            <w:r>
              <w:rPr>
                <w:rFonts w:ascii="Arial" w:cs="Arial" w:eastAsia="Arial" w:hAnsi="Arial"/>
                <w:sz w:val="14"/>
                <w:szCs w:val="14"/>
                <w:b w:val="1"/>
                <w:bCs w:val="1"/>
                <w:color w:val="auto"/>
                <w:w w:val="92"/>
              </w:rPr>
              <w:t>Conventional</w:t>
            </w:r>
          </w:p>
        </w:tc>
        <w:tc>
          <w:tcPr>
            <w:tcW w:w="1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Thermal</w:t>
            </w:r>
          </w:p>
        </w:tc>
        <w:tc>
          <w:tcPr>
            <w:tcW w:w="88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352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Generation</w:t>
            </w:r>
          </w:p>
        </w:tc>
        <w:tc>
          <w:tcPr>
            <w:tcW w:w="16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060" w:type="dxa"/>
            <w:vAlign w:val="bottom"/>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1"/>
                <w:szCs w:val="11"/>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Renewables</w:t>
            </w:r>
          </w:p>
        </w:tc>
        <w:tc>
          <w:tcPr>
            <w:tcW w:w="12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97"/>
        </w:trPr>
        <w:tc>
          <w:tcPr>
            <w:tcW w:w="50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060" w:type="dxa"/>
            <w:vAlign w:val="bottom"/>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52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Conventional</w:t>
            </w:r>
          </w:p>
        </w:tc>
        <w:tc>
          <w:tcPr>
            <w:tcW w:w="1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Thermal</w:t>
            </w:r>
          </w:p>
        </w:tc>
        <w:tc>
          <w:tcPr>
            <w:tcW w:w="88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3520" w:type="dxa"/>
            <w:vAlign w:val="bottom"/>
          </w:tcPr>
          <w:p>
            <w:pPr>
              <w:jc w:val="center"/>
              <w:ind w:left="1808"/>
              <w:spacing w:after="0"/>
              <w:rPr>
                <w:sz w:val="20"/>
                <w:szCs w:val="20"/>
                <w:color w:val="auto"/>
              </w:rPr>
            </w:pPr>
            <w:r>
              <w:rPr>
                <w:rFonts w:ascii="Arial" w:cs="Arial" w:eastAsia="Arial" w:hAnsi="Arial"/>
                <w:sz w:val="14"/>
                <w:szCs w:val="14"/>
                <w:b w:val="1"/>
                <w:bCs w:val="1"/>
                <w:color w:val="auto"/>
                <w:w w:val="91"/>
              </w:rPr>
              <w:t>Generation</w:t>
            </w:r>
          </w:p>
        </w:tc>
        <w:tc>
          <w:tcPr>
            <w:tcW w:w="15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center"/>
              <w:ind w:left="71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Nine months ended September 30, 2020</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line="230" w:lineRule="exact"/>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04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left="811"/>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Conventional</w:t>
            </w:r>
          </w:p>
        </w:tc>
        <w:tc>
          <w:tcPr>
            <w:tcW w:w="24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Renewables</w:t>
            </w:r>
          </w:p>
        </w:tc>
        <w:tc>
          <w:tcPr>
            <w:tcW w:w="11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Generation</w:t>
            </w: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contract assets and liabilities included on the Company’s consolidated balance sheets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0"/>
              </w:rPr>
              <w:t>December 31, 2020</w:t>
            </w:r>
          </w:p>
        </w:tc>
      </w:tr>
      <w:tr>
        <w:trPr>
          <w:trHeight w:val="226"/>
        </w:trPr>
        <w:tc>
          <w:tcPr>
            <w:tcW w:w="6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540" w:type="dxa"/>
            <w:vAlign w:val="bottom"/>
          </w:tcPr>
          <w:p>
            <w:pPr>
              <w:spacing w:after="0"/>
              <w:rPr>
                <w:sz w:val="19"/>
                <w:szCs w:val="19"/>
                <w:color w:val="auto"/>
              </w:rPr>
            </w:pPr>
          </w:p>
        </w:tc>
      </w:tr>
      <w:tr>
        <w:trPr>
          <w:trHeight w:val="229"/>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 Contracts with customers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Accounts receivable, net - Leases</w:t>
            </w: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Rattlesnake Drop Down — </w:t>
      </w:r>
      <w:r>
        <w:rPr>
          <w:rFonts w:ascii="Arial" w:cs="Arial" w:eastAsia="Arial" w:hAnsi="Arial"/>
          <w:sz w:val="16"/>
          <w:szCs w:val="16"/>
          <w:color w:val="auto"/>
        </w:rPr>
        <w:t>On January 12, 2021, the Company acquired CEG's equity interest and a third party investor's minority interest in CWSP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Rattlesnake Holding LLC for $132 million. CWSP Rattlesnake Holding LLC indirectly consolidates the Rattlesnake wind project, a 160 MW wind facility with 144 MW of deliverable capacity in Adams County, Washington, as further described in Note 4, </w:t>
      </w:r>
      <w:r>
        <w:rPr>
          <w:rFonts w:ascii="Arial" w:cs="Arial" w:eastAsia="Arial" w:hAnsi="Arial"/>
          <w:sz w:val="16"/>
          <w:szCs w:val="16"/>
          <w:i w:val="1"/>
          <w:iCs w:val="1"/>
          <w:color w:val="auto"/>
        </w:rPr>
        <w:t>Investments Accounted for by the Equity Method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The project has a 20-year PPA with Avista Corporation, which began when the facility reached commercial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membership interests acquired by the Company relate to interests under common control by GIP and were recorded at historical cost. The difference between the cash paid of $132 million and the historical cost of the Company's acquired interests of $14 million was recorded as an adjustment to contributed capital.</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11"/>
              <w:spacing w:after="0"/>
              <w:rPr>
                <w:sz w:val="20"/>
                <w:szCs w:val="20"/>
                <w:color w:val="auto"/>
              </w:rPr>
            </w:pPr>
            <w:r>
              <w:rPr>
                <w:rFonts w:ascii="Arial" w:cs="Arial" w:eastAsia="Arial" w:hAnsi="Arial"/>
                <w:sz w:val="16"/>
                <w:szCs w:val="16"/>
                <w:b w:val="1"/>
                <w:bCs w:val="1"/>
                <w:color w:val="auto"/>
              </w:rPr>
              <w:t>Rattlesnake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8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230"/>
        </w:trPr>
        <w:tc>
          <w:tcPr>
            <w:tcW w:w="8380" w:type="dxa"/>
            <w:vAlign w:val="bottom"/>
          </w:tcPr>
          <w:p>
            <w:pPr>
              <w:ind w:left="14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(a)</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8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13"/>
        <w:spacing w:after="0" w:line="257" w:lineRule="auto"/>
        <w:tabs>
          <w:tab w:leader="none" w:pos="532" w:val="left"/>
        </w:tabs>
        <w:numPr>
          <w:ilvl w:val="0"/>
          <w:numId w:val="8"/>
        </w:numPr>
        <w:rPr>
          <w:rFonts w:ascii="Arial" w:cs="Arial" w:eastAsia="Arial" w:hAnsi="Arial"/>
          <w:sz w:val="9"/>
          <w:szCs w:val="9"/>
          <w:color w:val="auto"/>
        </w:rPr>
      </w:pPr>
      <w:r>
        <w:rPr>
          <w:rFonts w:ascii="Arial" w:cs="Arial" w:eastAsia="Arial" w:hAnsi="Arial"/>
          <w:sz w:val="14"/>
          <w:szCs w:val="14"/>
          <w:color w:val="auto"/>
        </w:rPr>
        <w:t>Repaid at acquisition date utilizing $107 million contributed by tax equity investor recorded in noncontrolling interest and $103 million contributed by CEG, recorded as contributed capital. Of the $210 million contributed, $176 million was utilized to pay down the acquired debt, $29 million was utilized to fund project reserve accounts and $5 million was utilized to pay associated fees.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Agua Caliente Acquisition — </w:t>
      </w:r>
      <w:r>
        <w:rPr>
          <w:rFonts w:ascii="Arial" w:cs="Arial" w:eastAsia="Arial" w:hAnsi="Arial"/>
          <w:sz w:val="16"/>
          <w:szCs w:val="16"/>
          <w:color w:val="auto"/>
        </w:rPr>
        <w:t>On February 3, 2021, the Company acquired Agua Caliente Borrower 1 LLC from NRG Energy, Inc. for $202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Agua Caliente Borrower 1 LLC indirectly owns a 35% equity interest in Agua Caliente, a 290 MW solar project located in Dateland, Arizona in which the Company previously owned a 16% equity interest. The project has a 25-year PPA with PG&amp;E, with approximately 18 years remaining under the agreement. Following the close of the transaction, the Company owns a 51% equity interest in Agua Caliente and consolidates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and liabilities acquired on the acquisition date. A third party investor holds the remaining 49% equity interest in Agua Caliente, which is reflected in noncontrolling interest and was valued at historical carrying amount increased for the incremental fair value determined at the acquisition date.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acquired in connection with the acquisition as of February 3,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Agua Caliente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currents assets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50"/>
        </w:trPr>
        <w:tc>
          <w:tcPr>
            <w:tcW w:w="8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1"/>
        </w:trPr>
        <w:tc>
          <w:tcPr>
            <w:tcW w:w="8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values of the property, plant and equipment, intangible assets and long-term debt at the acquisition date were measured primarily based on significant inputs that are not observable in the market and thus represent a Level 3 measurement as defined in ASC 820, Fair Value Measurement. Significant inputs were as follows:</w:t>
      </w:r>
    </w:p>
    <w:p>
      <w:pPr>
        <w:spacing w:after="0" w:line="1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estimated fair values were determined primarily based on an income method using discounted cash flows and</w:t>
      </w:r>
      <w:r>
        <w:rPr>
          <w:rFonts w:ascii="Arial" w:cs="Arial" w:eastAsia="Arial" w:hAnsi="Arial"/>
          <w:sz w:val="17"/>
          <w:szCs w:val="17"/>
          <w:i w:val="1"/>
          <w:iCs w:val="1"/>
          <w:color w:val="auto"/>
        </w:rPr>
        <w:t xml:space="preserve"> </w:t>
      </w:r>
      <w:r>
        <w:rPr>
          <w:rFonts w:ascii="Arial" w:cs="Arial" w:eastAsia="Arial" w:hAnsi="Arial"/>
          <w:sz w:val="17"/>
          <w:szCs w:val="17"/>
          <w:color w:val="auto"/>
        </w:rPr>
        <w:t>validated 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 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the regulatory environment as of the acquisition date.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PPA acquired was determined utilizing a variation of the income approach where the incremental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resulting from the acquired PPA compared to the cash flows based on current market prices were discounted to present value at the weighted average cost of debt of the utility off-taker, as the PPA was determined to be a debt-like instrument for the off-taker. The values were corroborated with available market data. The PPA value will be amortized over a period of 18 years.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long-term debt was determined by discounting future cash flows at current interest rates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equivalent credit quality.</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recorded the noncontrolling interest utilizing the cost accumulation model, as the acquisition was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maintained the carrying value for the pre-existing equity, with the value increased incrementally based on the value of the Company's newly acquired interest.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left="80" w:firstLine="405"/>
        <w:spacing w:after="0" w:line="275" w:lineRule="auto"/>
        <w:rPr>
          <w:sz w:val="20"/>
          <w:szCs w:val="20"/>
          <w:color w:val="auto"/>
        </w:rPr>
      </w:pPr>
      <w:r>
        <w:rPr>
          <w:rFonts w:ascii="Arial" w:cs="Arial" w:eastAsia="Arial" w:hAnsi="Arial"/>
          <w:sz w:val="17"/>
          <w:szCs w:val="17"/>
          <w:b w:val="1"/>
          <w:bCs w:val="1"/>
          <w:i w:val="1"/>
          <w:iCs w:val="1"/>
          <w:color w:val="auto"/>
        </w:rPr>
        <w:t xml:space="preserve">Mt. Storm Wind Acquisition — </w:t>
      </w:r>
      <w:r>
        <w:rPr>
          <w:rFonts w:ascii="Arial" w:cs="Arial" w:eastAsia="Arial" w:hAnsi="Arial"/>
          <w:sz w:val="17"/>
          <w:szCs w:val="17"/>
          <w:color w:val="auto"/>
        </w:rPr>
        <w:t>On April 23, 2021, the Company acquired 100% of the equity interests in NedPower Mount Storm LLC, or Mt.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Storm, from Castleton Commodities International for approximately $96 million before working capital and purchase price adjustments in the net amount of $4 million, representing a total cash outflow of $100 million. Mt. Storm is a 264 MW wind project located in Grant County, West Virginia. Mt. Storm has a 10 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millions)</w:t>
            </w:r>
          </w:p>
        </w:tc>
        <w:tc>
          <w:tcPr>
            <w:tcW w:w="28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011"/>
              <w:spacing w:after="0"/>
              <w:rPr>
                <w:sz w:val="20"/>
                <w:szCs w:val="20"/>
                <w:color w:val="auto"/>
              </w:rPr>
            </w:pPr>
            <w:r>
              <w:rPr>
                <w:rFonts w:ascii="Arial" w:cs="Arial" w:eastAsia="Arial" w:hAnsi="Arial"/>
                <w:sz w:val="16"/>
                <w:szCs w:val="16"/>
                <w:b w:val="1"/>
                <w:bCs w:val="1"/>
                <w:color w:val="auto"/>
              </w:rPr>
              <w:t>Mt. Storm</w:t>
            </w:r>
          </w:p>
        </w:tc>
      </w:tr>
      <w:tr>
        <w:trPr>
          <w:trHeight w:val="226"/>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3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60" w:type="dxa"/>
            <w:vAlign w:val="bottom"/>
          </w:tcPr>
          <w:p>
            <w:pPr>
              <w:ind w:left="60"/>
              <w:spacing w:after="0"/>
              <w:rPr>
                <w:sz w:val="20"/>
                <w:szCs w:val="20"/>
                <w:color w:val="auto"/>
              </w:rPr>
            </w:pPr>
            <w:r>
              <w:rPr>
                <w:rFonts w:ascii="Arial" w:cs="Arial" w:eastAsia="Arial" w:hAnsi="Arial"/>
                <w:sz w:val="18"/>
                <w:szCs w:val="18"/>
                <w:color w:val="auto"/>
              </w:rPr>
              <w:t>Property, plant and equipment</w:t>
            </w: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w:t>
            </w:r>
          </w:p>
        </w:tc>
        <w:tc>
          <w:tcPr>
            <w:tcW w:w="28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 acquired</w:t>
            </w:r>
          </w:p>
        </w:tc>
        <w:tc>
          <w:tcPr>
            <w:tcW w:w="28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50"/>
        </w:trPr>
        <w:tc>
          <w:tcPr>
            <w:tcW w:w="55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r>
      <w:tr>
        <w:trPr>
          <w:trHeight w:val="229"/>
        </w:trPr>
        <w:tc>
          <w:tcPr>
            <w:tcW w:w="5560" w:type="dxa"/>
            <w:vAlign w:val="bottom"/>
          </w:tcPr>
          <w:p>
            <w:pPr>
              <w:ind w:left="60"/>
              <w:spacing w:after="0"/>
              <w:rPr>
                <w:sz w:val="20"/>
                <w:szCs w:val="20"/>
                <w:color w:val="auto"/>
              </w:rPr>
            </w:pPr>
            <w:r>
              <w:rPr>
                <w:rFonts w:ascii="Arial" w:cs="Arial" w:eastAsia="Arial" w:hAnsi="Arial"/>
                <w:sz w:val="18"/>
                <w:szCs w:val="18"/>
                <w:color w:val="auto"/>
              </w:rPr>
              <w:t>Accounts payable and other liabilities</w:t>
            </w:r>
          </w:p>
        </w:tc>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Derivative instruments</w:t>
            </w:r>
          </w:p>
        </w:tc>
        <w:tc>
          <w:tcPr>
            <w:tcW w:w="28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 assumed</w:t>
            </w:r>
          </w:p>
        </w:tc>
        <w:tc>
          <w:tcPr>
            <w:tcW w:w="28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5" w:lineRule="exact"/>
        <w:rPr>
          <w:sz w:val="20"/>
          <w:szCs w:val="20"/>
          <w:color w:val="auto"/>
        </w:rPr>
      </w:pPr>
    </w:p>
    <w:p>
      <w:pPr>
        <w:jc w:val="both"/>
        <w:ind w:left="80" w:firstLine="405"/>
        <w:spacing w:after="0" w:line="342" w:lineRule="auto"/>
        <w:rPr>
          <w:sz w:val="20"/>
          <w:szCs w:val="20"/>
          <w:color w:val="auto"/>
        </w:rPr>
      </w:pPr>
      <w:r>
        <w:rPr>
          <w:rFonts w:ascii="Arial" w:cs="Arial" w:eastAsia="Arial" w:hAnsi="Arial"/>
          <w:sz w:val="16"/>
          <w:szCs w:val="16"/>
          <w:color w:val="auto"/>
        </w:rPr>
        <w:t>The fair values of the property, plant and equipment, derivative instrument and intangible asset at the acquisition date were measured primarily based on significant inputs that are not observable in the market and thus represent a Level 3 measurement as defined in ASC 820, Fair Value Measurement.</w:t>
      </w:r>
    </w:p>
    <w:p>
      <w:pPr>
        <w:spacing w:after="0" w:line="70" w:lineRule="exact"/>
        <w:rPr>
          <w:sz w:val="20"/>
          <w:szCs w:val="20"/>
          <w:color w:val="auto"/>
        </w:rPr>
      </w:pPr>
    </w:p>
    <w:p>
      <w:pPr>
        <w:jc w:val="both"/>
        <w:ind w:left="80" w:firstLine="405"/>
        <w:spacing w:after="0" w:line="277"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of property, plant and equipment were determined primarily based on an income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using discounted cash flows.</w:t>
      </w:r>
    </w:p>
    <w:p>
      <w:pPr>
        <w:spacing w:after="0" w:line="116" w:lineRule="exact"/>
        <w:rPr>
          <w:sz w:val="20"/>
          <w:szCs w:val="20"/>
          <w:color w:val="auto"/>
        </w:rPr>
      </w:pPr>
    </w:p>
    <w:p>
      <w:pPr>
        <w:jc w:val="both"/>
        <w:ind w:left="80" w:firstLine="405"/>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intangible asset was determined using a market approach based on quoted prices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credits in the applicable market.</w:t>
      </w:r>
    </w:p>
    <w:p>
      <w:pPr>
        <w:spacing w:after="0" w:line="116" w:lineRule="exact"/>
        <w:rPr>
          <w:sz w:val="20"/>
          <w:szCs w:val="20"/>
          <w:color w:val="auto"/>
        </w:rPr>
      </w:pPr>
    </w:p>
    <w:p>
      <w:pPr>
        <w:jc w:val="both"/>
        <w:ind w:left="80" w:firstLine="405"/>
        <w:spacing w:after="0" w:line="27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derivative instruments was determined based on the discounted cash flows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acquired commodity contract.</w:t>
      </w:r>
    </w:p>
    <w:p>
      <w:pPr>
        <w:spacing w:after="0" w:line="116" w:lineRule="exact"/>
        <w:rPr>
          <w:sz w:val="20"/>
          <w:szCs w:val="20"/>
          <w:color w:val="auto"/>
        </w:rPr>
      </w:pPr>
    </w:p>
    <w:p>
      <w:pPr>
        <w:jc w:val="both"/>
        <w:ind w:left="80" w:firstLine="405"/>
        <w:spacing w:after="0" w:line="268" w:lineRule="auto"/>
        <w:rPr>
          <w:sz w:val="20"/>
          <w:szCs w:val="20"/>
          <w:color w:val="auto"/>
        </w:rPr>
      </w:pPr>
      <w:r>
        <w:rPr>
          <w:rFonts w:ascii="Arial" w:cs="Arial" w:eastAsia="Arial" w:hAnsi="Arial"/>
          <w:sz w:val="17"/>
          <w:szCs w:val="17"/>
          <w:b w:val="1"/>
          <w:bCs w:val="1"/>
          <w:i w:val="1"/>
          <w:iCs w:val="1"/>
          <w:color w:val="auto"/>
        </w:rPr>
        <w:t xml:space="preserve">Mesquite Star Drop Down — </w:t>
      </w:r>
      <w:r>
        <w:rPr>
          <w:rFonts w:ascii="Arial" w:cs="Arial" w:eastAsia="Arial" w:hAnsi="Arial"/>
          <w:sz w:val="17"/>
          <w:szCs w:val="17"/>
          <w:color w:val="auto"/>
        </w:rPr>
        <w:t>On September 1, 2020, the Company, through its indirect subsidiary Lighthouse Renewable Class A LLC, acquired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membership interests in Lighthouse Renewable Holdco LLC (formerly Mesquite Star Pledgor LLC) from Clearway Renew LLC, a subsidiary of CEG, for $79 million in cash consideration. Lighthouse Renewable Holdco LLC indirectly owns 100% of the Class B membership interests in Mesquite Star Tax Equity Holdco LLC, a tax equity partnership that it consolidates as the primary beneficiary, and owns the Mesquite Star wind project, a 419 MW utility scale wind project located in Fisher County, Texas. A majority of the project’s output is backed by contracts with investment grade counterparties with a 12-year weighted average contract life. The Mesquite Star operations are reflected in the Company's Renewables segment and the acquisition was funded with cash on hand. The Company recorded its interest in Lighthouse Renewable Class A LLC as an equity method investment from September 1, 2020 to December 21, 2020. On December 21, 2020, CEG sold its Class B membership interest in Lighthouse Renewable Holdco LLC to a third-party investor which resulted in a reconsideration event for consolidation of the entity. Upon the reconsideration event, the Company determined it was the primary beneficiary of Lighthouse Renewable Holdco LLC and effective on December 21, 2020, the Company consolidates Lighthouse Renewable Holdco LLC. The membership interests acquired by the Company relate to interests under common control by GIP and were recorded at historical cost. The difference between the $79 million cash paid and the historical value of the Company's acquired interests of $83 million was recorded as an adjustment to contributed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Sale of Thermal Business </w:t>
      </w:r>
      <w:r>
        <w:rPr>
          <w:rFonts w:ascii="Arial" w:cs="Arial" w:eastAsia="Arial" w:hAnsi="Arial"/>
          <w:sz w:val="18"/>
          <w:szCs w:val="18"/>
          <w:color w:val="auto"/>
        </w:rPr>
        <w:t>— On October 22, 2021, Clearway Energy Operating LLC entered into a binding agreement to sell the Thermal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affiliate of KKR &amp; Co. Inc. for total consideration of $1.9 billion, subject to customary closing adjustments. The closing of the transaction is subject to various customary closing conditions, approvals and consents and is expected to close in the first half of 2022. Effective with the signing of the agreement to sell the Thermal Business, the Company concluded that all entities that are included within the Thermal Business will be treated as held for sale on a prospective basis, resulting in the assets and liabilities being treated as separate held for sale line items on the Company’s consolidated balance sheet as of December 31, 2021.</w:t>
      </w:r>
    </w:p>
    <w:p>
      <w:pPr>
        <w:spacing w:after="0" w:line="1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Spruce Power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100% of its interests in Energy Center Dover LLC and Energy Center Smyrna LLC to DB Energy Assets, LLC for cash proceeds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462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These arrangements are primarily related to tax equity arrangements entered into with third parties in order to monetize certain tax attributes associated with wind and solar facilities,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w:t>
      </w:r>
      <w:r>
        <w:rPr>
          <w:rFonts w:ascii="Arial" w:cs="Arial" w:eastAsia="Arial" w:hAnsi="Arial"/>
          <w:sz w:val="18"/>
          <w:szCs w:val="18"/>
          <w:color w:val="231F20"/>
        </w:rPr>
        <w:t xml:space="preserve">consolidated financial statements included in the Company's </w:t>
      </w:r>
      <w:r>
        <w:rPr>
          <w:rFonts w:ascii="Arial" w:cs="Arial" w:eastAsia="Arial" w:hAnsi="Arial"/>
          <w:sz w:val="18"/>
          <w:szCs w:val="18"/>
          <w:color w:val="000000"/>
        </w:rPr>
        <w:t>2020</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Alta TE Holdco</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Buckthorn</w:t>
            </w:r>
          </w:p>
        </w:tc>
        <w:tc>
          <w:tcPr>
            <w:tcW w:w="1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DGPV Funds</w:t>
            </w:r>
            <w:r>
              <w:rPr>
                <w:rFonts w:ascii="Arial" w:cs="Arial" w:eastAsia="Arial" w:hAnsi="Arial"/>
                <w:sz w:val="16"/>
                <w:szCs w:val="16"/>
                <w:b w:val="1"/>
                <w:bCs w:val="1"/>
                <w:color w:val="auto"/>
                <w:vertAlign w:val="superscript"/>
              </w:rPr>
              <w:t>(a)</w:t>
            </w:r>
          </w:p>
        </w:tc>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Kawailoa Partnership</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Langford TE</w:t>
            </w: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Lighthouse Renewable</w:t>
            </w:r>
          </w:p>
        </w:tc>
        <w:tc>
          <w:tcPr>
            <w:tcW w:w="0" w:type="dxa"/>
            <w:vAlign w:val="bottom"/>
          </w:tcPr>
          <w:p>
            <w:pPr>
              <w:spacing w:after="0"/>
              <w:rPr>
                <w:sz w:val="1"/>
                <w:szCs w:val="1"/>
                <w:color w:val="auto"/>
              </w:rPr>
            </w:pPr>
          </w:p>
        </w:tc>
      </w:tr>
      <w:tr>
        <w:trPr>
          <w:trHeight w:val="176"/>
        </w:trPr>
        <w:tc>
          <w:tcPr>
            <w:tcW w:w="3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Renewables, LLC</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Partnership LLC</w:t>
            </w:r>
          </w:p>
        </w:tc>
        <w:tc>
          <w:tcPr>
            <w:tcW w:w="180" w:type="dxa"/>
            <w:vAlign w:val="bottom"/>
          </w:tcPr>
          <w:p>
            <w:pPr>
              <w:spacing w:after="0"/>
              <w:rPr>
                <w:sz w:val="15"/>
                <w:szCs w:val="15"/>
                <w:color w:val="auto"/>
              </w:rPr>
            </w:pPr>
          </w:p>
        </w:tc>
        <w:tc>
          <w:tcPr>
            <w:tcW w:w="1120" w:type="dxa"/>
            <w:vAlign w:val="bottom"/>
          </w:tcPr>
          <w:p>
            <w:pPr>
              <w:jc w:val="right"/>
              <w:ind w:right="153"/>
              <w:spacing w:after="0" w:line="175" w:lineRule="exact"/>
              <w:rPr>
                <w:sz w:val="20"/>
                <w:szCs w:val="20"/>
                <w:color w:val="auto"/>
              </w:rPr>
            </w:pPr>
            <w:r>
              <w:rPr>
                <w:rFonts w:ascii="Arial" w:cs="Arial" w:eastAsia="Arial" w:hAnsi="Arial"/>
                <w:sz w:val="13"/>
                <w:szCs w:val="13"/>
                <w:b w:val="1"/>
                <w:bCs w:val="1"/>
                <w:color w:val="auto"/>
                <w:w w:val="95"/>
              </w:rPr>
              <w:t xml:space="preserve">Holdco LLC </w:t>
            </w:r>
            <w:r>
              <w:rPr>
                <w:rFonts w:ascii="Arial" w:cs="Arial" w:eastAsia="Arial" w:hAnsi="Arial"/>
                <w:sz w:val="16"/>
                <w:szCs w:val="16"/>
                <w:b w:val="1"/>
                <w:bCs w:val="1"/>
                <w:color w:val="auto"/>
                <w:w w:val="95"/>
                <w:vertAlign w:val="superscript"/>
              </w:rPr>
              <w:t>(b)</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2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Arial" w:cs="Arial" w:eastAsia="Arial" w:hAnsi="Arial"/>
                <w:sz w:val="18"/>
                <w:szCs w:val="18"/>
                <w:color w:val="auto"/>
                <w:w w:val="98"/>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20" w:firstLine="8"/>
        <w:spacing w:after="0" w:line="226" w:lineRule="auto"/>
        <w:tabs>
          <w:tab w:leader="none" w:pos="174"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82"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Lighthouse Renewable Holdco LLC consolidates Mesquite Star Tax Equity Holdco LLC, which is also a consolidated VIE.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Oahu</w:t>
            </w:r>
          </w:p>
        </w:tc>
        <w:tc>
          <w:tcPr>
            <w:tcW w:w="13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Pinnacle Repowering</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Rattlesnake TE</w:t>
            </w:r>
          </w:p>
        </w:tc>
        <w:tc>
          <w:tcPr>
            <w:tcW w:w="13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Rosie TargetCo LLC</w:t>
            </w: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Wildorado</w:t>
            </w:r>
          </w:p>
        </w:tc>
        <w:tc>
          <w:tcPr>
            <w:tcW w:w="240" w:type="dxa"/>
            <w:vAlign w:val="bottom"/>
          </w:tcPr>
          <w:p>
            <w:pPr>
              <w:spacing w:after="0"/>
              <w:rPr>
                <w:sz w:val="13"/>
                <w:szCs w:val="13"/>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175"/>
        </w:trPr>
        <w:tc>
          <w:tcPr>
            <w:tcW w:w="3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Solar Partnership</w:t>
            </w:r>
          </w:p>
        </w:tc>
        <w:tc>
          <w:tcPr>
            <w:tcW w:w="14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Partnership LLC</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Holdco LLC</w:t>
            </w:r>
          </w:p>
        </w:tc>
        <w:tc>
          <w:tcPr>
            <w:tcW w:w="13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TE Holdco</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3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300" w:type="dxa"/>
            <w:vAlign w:val="bottom"/>
          </w:tcPr>
          <w:p>
            <w:pPr>
              <w:ind w:left="140"/>
              <w:spacing w:after="0"/>
              <w:rPr>
                <w:sz w:val="20"/>
                <w:szCs w:val="20"/>
                <w:color w:val="auto"/>
              </w:rPr>
            </w:pPr>
            <w:r>
              <w:rPr>
                <w:rFonts w:ascii="Arial" w:cs="Arial" w:eastAsia="Arial" w:hAnsi="Arial"/>
                <w:sz w:val="18"/>
                <w:szCs w:val="18"/>
                <w:color w:val="auto"/>
              </w:rPr>
              <w:t>Net assets less 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 Transmission, LLC, Hardin Hilltop Wind LLC, Elbow Creek TE Holdco and Spring Canyon TE Holdco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color w:val="auto"/>
        </w:rPr>
        <w:t>The discussion below describes material changes to VIEs during the nine months ended September 30, 2021.</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Rattlesnake TE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January 12, 2021, the Company acquired CEG's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a third 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 party tax equity investor contributed $107 million into Rattlesnake TE Holdco LLC in exchange for the Class A membership interests. The proceeds from the tax equity contribution along with cash contributed by CEG were used to repay a portion of the $176 million of the outstanding principal under the Rattlesnake Class B LLC credit facility.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Pinnacle Repowering Partnership LL</w:t>
      </w:r>
      <w:r>
        <w:rPr>
          <w:rFonts w:ascii="Arial" w:cs="Arial" w:eastAsia="Arial" w:hAnsi="Arial"/>
          <w:sz w:val="16"/>
          <w:szCs w:val="16"/>
          <w:color w:val="auto"/>
        </w:rPr>
        <w:t>C</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On February 26, 2021, the Company entered into an amended agreement with CWSP Pinnacle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an indirect subsidiary of CEG, with respect to Pinnacle Repowering Partnership LLC in order to facilitate the repowering of the Pinnacle wind project, a 55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21F1F"/>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21F1F"/>
        </w:rPr>
        <w:t xml:space="preserve">included in the Company's </w:t>
      </w:r>
      <w:r>
        <w:rPr>
          <w:rFonts w:ascii="Arial" w:cs="Arial" w:eastAsia="Arial" w:hAnsi="Arial"/>
          <w:sz w:val="18"/>
          <w:szCs w:val="18"/>
          <w:color w:val="000000"/>
        </w:rPr>
        <w:t>2020</w:t>
      </w:r>
      <w:r>
        <w:rPr>
          <w:rFonts w:ascii="Arial" w:cs="Arial" w:eastAsia="Arial" w:hAnsi="Arial"/>
          <w:sz w:val="18"/>
          <w:szCs w:val="18"/>
          <w:color w:val="221F1F"/>
        </w:rPr>
        <w:t xml:space="preserve"> Form 10-K</w:t>
      </w:r>
      <w:r>
        <w:rPr>
          <w:rFonts w:ascii="Arial" w:cs="Arial" w:eastAsia="Arial" w:hAnsi="Arial"/>
          <w:sz w:val="18"/>
          <w:szCs w:val="18"/>
          <w:color w:val="000000"/>
        </w:rPr>
        <w:t>.</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2021 is limited to its equity investment in the unconsolidated entities, as further summarized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4340" w:type="dxa"/>
            <w:vAlign w:val="bottom"/>
          </w:tcPr>
          <w:p>
            <w:pPr>
              <w:jc w:val="center"/>
              <w:ind w:left="2492"/>
              <w:spacing w:after="0"/>
              <w:rPr>
                <w:sz w:val="20"/>
                <w:szCs w:val="20"/>
                <w:color w:val="auto"/>
              </w:rPr>
            </w:pPr>
            <w:r>
              <w:rPr>
                <w:rFonts w:ascii="Arial" w:cs="Arial" w:eastAsia="Arial" w:hAnsi="Arial"/>
                <w:sz w:val="16"/>
                <w:szCs w:val="16"/>
                <w:b w:val="1"/>
                <w:bCs w:val="1"/>
                <w:color w:val="auto"/>
                <w:w w:val="88"/>
              </w:rPr>
              <w:t>Economic</w:t>
            </w:r>
          </w:p>
        </w:tc>
        <w:tc>
          <w:tcPr>
            <w:tcW w:w="220" w:type="dxa"/>
            <w:vAlign w:val="bottom"/>
          </w:tcPr>
          <w:p>
            <w:pPr>
              <w:spacing w:after="0"/>
              <w:rPr>
                <w:sz w:val="16"/>
                <w:szCs w:val="16"/>
                <w:color w:val="auto"/>
              </w:rPr>
            </w:pPr>
          </w:p>
        </w:tc>
        <w:tc>
          <w:tcPr>
            <w:tcW w:w="176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w w:val="95"/>
              </w:rPr>
              <w:t>Investment Balance</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auto"/>
            </w:tcBorders>
            <w:vMerge w:val="continue"/>
          </w:tcPr>
          <w:p>
            <w:pPr>
              <w:spacing w:after="0"/>
              <w:rPr>
                <w:sz w:val="18"/>
                <w:szCs w:val="18"/>
                <w:color w:val="auto"/>
              </w:rPr>
            </w:pPr>
          </w:p>
        </w:tc>
        <w:tc>
          <w:tcPr>
            <w:tcW w:w="4340" w:type="dxa"/>
            <w:vAlign w:val="bottom"/>
            <w:tcBorders>
              <w:bottom w:val="single" w:sz="8" w:color="auto"/>
            </w:tcBorders>
          </w:tcPr>
          <w:p>
            <w:pPr>
              <w:jc w:val="center"/>
              <w:ind w:left="2512"/>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4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434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88"/>
              </w:rPr>
              <w:t>50%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4340" w:type="dxa"/>
            <w:vAlign w:val="bottom"/>
          </w:tcPr>
          <w:p>
            <w:pPr>
              <w:jc w:val="center"/>
              <w:ind w:left="2492"/>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34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88"/>
              </w:rPr>
              <w:t>67%</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line="230" w:lineRule="exact"/>
              <w:rPr>
                <w:sz w:val="20"/>
                <w:szCs w:val="20"/>
                <w:color w:val="auto"/>
              </w:rPr>
            </w:pPr>
            <w:r>
              <w:rPr>
                <w:rFonts w:ascii="Arial" w:cs="Arial" w:eastAsia="Arial" w:hAnsi="Arial"/>
                <w:sz w:val="18"/>
                <w:szCs w:val="18"/>
                <w:color w:val="auto"/>
              </w:rPr>
              <w:t>GenConn</w:t>
            </w:r>
            <w:r>
              <w:rPr>
                <w:rFonts w:ascii="Arial" w:cs="Arial" w:eastAsia="Arial" w:hAnsi="Arial"/>
                <w:sz w:val="23"/>
                <w:szCs w:val="23"/>
                <w:color w:val="auto"/>
                <w:vertAlign w:val="superscript"/>
              </w:rPr>
              <w:t>(a)</w:t>
            </w:r>
          </w:p>
        </w:tc>
        <w:tc>
          <w:tcPr>
            <w:tcW w:w="4340" w:type="dxa"/>
            <w:vAlign w:val="bottom"/>
          </w:tcPr>
          <w:p>
            <w:pPr>
              <w:jc w:val="center"/>
              <w:ind w:left="2492"/>
              <w:spacing w:after="0"/>
              <w:rPr>
                <w:sz w:val="20"/>
                <w:szCs w:val="20"/>
                <w:color w:val="auto"/>
              </w:rPr>
            </w:pPr>
            <w:r>
              <w:rPr>
                <w:rFonts w:ascii="Arial" w:cs="Arial" w:eastAsia="Arial" w:hAnsi="Arial"/>
                <w:sz w:val="18"/>
                <w:szCs w:val="18"/>
                <w:color w:val="auto"/>
                <w:w w:val="88"/>
              </w:rPr>
              <w:t>50%</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34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88"/>
              </w:rPr>
              <w:t>75%</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Utah Solar Portfolio</w:t>
            </w:r>
            <w:r>
              <w:rPr>
                <w:rFonts w:ascii="Arial" w:cs="Arial" w:eastAsia="Arial" w:hAnsi="Arial"/>
                <w:sz w:val="23"/>
                <w:szCs w:val="23"/>
                <w:color w:val="auto"/>
                <w:vertAlign w:val="superscript"/>
              </w:rPr>
              <w:t>(b)</w:t>
            </w:r>
          </w:p>
        </w:tc>
        <w:tc>
          <w:tcPr>
            <w:tcW w:w="4340" w:type="dxa"/>
            <w:vAlign w:val="bottom"/>
            <w:tcBorders>
              <w:bottom w:val="single" w:sz="8" w:color="CCEEFF"/>
            </w:tcBorders>
          </w:tcPr>
          <w:p>
            <w:pPr>
              <w:jc w:val="center"/>
              <w:ind w:left="2492"/>
              <w:spacing w:after="0"/>
              <w:rPr>
                <w:sz w:val="20"/>
                <w:szCs w:val="20"/>
                <w:color w:val="auto"/>
              </w:rPr>
            </w:pPr>
            <w:r>
              <w:rPr>
                <w:rFonts w:ascii="Arial" w:cs="Arial" w:eastAsia="Arial" w:hAnsi="Arial"/>
                <w:sz w:val="18"/>
                <w:szCs w:val="18"/>
                <w:color w:val="auto"/>
                <w:w w:val="88"/>
              </w:rPr>
              <w:t>50%</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GenConn is a variable interest entity.</w:t>
      </w:r>
    </w:p>
    <w:p>
      <w:pPr>
        <w:ind w:right="140" w:firstLine="8"/>
        <w:spacing w:after="0"/>
        <w:tabs>
          <w:tab w:leader="none" w:pos="149"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Economic interest based on cash to be distributed. Four Brothers Solar, LLC, Granite Mountain Holdings, LLC and Iron Springs Holdings, LLC are tax equity structures and VIEs.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 trade, accounts payable — trade, current portion of accounts payable — affiliates,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of September 30, 2021</w:t>
            </w:r>
          </w:p>
        </w:tc>
        <w:tc>
          <w:tcPr>
            <w:tcW w:w="400" w:type="dxa"/>
            <w:vAlign w:val="bottom"/>
          </w:tcPr>
          <w:p>
            <w:pPr>
              <w:spacing w:after="0"/>
              <w:rPr>
                <w:sz w:val="16"/>
                <w:szCs w:val="16"/>
                <w:color w:val="auto"/>
              </w:rPr>
            </w:pPr>
          </w:p>
        </w:tc>
        <w:tc>
          <w:tcPr>
            <w:tcW w:w="21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w w:val="95"/>
              </w:rPr>
              <w:t>As of December 31, 2020</w:t>
            </w:r>
          </w:p>
        </w:tc>
      </w:tr>
      <w:tr>
        <w:trPr>
          <w:trHeight w:val="187"/>
        </w:trPr>
        <w:tc>
          <w:tcPr>
            <w:tcW w:w="6020" w:type="dxa"/>
            <w:vAlign w:val="bottom"/>
          </w:tcPr>
          <w:p>
            <w:pPr>
              <w:spacing w:after="0"/>
              <w:rPr>
                <w:sz w:val="16"/>
                <w:szCs w:val="16"/>
                <w:color w:val="auto"/>
              </w:rPr>
            </w:pPr>
          </w:p>
        </w:tc>
        <w:tc>
          <w:tcPr>
            <w:tcW w:w="1500" w:type="dxa"/>
            <w:vAlign w:val="bottom"/>
            <w:tcBorders>
              <w:top w:val="single" w:sz="8" w:color="auto"/>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w w:val="97"/>
              </w:rPr>
              <w:t>Carrying Amount</w:t>
            </w: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 — affiliate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020" w:type="dxa"/>
            <w:vAlign w:val="bottom"/>
          </w:tcPr>
          <w:p>
            <w:pPr>
              <w:ind w:left="140"/>
              <w:spacing w:after="0"/>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3"/>
                <w:szCs w:val="23"/>
                <w:color w:val="auto"/>
                <w:vertAlign w:val="superscript"/>
              </w:rPr>
              <w:t>(a)</w:t>
            </w:r>
          </w:p>
        </w:tc>
        <w:tc>
          <w:tcPr>
            <w:tcW w:w="280" w:type="dxa"/>
            <w:vAlign w:val="bottom"/>
          </w:tcPr>
          <w:p>
            <w:pPr>
              <w:spacing w:after="0"/>
              <w:rPr>
                <w:sz w:val="24"/>
                <w:szCs w:val="24"/>
                <w:color w:val="auto"/>
              </w:rPr>
            </w:pPr>
          </w:p>
        </w:tc>
        <w:tc>
          <w:tcPr>
            <w:tcW w:w="1220" w:type="dxa"/>
            <w:vAlign w:val="bottom"/>
          </w:tcPr>
          <w:p>
            <w:pPr>
              <w:jc w:val="right"/>
              <w:ind w:right="296"/>
              <w:spacing w:after="0"/>
              <w:rPr>
                <w:sz w:val="20"/>
                <w:szCs w:val="20"/>
                <w:color w:val="auto"/>
              </w:rPr>
            </w:pPr>
            <w:r>
              <w:rPr>
                <w:rFonts w:ascii="Arial" w:cs="Arial" w:eastAsia="Arial" w:hAnsi="Arial"/>
                <w:sz w:val="18"/>
                <w:szCs w:val="18"/>
                <w:color w:val="auto"/>
              </w:rPr>
              <w:t>7,918</w:t>
            </w:r>
          </w:p>
        </w:tc>
        <w:tc>
          <w:tcPr>
            <w:tcW w:w="1000" w:type="dxa"/>
            <w:vAlign w:val="bottom"/>
          </w:tcPr>
          <w:p>
            <w:pPr>
              <w:jc w:val="right"/>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7,048</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3798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56"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2021 and December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September 30, 2021</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9"/>
              </w:rPr>
              <w:t>As of December 31, 2020</w:t>
            </w:r>
          </w:p>
        </w:tc>
      </w:tr>
      <w:tr>
        <w:trPr>
          <w:trHeight w:val="187"/>
        </w:trPr>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2,172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1,906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30, 2021</w:t>
            </w:r>
          </w:p>
        </w:tc>
        <w:tc>
          <w:tcPr>
            <w:tcW w:w="320" w:type="dxa"/>
            <w:vAlign w:val="bottom"/>
          </w:tcPr>
          <w:p>
            <w:pPr>
              <w:spacing w:after="0"/>
              <w:rPr>
                <w:sz w:val="16"/>
                <w:szCs w:val="16"/>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3"/>
          </w:tcPr>
          <w:p>
            <w:pPr>
              <w:jc w:val="right"/>
              <w:ind w:right="30"/>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1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(b)</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hanging="148"/>
        <w:spacing w:after="0"/>
        <w:tabs>
          <w:tab w:leader="none" w:pos="4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or Level 3 and no liabilities classified as Level 1 as of September 30, 2021 and December 31, 2020.</w:t>
      </w:r>
    </w:p>
    <w:p>
      <w:pPr>
        <w:spacing w:after="0" w:line="37" w:lineRule="exact"/>
        <w:rPr>
          <w:rFonts w:ascii="Arial" w:cs="Arial" w:eastAsia="Arial" w:hAnsi="Arial"/>
          <w:sz w:val="18"/>
          <w:szCs w:val="18"/>
          <w:color w:val="auto"/>
          <w:vertAlign w:val="superscript"/>
        </w:rPr>
      </w:pPr>
    </w:p>
    <w:p>
      <w:pPr>
        <w:ind w:left="460" w:hanging="128"/>
        <w:spacing w:after="0"/>
        <w:tabs>
          <w:tab w:leader="none" w:pos="460" w:val="left"/>
        </w:tabs>
        <w:numPr>
          <w:ilvl w:val="0"/>
          <w:numId w:val="14"/>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14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6"/>
                <w:szCs w:val="16"/>
                <w:color w:val="auto"/>
              </w:rPr>
            </w:pPr>
          </w:p>
        </w:tc>
        <w:tc>
          <w:tcPr>
            <w:tcW w:w="28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5"/>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7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4"/>
          </w:tcPr>
          <w:p>
            <w:pPr>
              <w:jc w:val="center"/>
              <w:ind w:right="53"/>
              <w:spacing w:after="0" w:line="135"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Unobservable Inputs (Level 3)</w:t>
            </w:r>
          </w:p>
        </w:tc>
        <w:tc>
          <w:tcPr>
            <w:tcW w:w="140" w:type="dxa"/>
            <w:vAlign w:val="bottom"/>
          </w:tcPr>
          <w:p>
            <w:pPr>
              <w:spacing w:after="0"/>
              <w:rPr>
                <w:sz w:val="16"/>
                <w:szCs w:val="16"/>
                <w:color w:val="auto"/>
              </w:rPr>
            </w:pPr>
          </w:p>
        </w:tc>
        <w:tc>
          <w:tcPr>
            <w:tcW w:w="28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Total losses for the period included in earnings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2"/>
              </w:rPr>
              <w:t>Change in unrealized losses included in earnings for derivatives and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vMerge w:val="continue"/>
          </w:tcPr>
          <w:p>
            <w:pPr>
              <w:spacing w:after="0"/>
              <w:rPr>
                <w:sz w:val="10"/>
                <w:szCs w:val="10"/>
                <w:color w:val="auto"/>
              </w:rPr>
            </w:pPr>
          </w:p>
        </w:tc>
        <w:tc>
          <w:tcPr>
            <w:tcW w:w="200" w:type="dxa"/>
            <w:vAlign w:val="bottom"/>
            <w:vMerge w:val="restart"/>
          </w:tcPr>
          <w:p>
            <w:pPr>
              <w:jc w:val="right"/>
              <w:ind w:right="15"/>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financial instruments held as of September 30, 2021</w:t>
            </w:r>
          </w:p>
        </w:tc>
        <w:tc>
          <w:tcPr>
            <w:tcW w:w="2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September 30, 2021, contracts valued with prices provided by models and other valuation techniques make up 64% of derivative liabilities and 100% of other financial instruments.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power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quantifies the significant unobservable inputs used in developing the fair value of the Company's Level 3 positions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2021</w:t>
            </w: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8"/>
                <w:szCs w:val="18"/>
                <w:b w:val="1"/>
                <w:bCs w:val="1"/>
                <w:color w:val="auto"/>
              </w:rPr>
              <w:t>Input/Range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vMerge w:val="restart"/>
          </w:tcPr>
          <w:p>
            <w:pPr>
              <w:ind w:left="360"/>
              <w:spacing w:after="0"/>
              <w:rPr>
                <w:sz w:val="20"/>
                <w:szCs w:val="20"/>
                <w:color w:val="auto"/>
              </w:rPr>
            </w:pPr>
            <w:r>
              <w:rPr>
                <w:rFonts w:ascii="Arial" w:cs="Arial" w:eastAsia="Arial" w:hAnsi="Arial"/>
                <w:sz w:val="18"/>
                <w:szCs w:val="18"/>
                <w:b w:val="1"/>
                <w:bCs w:val="1"/>
                <w:color w:val="auto"/>
                <w:w w:val="93"/>
              </w:rPr>
              <w:t>Valuation</w:t>
            </w:r>
          </w:p>
        </w:tc>
        <w:tc>
          <w:tcPr>
            <w:tcW w:w="1580" w:type="dxa"/>
            <w:vAlign w:val="bottom"/>
          </w:tcPr>
          <w:p>
            <w:pPr>
              <w:jc w:val="center"/>
              <w:ind w:left="136"/>
              <w:spacing w:after="0" w:line="169" w:lineRule="exact"/>
              <w:rPr>
                <w:sz w:val="20"/>
                <w:szCs w:val="20"/>
                <w:color w:val="auto"/>
              </w:rPr>
            </w:pPr>
            <w:r>
              <w:rPr>
                <w:rFonts w:ascii="Arial" w:cs="Arial" w:eastAsia="Arial" w:hAnsi="Arial"/>
                <w:sz w:val="18"/>
                <w:szCs w:val="18"/>
                <w:b w:val="1"/>
                <w:bCs w:val="1"/>
                <w:color w:val="auto"/>
                <w:w w:val="91"/>
              </w:rPr>
              <w:t>Significant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5"/>
                <w:szCs w:val="15"/>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93"/>
              </w:rPr>
              <w:t>Liabilities</w:t>
            </w:r>
          </w:p>
        </w:tc>
        <w:tc>
          <w:tcPr>
            <w:tcW w:w="1140" w:type="dxa"/>
            <w:vAlign w:val="bottom"/>
            <w:vMerge w:val="continue"/>
          </w:tcPr>
          <w:p>
            <w:pPr>
              <w:spacing w:after="0"/>
              <w:rPr>
                <w:sz w:val="15"/>
                <w:szCs w:val="15"/>
                <w:color w:val="auto"/>
              </w:rPr>
            </w:pPr>
          </w:p>
        </w:tc>
        <w:tc>
          <w:tcPr>
            <w:tcW w:w="1580" w:type="dxa"/>
            <w:vAlign w:val="bottom"/>
          </w:tcPr>
          <w:p>
            <w:pPr>
              <w:jc w:val="center"/>
              <w:ind w:right="116"/>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380" w:type="dxa"/>
            <w:vAlign w:val="bottom"/>
          </w:tcPr>
          <w:p>
            <w:pPr>
              <w:spacing w:after="0"/>
              <w:rPr>
                <w:sz w:val="15"/>
                <w:szCs w:val="15"/>
                <w:color w:val="auto"/>
              </w:rPr>
            </w:pPr>
          </w:p>
        </w:tc>
        <w:tc>
          <w:tcPr>
            <w:tcW w:w="1140" w:type="dxa"/>
            <w:vAlign w:val="bottom"/>
            <w:vMerge w:val="restart"/>
          </w:tcPr>
          <w:p>
            <w:pPr>
              <w:jc w:val="right"/>
              <w:ind w:right="496"/>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15"/>
                <w:szCs w:val="15"/>
                <w:color w:val="auto"/>
              </w:rPr>
            </w:pPr>
          </w:p>
        </w:tc>
        <w:tc>
          <w:tcPr>
            <w:tcW w:w="1200" w:type="dxa"/>
            <w:vAlign w:val="bottom"/>
            <w:vMerge w:val="restart"/>
          </w:tcPr>
          <w:p>
            <w:pPr>
              <w:jc w:val="right"/>
              <w:ind w:right="496"/>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b w:val="1"/>
                <w:bCs w:val="1"/>
                <w:color w:val="auto"/>
                <w:w w:val="88"/>
              </w:rPr>
              <w:t>Technique</w:t>
            </w:r>
          </w:p>
        </w:tc>
        <w:tc>
          <w:tcPr>
            <w:tcW w:w="1580" w:type="dxa"/>
            <w:vAlign w:val="bottom"/>
            <w:tcBorders>
              <w:bottom w:val="single" w:sz="8" w:color="auto"/>
            </w:tcBorders>
          </w:tcPr>
          <w:p>
            <w:pPr>
              <w:jc w:val="center"/>
              <w:ind w:right="96"/>
              <w:spacing w:after="0"/>
              <w:rPr>
                <w:sz w:val="20"/>
                <w:szCs w:val="20"/>
                <w:color w:val="auto"/>
              </w:rPr>
            </w:pPr>
            <w:r>
              <w:rPr>
                <w:rFonts w:ascii="Arial" w:cs="Arial" w:eastAsia="Arial" w:hAnsi="Arial"/>
                <w:sz w:val="18"/>
                <w:szCs w:val="18"/>
                <w:b w:val="1"/>
                <w:bCs w:val="1"/>
                <w:color w:val="auto"/>
                <w:w w:val="99"/>
              </w:rPr>
              <w:t>Input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gridSpan w:val="2"/>
          </w:tcPr>
          <w:p>
            <w:pPr>
              <w:ind w:left="380"/>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40" w:type="dxa"/>
            <w:vAlign w:val="bottom"/>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Power</w:t>
            </w: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w w:val="94"/>
              </w:rPr>
              <w:t>Discounted</w:t>
            </w:r>
          </w:p>
        </w:tc>
        <w:tc>
          <w:tcPr>
            <w:tcW w:w="1580" w:type="dxa"/>
            <w:vAlign w:val="bottom"/>
            <w:shd w:val="clear" w:color="auto" w:fill="CCEEFF"/>
          </w:tcPr>
          <w:p>
            <w:pPr>
              <w:jc w:val="center"/>
              <w:ind w:left="136"/>
              <w:spacing w:after="0" w:line="168" w:lineRule="exact"/>
              <w:rPr>
                <w:sz w:val="20"/>
                <w:szCs w:val="20"/>
                <w:color w:val="auto"/>
              </w:rPr>
            </w:pPr>
            <w:r>
              <w:rPr>
                <w:rFonts w:ascii="Arial" w:cs="Arial" w:eastAsia="Arial" w:hAnsi="Arial"/>
                <w:sz w:val="16"/>
                <w:szCs w:val="16"/>
                <w:color w:val="auto"/>
                <w:w w:val="95"/>
              </w:rPr>
              <w:t>Forward</w:t>
            </w: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40" w:type="dxa"/>
            <w:vAlign w:val="bottom"/>
            <w:vMerge w:val="continue"/>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56"/>
              <w:spacing w:after="0"/>
              <w:rPr>
                <w:sz w:val="20"/>
                <w:szCs w:val="20"/>
                <w:color w:val="auto"/>
              </w:rPr>
            </w:pPr>
            <w:r>
              <w:rPr>
                <w:rFonts w:ascii="Arial" w:cs="Arial" w:eastAsia="Arial" w:hAnsi="Arial"/>
                <w:sz w:val="16"/>
                <w:szCs w:val="16"/>
                <w:color w:val="auto"/>
              </w:rPr>
              <w:t>(138)</w:t>
            </w:r>
          </w:p>
        </w:tc>
        <w:tc>
          <w:tcPr>
            <w:tcW w:w="1140" w:type="dxa"/>
            <w:vAlign w:val="bottom"/>
            <w:vMerge w:val="continue"/>
            <w:shd w:val="clear" w:color="auto" w:fill="CCEEFF"/>
          </w:tcPr>
          <w:p>
            <w:pPr>
              <w:spacing w:after="0"/>
              <w:rPr>
                <w:sz w:val="13"/>
                <w:szCs w:val="13"/>
                <w:color w:val="auto"/>
              </w:rPr>
            </w:pPr>
          </w:p>
        </w:tc>
        <w:tc>
          <w:tcPr>
            <w:tcW w:w="1580" w:type="dxa"/>
            <w:vAlign w:val="bottom"/>
            <w:shd w:val="clear" w:color="auto" w:fill="CCEEFF"/>
          </w:tcPr>
          <w:p>
            <w:pPr>
              <w:jc w:val="center"/>
              <w:ind w:right="116"/>
              <w:spacing w:after="0" w:line="158" w:lineRule="exact"/>
              <w:rPr>
                <w:sz w:val="20"/>
                <w:szCs w:val="20"/>
                <w:color w:val="auto"/>
              </w:rPr>
            </w:pPr>
            <w:r>
              <w:rPr>
                <w:rFonts w:ascii="Arial" w:cs="Arial" w:eastAsia="Arial" w:hAnsi="Arial"/>
                <w:sz w:val="16"/>
                <w:szCs w:val="16"/>
                <w:color w:val="auto"/>
                <w:w w:val="92"/>
              </w:rPr>
              <w:t>Market Price (per</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6"/>
              <w:spacing w:after="0"/>
              <w:rPr>
                <w:sz w:val="20"/>
                <w:szCs w:val="20"/>
                <w:color w:val="auto"/>
              </w:rPr>
            </w:pPr>
            <w:r>
              <w:rPr>
                <w:rFonts w:ascii="Arial" w:cs="Arial" w:eastAsia="Arial" w:hAnsi="Arial"/>
                <w:sz w:val="16"/>
                <w:szCs w:val="16"/>
                <w:color w:val="auto"/>
              </w:rPr>
              <w:t>14.35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6"/>
              <w:spacing w:after="0"/>
              <w:rPr>
                <w:sz w:val="20"/>
                <w:szCs w:val="20"/>
                <w:color w:val="auto"/>
              </w:rPr>
            </w:pPr>
            <w:r>
              <w:rPr>
                <w:rFonts w:ascii="Arial" w:cs="Arial" w:eastAsia="Arial" w:hAnsi="Arial"/>
                <w:sz w:val="16"/>
                <w:szCs w:val="16"/>
                <w:color w:val="auto"/>
              </w:rPr>
              <w:t>76.09</w:t>
            </w:r>
          </w:p>
        </w:tc>
        <w:tc>
          <w:tcPr>
            <w:tcW w:w="32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Contracts</w:t>
            </w:r>
          </w:p>
        </w:tc>
        <w:tc>
          <w:tcPr>
            <w:tcW w:w="5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center"/>
              <w:ind w:right="16"/>
              <w:spacing w:after="0"/>
              <w:rPr>
                <w:sz w:val="20"/>
                <w:szCs w:val="20"/>
                <w:color w:val="auto"/>
              </w:rPr>
            </w:pPr>
            <w:r>
              <w:rPr>
                <w:rFonts w:ascii="Arial" w:cs="Arial" w:eastAsia="Arial" w:hAnsi="Arial"/>
                <w:sz w:val="16"/>
                <w:szCs w:val="16"/>
                <w:color w:val="auto"/>
                <w:w w:val="89"/>
              </w:rPr>
              <w:t>Cash Flow</w:t>
            </w:r>
          </w:p>
        </w:tc>
        <w:tc>
          <w:tcPr>
            <w:tcW w:w="1580" w:type="dxa"/>
            <w:vAlign w:val="bottom"/>
            <w:shd w:val="clear" w:color="auto" w:fill="CCEEFF"/>
          </w:tcPr>
          <w:p>
            <w:pPr>
              <w:jc w:val="center"/>
              <w:ind w:right="96"/>
              <w:spacing w:after="0"/>
              <w:rPr>
                <w:sz w:val="20"/>
                <w:szCs w:val="20"/>
                <w:color w:val="auto"/>
              </w:rPr>
            </w:pPr>
            <w:r>
              <w:rPr>
                <w:rFonts w:ascii="Arial" w:cs="Arial" w:eastAsia="Arial" w:hAnsi="Arial"/>
                <w:sz w:val="16"/>
                <w:szCs w:val="16"/>
                <w:color w:val="auto"/>
              </w:rPr>
              <w:t>MWh)</w:t>
            </w:r>
          </w:p>
        </w:tc>
        <w:tc>
          <w:tcPr>
            <w:tcW w:w="3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Other</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center"/>
              <w:ind w:left="136"/>
              <w:spacing w:after="0" w:line="166" w:lineRule="exact"/>
              <w:rPr>
                <w:sz w:val="20"/>
                <w:szCs w:val="20"/>
                <w:color w:val="auto"/>
              </w:rPr>
            </w:pPr>
            <w:r>
              <w:rPr>
                <w:rFonts w:ascii="Arial" w:cs="Arial" w:eastAsia="Arial" w:hAnsi="Arial"/>
                <w:sz w:val="16"/>
                <w:szCs w:val="16"/>
                <w:color w:val="auto"/>
                <w:w w:val="89"/>
              </w:rPr>
              <w:t>Forecast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vMerge w:val="restart"/>
          </w:tcPr>
          <w:p>
            <w:pPr>
              <w:ind w:left="360"/>
              <w:spacing w:after="0"/>
              <w:rPr>
                <w:sz w:val="20"/>
                <w:szCs w:val="20"/>
                <w:color w:val="auto"/>
              </w:rPr>
            </w:pPr>
            <w:r>
              <w:rPr>
                <w:rFonts w:ascii="Arial" w:cs="Arial" w:eastAsia="Arial" w:hAnsi="Arial"/>
                <w:sz w:val="16"/>
                <w:szCs w:val="16"/>
                <w:color w:val="auto"/>
                <w:w w:val="94"/>
              </w:rPr>
              <w:t>Discounted</w:t>
            </w:r>
          </w:p>
        </w:tc>
        <w:tc>
          <w:tcPr>
            <w:tcW w:w="1580" w:type="dxa"/>
            <w:vAlign w:val="bottom"/>
          </w:tcPr>
          <w:p>
            <w:pPr>
              <w:jc w:val="center"/>
              <w:ind w:right="96"/>
              <w:spacing w:after="0" w:line="158" w:lineRule="exact"/>
              <w:rPr>
                <w:sz w:val="20"/>
                <w:szCs w:val="20"/>
                <w:color w:val="auto"/>
              </w:rPr>
            </w:pPr>
            <w:r>
              <w:rPr>
                <w:rFonts w:ascii="Arial" w:cs="Arial" w:eastAsia="Arial" w:hAnsi="Arial"/>
                <w:sz w:val="16"/>
                <w:szCs w:val="16"/>
                <w:color w:val="auto"/>
                <w:w w:val="90"/>
              </w:rPr>
              <w:t>annual generation</w:t>
            </w: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Financial</w:t>
            </w:r>
          </w:p>
        </w:tc>
        <w:tc>
          <w:tcPr>
            <w:tcW w:w="580" w:type="dxa"/>
            <w:vAlign w:val="bottom"/>
          </w:tcPr>
          <w:p>
            <w:pPr>
              <w:spacing w:after="0"/>
              <w:rPr>
                <w:sz w:val="14"/>
                <w:szCs w:val="14"/>
                <w:color w:val="auto"/>
              </w:rPr>
            </w:pP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Arial" w:cs="Arial" w:eastAsia="Arial" w:hAnsi="Arial"/>
                <w:sz w:val="16"/>
                <w:szCs w:val="16"/>
                <w:color w:val="auto"/>
              </w:rPr>
              <w:t>—</w:t>
            </w:r>
          </w:p>
        </w:tc>
        <w:tc>
          <w:tcPr>
            <w:tcW w:w="1140" w:type="dxa"/>
            <w:vAlign w:val="bottom"/>
            <w:vMerge w:val="continue"/>
          </w:tcPr>
          <w:p>
            <w:pPr>
              <w:spacing w:after="0"/>
              <w:rPr>
                <w:sz w:val="14"/>
                <w:szCs w:val="14"/>
                <w:color w:val="auto"/>
              </w:rPr>
            </w:pPr>
          </w:p>
        </w:tc>
        <w:tc>
          <w:tcPr>
            <w:tcW w:w="1580" w:type="dxa"/>
            <w:vAlign w:val="bottom"/>
          </w:tcPr>
          <w:p>
            <w:pPr>
              <w:jc w:val="center"/>
              <w:ind w:right="96"/>
              <w:spacing w:after="0" w:line="162" w:lineRule="exact"/>
              <w:rPr>
                <w:sz w:val="20"/>
                <w:szCs w:val="20"/>
                <w:color w:val="auto"/>
              </w:rPr>
            </w:pPr>
            <w:r>
              <w:rPr>
                <w:rFonts w:ascii="Arial" w:cs="Arial" w:eastAsia="Arial" w:hAnsi="Arial"/>
                <w:sz w:val="16"/>
                <w:szCs w:val="16"/>
                <w:color w:val="auto"/>
                <w:w w:val="94"/>
              </w:rPr>
              <w:t>levels of certain DG</w:t>
            </w:r>
          </w:p>
        </w:tc>
        <w:tc>
          <w:tcPr>
            <w:tcW w:w="380" w:type="dxa"/>
            <w:vAlign w:val="bottom"/>
          </w:tcPr>
          <w:p>
            <w:pPr>
              <w:spacing w:after="0"/>
              <w:rPr>
                <w:sz w:val="14"/>
                <w:szCs w:val="14"/>
                <w:color w:val="auto"/>
              </w:rPr>
            </w:pPr>
          </w:p>
        </w:tc>
        <w:tc>
          <w:tcPr>
            <w:tcW w:w="1140" w:type="dxa"/>
            <w:vAlign w:val="bottom"/>
            <w:vMerge w:val="restart"/>
          </w:tcPr>
          <w:p>
            <w:pPr>
              <w:jc w:val="right"/>
              <w:ind w:right="136"/>
              <w:spacing w:after="0"/>
              <w:rPr>
                <w:sz w:val="20"/>
                <w:szCs w:val="20"/>
                <w:color w:val="auto"/>
              </w:rPr>
            </w:pPr>
            <w:r>
              <w:rPr>
                <w:rFonts w:ascii="Arial" w:cs="Arial" w:eastAsia="Arial" w:hAnsi="Arial"/>
                <w:sz w:val="16"/>
                <w:szCs w:val="16"/>
                <w:color w:val="auto"/>
                <w:w w:val="99"/>
              </w:rPr>
              <w:t>80,872 MWh</w:t>
            </w:r>
          </w:p>
        </w:tc>
        <w:tc>
          <w:tcPr>
            <w:tcW w:w="320" w:type="dxa"/>
            <w:vAlign w:val="bottom"/>
          </w:tcPr>
          <w:p>
            <w:pPr>
              <w:spacing w:after="0"/>
              <w:rPr>
                <w:sz w:val="14"/>
                <w:szCs w:val="14"/>
                <w:color w:val="auto"/>
              </w:rPr>
            </w:pPr>
          </w:p>
        </w:tc>
        <w:tc>
          <w:tcPr>
            <w:tcW w:w="1200" w:type="dxa"/>
            <w:vAlign w:val="bottom"/>
            <w:vMerge w:val="restart"/>
          </w:tcPr>
          <w:p>
            <w:pPr>
              <w:jc w:val="right"/>
              <w:ind w:right="136"/>
              <w:spacing w:after="0"/>
              <w:rPr>
                <w:sz w:val="20"/>
                <w:szCs w:val="20"/>
                <w:color w:val="auto"/>
              </w:rPr>
            </w:pPr>
            <w:r>
              <w:rPr>
                <w:rFonts w:ascii="Arial" w:cs="Arial" w:eastAsia="Arial" w:hAnsi="Arial"/>
                <w:sz w:val="16"/>
                <w:szCs w:val="16"/>
                <w:color w:val="auto"/>
                <w:w w:val="96"/>
              </w:rPr>
              <w:t>129,913 MWh</w:t>
            </w: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w w:val="94"/>
              </w:rPr>
              <w:t>124,783 MWh</w:t>
            </w: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5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140" w:type="dxa"/>
            <w:vAlign w:val="bottom"/>
          </w:tcPr>
          <w:p>
            <w:pPr>
              <w:jc w:val="center"/>
              <w:ind w:right="16"/>
              <w:spacing w:after="0"/>
              <w:rPr>
                <w:sz w:val="20"/>
                <w:szCs w:val="20"/>
                <w:color w:val="auto"/>
              </w:rPr>
            </w:pPr>
            <w:r>
              <w:rPr>
                <w:rFonts w:ascii="Arial" w:cs="Arial" w:eastAsia="Arial" w:hAnsi="Arial"/>
                <w:sz w:val="16"/>
                <w:szCs w:val="16"/>
                <w:color w:val="auto"/>
                <w:w w:val="89"/>
              </w:rPr>
              <w:t>Cash Flow</w:t>
            </w:r>
          </w:p>
        </w:tc>
        <w:tc>
          <w:tcPr>
            <w:tcW w:w="1580" w:type="dxa"/>
            <w:vAlign w:val="bottom"/>
          </w:tcPr>
          <w:p>
            <w:pPr>
              <w:jc w:val="center"/>
              <w:ind w:right="96"/>
              <w:spacing w:after="0"/>
              <w:rPr>
                <w:sz w:val="20"/>
                <w:szCs w:val="20"/>
                <w:color w:val="auto"/>
              </w:rPr>
            </w:pPr>
            <w:r>
              <w:rPr>
                <w:rFonts w:ascii="Arial" w:cs="Arial" w:eastAsia="Arial" w:hAnsi="Arial"/>
                <w:sz w:val="16"/>
                <w:szCs w:val="16"/>
                <w:color w:val="auto"/>
                <w:w w:val="95"/>
              </w:rPr>
              <w:t>solar facilities</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sensitivity of fair value measurements to increases/(decreases) in significant unobservable inputs as of September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Significant Observable Input</w:t>
            </w:r>
          </w:p>
        </w:tc>
        <w:tc>
          <w:tcPr>
            <w:tcW w:w="208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87"/>
              </w:rPr>
              <w:t>Position</w:t>
            </w:r>
          </w:p>
        </w:tc>
        <w:tc>
          <w:tcPr>
            <w:tcW w:w="24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4"/>
              </w:rPr>
              <w:t>Change In Input</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Impact on Fair Value</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Forward Market Price Power</w:t>
            </w:r>
          </w:p>
        </w:tc>
        <w:tc>
          <w:tcPr>
            <w:tcW w:w="208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6"/>
              </w:rPr>
              <w:t>Buy</w:t>
            </w:r>
          </w:p>
        </w:tc>
        <w:tc>
          <w:tcPr>
            <w:tcW w:w="2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Increase/(Decrease)</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30"/>
        </w:trPr>
        <w:tc>
          <w:tcPr>
            <w:tcW w:w="4040" w:type="dxa"/>
            <w:vAlign w:val="bottom"/>
          </w:tcPr>
          <w:p>
            <w:pPr>
              <w:jc w:val="center"/>
              <w:ind w:left="10"/>
              <w:spacing w:after="0"/>
              <w:rPr>
                <w:sz w:val="20"/>
                <w:szCs w:val="20"/>
                <w:color w:val="auto"/>
              </w:rPr>
            </w:pPr>
            <w:r>
              <w:rPr>
                <w:rFonts w:ascii="Arial" w:cs="Arial" w:eastAsia="Arial" w:hAnsi="Arial"/>
                <w:sz w:val="18"/>
                <w:szCs w:val="18"/>
                <w:color w:val="auto"/>
                <w:w w:val="92"/>
              </w:rPr>
              <w:t>Forward Market Price Power</w:t>
            </w:r>
          </w:p>
        </w:tc>
        <w:tc>
          <w:tcPr>
            <w:tcW w:w="2080" w:type="dxa"/>
            <w:vAlign w:val="bottom"/>
          </w:tcPr>
          <w:p>
            <w:pPr>
              <w:jc w:val="center"/>
              <w:ind w:left="190"/>
              <w:spacing w:after="0"/>
              <w:rPr>
                <w:sz w:val="20"/>
                <w:szCs w:val="20"/>
                <w:color w:val="auto"/>
              </w:rPr>
            </w:pPr>
            <w:r>
              <w:rPr>
                <w:rFonts w:ascii="Arial" w:cs="Arial" w:eastAsia="Arial" w:hAnsi="Arial"/>
                <w:sz w:val="18"/>
                <w:szCs w:val="18"/>
                <w:color w:val="auto"/>
                <w:w w:val="93"/>
              </w:rPr>
              <w:t>Sell</w:t>
            </w:r>
          </w:p>
        </w:tc>
        <w:tc>
          <w:tcPr>
            <w:tcW w:w="2460" w:type="dxa"/>
            <w:vAlign w:val="bottom"/>
          </w:tcPr>
          <w:p>
            <w:pPr>
              <w:jc w:val="center"/>
              <w:ind w:left="30"/>
              <w:spacing w:after="0"/>
              <w:rPr>
                <w:sz w:val="20"/>
                <w:szCs w:val="20"/>
                <w:color w:val="auto"/>
              </w:rPr>
            </w:pPr>
            <w:r>
              <w:rPr>
                <w:rFonts w:ascii="Arial" w:cs="Arial" w:eastAsia="Arial" w:hAnsi="Arial"/>
                <w:sz w:val="18"/>
                <w:szCs w:val="18"/>
                <w:color w:val="auto"/>
                <w:w w:val="87"/>
              </w:rPr>
              <w:t>Increase/(Decrease)</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Forecast Generation Levels</w:t>
            </w:r>
          </w:p>
        </w:tc>
        <w:tc>
          <w:tcPr>
            <w:tcW w:w="20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3"/>
              </w:rPr>
              <w:t>Sell</w:t>
            </w:r>
          </w:p>
        </w:tc>
        <w:tc>
          <w:tcPr>
            <w:tcW w:w="2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Increase/(Decrease)</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2021, the non-performance reserve was a $10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 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w:t>
      </w:r>
      <w:r>
        <w:rPr>
          <w:rFonts w:ascii="Arial" w:cs="Arial" w:eastAsia="Arial" w:hAnsi="Arial"/>
          <w:sz w:val="18"/>
          <w:szCs w:val="18"/>
          <w:color w:val="000000"/>
        </w:rPr>
        <w:t>statements</w:t>
      </w:r>
      <w:r>
        <w:rPr>
          <w:rFonts w:ascii="Arial" w:cs="Arial" w:eastAsia="Arial" w:hAnsi="Arial"/>
          <w:sz w:val="18"/>
          <w:szCs w:val="18"/>
          <w:color w:val="231F20"/>
        </w:rPr>
        <w:t xml:space="preserve"> included in the Company's </w:t>
      </w:r>
      <w:r>
        <w:rPr>
          <w:rFonts w:ascii="Arial" w:cs="Arial" w:eastAsia="Arial" w:hAnsi="Arial"/>
          <w:sz w:val="18"/>
          <w:szCs w:val="18"/>
          <w:color w:val="000000"/>
        </w:rPr>
        <w:t>2020 Form 10-K, the following item is a discussion of the concentration of credit risk for the Company's</w:t>
      </w:r>
      <w:r>
        <w:rPr>
          <w:rFonts w:ascii="Arial" w:cs="Arial" w:eastAsia="Arial" w:hAnsi="Arial"/>
          <w:sz w:val="18"/>
          <w:szCs w:val="18"/>
          <w:color w:val="231F20"/>
        </w:rPr>
        <w:t xml:space="preserve"> </w:t>
      </w:r>
      <w:r>
        <w:rPr>
          <w:rFonts w:ascii="Arial" w:cs="Arial" w:eastAsia="Arial" w:hAnsi="Arial"/>
          <w:sz w:val="18"/>
          <w:szCs w:val="18"/>
          <w:color w:val="000000"/>
        </w:rPr>
        <w:t>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 grade.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in order to hedge the variability of expected future cash interest payments. As of September 30, 2021,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2021, the Company had energy-related derivative instruments extending through 2032. At September 30, 2021,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jc w:val="right"/>
              <w:ind w:right="1415"/>
              <w:spacing w:after="0"/>
              <w:rPr>
                <w:sz w:val="20"/>
                <w:szCs w:val="20"/>
                <w:color w:val="auto"/>
              </w:rPr>
            </w:pPr>
            <w:r>
              <w:rPr>
                <w:rFonts w:ascii="Arial" w:cs="Arial" w:eastAsia="Arial" w:hAnsi="Arial"/>
                <w:sz w:val="14"/>
                <w:szCs w:val="14"/>
                <w:b w:val="1"/>
                <w:bCs w:val="1"/>
                <w:color w:val="auto"/>
              </w:rPr>
              <w:t>Total Volume</w:t>
            </w: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September 30, 2021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2020</w:t>
            </w:r>
          </w:p>
        </w:tc>
      </w:tr>
      <w:tr>
        <w:trPr>
          <w:trHeight w:val="145"/>
        </w:trPr>
        <w:tc>
          <w:tcPr>
            <w:tcW w:w="20" w:type="dxa"/>
            <w:vAlign w:val="bottom"/>
          </w:tcPr>
          <w:p>
            <w:pPr>
              <w:spacing w:after="0"/>
              <w:rPr>
                <w:sz w:val="12"/>
                <w:szCs w:val="12"/>
                <w:color w:val="auto"/>
              </w:rPr>
            </w:pPr>
          </w:p>
        </w:tc>
        <w:tc>
          <w:tcPr>
            <w:tcW w:w="13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Commodity</w:t>
            </w:r>
          </w:p>
        </w:tc>
        <w:tc>
          <w:tcPr>
            <w:tcW w:w="6040" w:type="dxa"/>
            <w:vAlign w:val="bottom"/>
            <w:gridSpan w:val="3"/>
          </w:tcPr>
          <w:p>
            <w:pPr>
              <w:ind w:left="520"/>
              <w:spacing w:after="0" w:line="145"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2080" w:type="dxa"/>
            <w:vAlign w:val="bottom"/>
            <w:gridSpan w:val="2"/>
          </w:tcPr>
          <w:p>
            <w:pPr>
              <w:ind w:left="1320"/>
              <w:spacing w:after="0" w:line="14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MMBtu</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Power</w:t>
            </w:r>
          </w:p>
        </w:tc>
        <w:tc>
          <w:tcPr>
            <w:tcW w:w="6040" w:type="dxa"/>
            <w:vAlign w:val="bottom"/>
            <w:gridSpan w:val="3"/>
          </w:tcPr>
          <w:p>
            <w:pPr>
              <w:ind w:left="520"/>
              <w:spacing w:after="0"/>
              <w:rPr>
                <w:sz w:val="20"/>
                <w:szCs w:val="20"/>
                <w:color w:val="auto"/>
              </w:rPr>
            </w:pPr>
            <w:r>
              <w:rPr>
                <w:rFonts w:ascii="Arial" w:cs="Arial" w:eastAsia="Arial" w:hAnsi="Arial"/>
                <w:sz w:val="18"/>
                <w:szCs w:val="18"/>
                <w:color w:val="auto"/>
              </w:rPr>
              <w:t>MWh</w:t>
            </w:r>
          </w:p>
        </w:tc>
        <w:tc>
          <w:tcPr>
            <w:tcW w:w="200" w:type="dxa"/>
            <w:vAlign w:val="bottom"/>
          </w:tcPr>
          <w:p>
            <w:pPr>
              <w:spacing w:after="0"/>
              <w:rPr>
                <w:sz w:val="19"/>
                <w:szCs w:val="19"/>
                <w:color w:val="auto"/>
              </w:rPr>
            </w:pPr>
          </w:p>
        </w:tc>
        <w:tc>
          <w:tcPr>
            <w:tcW w:w="1700" w:type="dxa"/>
            <w:vAlign w:val="bottom"/>
          </w:tcPr>
          <w:p>
            <w:pPr>
              <w:ind w:left="13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Dollars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1,389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Derivative Assets</w:t>
            </w: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8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 2021</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700" w:type="dxa"/>
            <w:vAlign w:val="bottom"/>
            <w:gridSpan w:val="6"/>
          </w:tcPr>
          <w:p>
            <w:pPr>
              <w:ind w:left="58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440"/>
              <w:spacing w:after="0" w:line="177" w:lineRule="exact"/>
              <w:rPr>
                <w:sz w:val="20"/>
                <w:szCs w:val="20"/>
                <w:color w:val="auto"/>
              </w:rPr>
            </w:pPr>
            <w:r>
              <w:rPr>
                <w:rFonts w:ascii="Arial" w:cs="Arial" w:eastAsia="Arial" w:hAnsi="Arial"/>
                <w:sz w:val="18"/>
                <w:szCs w:val="18"/>
                <w:b w:val="1"/>
                <w:bCs w:val="1"/>
                <w:color w:val="auto"/>
              </w:rPr>
              <w:t>Derivatives Designated as Cash Flow</w:t>
            </w:r>
          </w:p>
        </w:tc>
        <w:tc>
          <w:tcPr>
            <w:tcW w:w="1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Hedges:</w:t>
            </w: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60"/>
              <w:spacing w:after="0"/>
              <w:rPr>
                <w:sz w:val="20"/>
                <w:szCs w:val="20"/>
                <w:color w:val="auto"/>
              </w:rPr>
            </w:pPr>
            <w:r>
              <w:rPr>
                <w:rFonts w:ascii="Arial" w:cs="Arial" w:eastAsia="Arial" w:hAnsi="Arial"/>
                <w:sz w:val="18"/>
                <w:szCs w:val="18"/>
                <w:color w:val="auto"/>
              </w:rPr>
              <w:t>Interest rate contracts current</w:t>
            </w:r>
          </w:p>
        </w:tc>
        <w:tc>
          <w:tcPr>
            <w:tcW w:w="100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9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contracts long-term</w:t>
            </w:r>
          </w:p>
        </w:tc>
        <w:tc>
          <w:tcPr>
            <w:tcW w:w="10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55"/>
        </w:trPr>
        <w:tc>
          <w:tcPr>
            <w:tcW w:w="3780" w:type="dxa"/>
            <w:vAlign w:val="bottom"/>
          </w:tcPr>
          <w:p>
            <w:pPr>
              <w:ind w:left="600"/>
              <w:spacing w:after="0" w:line="156" w:lineRule="exact"/>
              <w:rPr>
                <w:sz w:val="20"/>
                <w:szCs w:val="20"/>
                <w:color w:val="auto"/>
              </w:rPr>
            </w:pPr>
            <w:r>
              <w:rPr>
                <w:rFonts w:ascii="Arial" w:cs="Arial" w:eastAsia="Arial" w:hAnsi="Arial"/>
                <w:sz w:val="18"/>
                <w:szCs w:val="18"/>
                <w:b w:val="1"/>
                <w:bCs w:val="1"/>
                <w:color w:val="auto"/>
                <w:w w:val="98"/>
              </w:rPr>
              <w:t>Total Derivatives Designated as Cash</w:t>
            </w:r>
          </w:p>
        </w:tc>
        <w:tc>
          <w:tcPr>
            <w:tcW w:w="1000" w:type="dxa"/>
            <w:vAlign w:val="bottom"/>
            <w:vMerge w:val="restart"/>
          </w:tcPr>
          <w:p>
            <w:pPr>
              <w:jc w:val="right"/>
              <w:ind w:right="393"/>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b w:val="1"/>
                <w:bCs w:val="1"/>
                <w:color w:val="auto"/>
              </w:rPr>
              <w:t>Flow Hedges</w:t>
            </w: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8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b w:val="1"/>
                <w:bCs w:val="1"/>
                <w:color w:val="auto"/>
                <w:w w:val="94"/>
              </w:rPr>
              <w:t>Derivatives Not Designated as Cash Flow</w:t>
            </w:r>
          </w:p>
        </w:tc>
        <w:tc>
          <w:tcPr>
            <w:tcW w:w="10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Hedges:</w:t>
            </w: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60"/>
              <w:spacing w:after="0"/>
              <w:rPr>
                <w:sz w:val="20"/>
                <w:szCs w:val="20"/>
                <w:color w:val="auto"/>
              </w:rPr>
            </w:pPr>
            <w:r>
              <w:rPr>
                <w:rFonts w:ascii="Arial" w:cs="Arial" w:eastAsia="Arial" w:hAnsi="Arial"/>
                <w:sz w:val="18"/>
                <w:szCs w:val="18"/>
                <w:color w:val="auto"/>
              </w:rPr>
              <w:t>Interest rate contracts current</w:t>
            </w:r>
          </w:p>
        </w:tc>
        <w:tc>
          <w:tcPr>
            <w:tcW w:w="100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9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contracts long-term</w:t>
            </w: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780" w:type="dxa"/>
            <w:vAlign w:val="bottom"/>
          </w:tcPr>
          <w:p>
            <w:pPr>
              <w:ind w:left="560"/>
              <w:spacing w:after="0"/>
              <w:rPr>
                <w:sz w:val="20"/>
                <w:szCs w:val="20"/>
                <w:color w:val="auto"/>
              </w:rPr>
            </w:pPr>
            <w:r>
              <w:rPr>
                <w:rFonts w:ascii="Arial" w:cs="Arial" w:eastAsia="Arial" w:hAnsi="Arial"/>
                <w:sz w:val="18"/>
                <w:szCs w:val="18"/>
                <w:color w:val="auto"/>
              </w:rPr>
              <w:t>Commodity contracts current</w:t>
            </w:r>
          </w:p>
        </w:tc>
        <w:tc>
          <w:tcPr>
            <w:tcW w:w="10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Commodity contracts long-term</w:t>
            </w:r>
          </w:p>
        </w:tc>
        <w:tc>
          <w:tcPr>
            <w:tcW w:w="10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56"/>
        </w:trPr>
        <w:tc>
          <w:tcPr>
            <w:tcW w:w="3780" w:type="dxa"/>
            <w:vAlign w:val="bottom"/>
          </w:tcPr>
          <w:p>
            <w:pPr>
              <w:ind w:left="600"/>
              <w:spacing w:after="0" w:line="156" w:lineRule="exact"/>
              <w:rPr>
                <w:sz w:val="20"/>
                <w:szCs w:val="20"/>
                <w:color w:val="auto"/>
              </w:rPr>
            </w:pPr>
            <w:r>
              <w:rPr>
                <w:rFonts w:ascii="Arial" w:cs="Arial" w:eastAsia="Arial" w:hAnsi="Arial"/>
                <w:sz w:val="18"/>
                <w:szCs w:val="18"/>
                <w:b w:val="1"/>
                <w:bCs w:val="1"/>
                <w:color w:val="auto"/>
                <w:w w:val="88"/>
              </w:rPr>
              <w:t>Total Derivatives Not Designated as Cash</w:t>
            </w:r>
          </w:p>
        </w:tc>
        <w:tc>
          <w:tcPr>
            <w:tcW w:w="1000" w:type="dxa"/>
            <w:vAlign w:val="bottom"/>
            <w:vMerge w:val="restart"/>
          </w:tcPr>
          <w:p>
            <w:pPr>
              <w:jc w:val="right"/>
              <w:ind w:right="393"/>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3"/>
                <w:szCs w:val="13"/>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b w:val="1"/>
                <w:bCs w:val="1"/>
                <w:color w:val="auto"/>
              </w:rPr>
              <w:t>Flow Hedges</w:t>
            </w: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Derivatives</w:t>
            </w:r>
          </w:p>
        </w:tc>
        <w:tc>
          <w:tcPr>
            <w:tcW w:w="100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September 30, 2021 and December 31, 2020, there was no outstanding collateral paid or received. The following tables summarize the offsetting of derivatives by counterparty master agreement level as of September 30, 2021 and December 31, 2020: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September 30, 2021</w:t>
            </w:r>
          </w:p>
        </w:tc>
        <w:tc>
          <w:tcPr>
            <w:tcW w:w="2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5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29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60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8"/>
              </w:rPr>
              <w:t>Reclassified from accumulated OCL to income due to realization of previously</w:t>
            </w:r>
          </w:p>
        </w:tc>
        <w:tc>
          <w:tcPr>
            <w:tcW w:w="8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160" w:type="dxa"/>
            <w:vAlign w:val="bottom"/>
          </w:tcPr>
          <w:p>
            <w:pPr>
              <w:ind w:left="18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Pr>
          <w:p>
            <w:pPr>
              <w:ind w:left="140"/>
              <w:spacing w:after="0"/>
              <w:rPr>
                <w:sz w:val="20"/>
                <w:szCs w:val="20"/>
                <w:color w:val="auto"/>
              </w:rPr>
            </w:pPr>
            <w:r>
              <w:rPr>
                <w:rFonts w:ascii="Arial" w:cs="Arial" w:eastAsia="Arial" w:hAnsi="Arial"/>
                <w:sz w:val="18"/>
                <w:szCs w:val="18"/>
                <w:color w:val="auto"/>
              </w:rPr>
              <w:t>Accumulated OCL attributable to Clearway Energy LLC</w:t>
            </w: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 30,</w:t>
            </w: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6600" w:type="dxa"/>
            <w:vAlign w:val="bottom"/>
          </w:tcPr>
          <w:p>
            <w:pPr>
              <w:spacing w:after="0"/>
              <w:rPr>
                <w:sz w:val="16"/>
                <w:szCs w:val="16"/>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190"/>
        </w:trPr>
        <w:tc>
          <w:tcPr>
            <w:tcW w:w="6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860" w:type="dxa"/>
            <w:vAlign w:val="bottom"/>
          </w:tcPr>
          <w:p>
            <w:pPr>
              <w:jc w:val="right"/>
              <w:ind w:right="682"/>
              <w:spacing w:after="0"/>
              <w:rPr>
                <w:sz w:val="20"/>
                <w:szCs w:val="20"/>
                <w:color w:val="auto"/>
              </w:rPr>
            </w:pPr>
            <w:r>
              <w:rPr>
                <w:rFonts w:ascii="Arial" w:cs="Arial" w:eastAsia="Arial" w:hAnsi="Arial"/>
                <w:sz w:val="18"/>
                <w:szCs w:val="18"/>
                <w:color w:val="242424"/>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242424"/>
              </w:rPr>
              <w:t>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Commodity Contracts (Mark-to-market for economic hedging activities)</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(36)</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170"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Relates to long-term power contracts at Elbow Creek Wind Project LLC, or Elbow Creek, Mesquite Star Special LLC, or Mesquite Star, and Mt. Storm.</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2020 Form 10-K. Long-term debt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September 30, 2021 interest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rate % (a)</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Note with Clearway Energy,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0.170</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2025 Senior Notes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c>
          <w:tcPr>
            <w:tcW w:w="1840" w:type="dxa"/>
            <w:vAlign w:val="bottom"/>
            <w:gridSpan w:val="2"/>
          </w:tcPr>
          <w:p>
            <w:pPr>
              <w:jc w:val="center"/>
              <w:ind w:left="1239"/>
              <w:spacing w:after="0"/>
              <w:rPr>
                <w:sz w:val="20"/>
                <w:szCs w:val="20"/>
                <w:color w:val="auto"/>
              </w:rPr>
            </w:pPr>
            <w:r>
              <w:rPr>
                <w:rFonts w:ascii="Arial" w:cs="Arial" w:eastAsia="Arial" w:hAnsi="Arial"/>
                <w:sz w:val="16"/>
                <w:szCs w:val="16"/>
                <w:color w:val="auto"/>
                <w:w w:val="89"/>
              </w:rPr>
              <w:t>5.750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Senior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5.000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2028 Senior Notes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w:t>
            </w:r>
          </w:p>
        </w:tc>
        <w:tc>
          <w:tcPr>
            <w:tcW w:w="1840" w:type="dxa"/>
            <w:vAlign w:val="bottom"/>
            <w:gridSpan w:val="2"/>
          </w:tcPr>
          <w:p>
            <w:pPr>
              <w:jc w:val="center"/>
              <w:ind w:left="1239"/>
              <w:spacing w:after="0"/>
              <w:rPr>
                <w:sz w:val="20"/>
                <w:szCs w:val="20"/>
                <w:color w:val="auto"/>
              </w:rPr>
            </w:pPr>
            <w:r>
              <w:rPr>
                <w:rFonts w:ascii="Arial" w:cs="Arial" w:eastAsia="Arial" w:hAnsi="Arial"/>
                <w:sz w:val="16"/>
                <w:szCs w:val="16"/>
                <w:color w:val="auto"/>
                <w:w w:val="89"/>
              </w:rPr>
              <w:t>4.750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 Senior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3.750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120" w:type="dxa"/>
            <w:vAlign w:val="bottom"/>
          </w:tcPr>
          <w:p>
            <w:pPr>
              <w:ind w:left="20"/>
              <w:spacing w:after="0" w:line="166" w:lineRule="exact"/>
              <w:rPr>
                <w:sz w:val="20"/>
                <w:szCs w:val="20"/>
                <w:color w:val="auto"/>
              </w:rPr>
            </w:pPr>
            <w:r>
              <w:rPr>
                <w:rFonts w:ascii="Arial" w:cs="Arial" w:eastAsia="Arial" w:hAnsi="Arial"/>
                <w:sz w:val="16"/>
                <w:szCs w:val="16"/>
                <w:color w:val="auto"/>
              </w:rPr>
              <w:t>Clearway Energy LLC and Clearway Energy Operating LLC Revolving</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L+1.750</w:t>
            </w: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2"/>
        </w:trPr>
        <w:tc>
          <w:tcPr>
            <w:tcW w:w="512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Credit Facility, due 2023 </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Project-level debt: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Agua Caliente Solar LLC, due 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2.395 - 3.633</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Asset Management LLC, due 2031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L+2.625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5.696 - 7.015</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Borrego, due 2024 and 2038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840" w:type="dxa"/>
            <w:vAlign w:val="bottom"/>
            <w:gridSpan w:val="2"/>
          </w:tcPr>
          <w:p>
            <w:pPr>
              <w:jc w:val="center"/>
              <w:ind w:left="1060"/>
              <w:spacing w:after="0"/>
              <w:rPr>
                <w:sz w:val="20"/>
                <w:szCs w:val="20"/>
                <w:color w:val="auto"/>
              </w:rPr>
            </w:pPr>
            <w:r>
              <w:rPr>
                <w:rFonts w:ascii="Arial" w:cs="Arial" w:eastAsia="Arial" w:hAnsi="Arial"/>
                <w:sz w:val="16"/>
                <w:szCs w:val="16"/>
                <w:color w:val="auto"/>
                <w:w w:val="92"/>
              </w:rPr>
              <w:t>Various</w:t>
            </w:r>
          </w:p>
        </w:tc>
        <w:tc>
          <w:tcPr>
            <w:tcW w:w="1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Buckthorn Solar, due 2025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L+1.750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Carlsbad Energy Holdings LLC, due 2027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L+1.625</w:t>
            </w:r>
          </w:p>
        </w:tc>
        <w:tc>
          <w:tcPr>
            <w:tcW w:w="17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2038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4.120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Carlsbad Holdco, due 2038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c>
          <w:tcPr>
            <w:tcW w:w="1840" w:type="dxa"/>
            <w:vAlign w:val="bottom"/>
            <w:gridSpan w:val="2"/>
          </w:tcPr>
          <w:p>
            <w:pPr>
              <w:jc w:val="center"/>
              <w:ind w:left="1239"/>
              <w:spacing w:after="0"/>
              <w:rPr>
                <w:sz w:val="20"/>
                <w:szCs w:val="20"/>
                <w:color w:val="auto"/>
              </w:rPr>
            </w:pPr>
            <w:r>
              <w:rPr>
                <w:rFonts w:ascii="Arial" w:cs="Arial" w:eastAsia="Arial" w:hAnsi="Arial"/>
                <w:sz w:val="16"/>
                <w:szCs w:val="16"/>
                <w:color w:val="auto"/>
                <w:w w:val="89"/>
              </w:rPr>
              <w:t>4.210</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CVSR Holdco Notes, due 2037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4.680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CVSR, due 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2.339 - 3.775</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DG-CS Master Borrower LLC, due 2040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3.510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Duquesne, due 2059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c>
          <w:tcPr>
            <w:tcW w:w="1840" w:type="dxa"/>
            <w:vAlign w:val="bottom"/>
            <w:gridSpan w:val="2"/>
          </w:tcPr>
          <w:p>
            <w:pPr>
              <w:jc w:val="center"/>
              <w:ind w:left="1239"/>
              <w:spacing w:after="0"/>
              <w:rPr>
                <w:sz w:val="20"/>
                <w:szCs w:val="20"/>
                <w:color w:val="auto"/>
              </w:rPr>
            </w:pPr>
            <w:r>
              <w:rPr>
                <w:rFonts w:ascii="Arial" w:cs="Arial" w:eastAsia="Arial" w:hAnsi="Arial"/>
                <w:sz w:val="16"/>
                <w:szCs w:val="16"/>
                <w:color w:val="auto"/>
                <w:w w:val="89"/>
              </w:rPr>
              <w:t>4.620</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 Segundo Energy Center, due 2023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L+1.875 - L+2.500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Energy Center Minneapolis Series D, E, F, G, H Notes, due 2025-2037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8"/>
                <w:szCs w:val="18"/>
                <w:color w:val="auto"/>
              </w:rPr>
            </w:pPr>
          </w:p>
        </w:tc>
        <w:tc>
          <w:tcPr>
            <w:tcW w:w="1840" w:type="dxa"/>
            <w:vAlign w:val="bottom"/>
            <w:gridSpan w:val="2"/>
          </w:tcPr>
          <w:p>
            <w:pPr>
              <w:jc w:val="center"/>
              <w:ind w:left="1060"/>
              <w:spacing w:after="0"/>
              <w:rPr>
                <w:sz w:val="20"/>
                <w:szCs w:val="20"/>
                <w:color w:val="auto"/>
              </w:rPr>
            </w:pPr>
            <w:r>
              <w:rPr>
                <w:rFonts w:ascii="Arial" w:cs="Arial" w:eastAsia="Arial" w:hAnsi="Arial"/>
                <w:sz w:val="16"/>
                <w:szCs w:val="16"/>
                <w:color w:val="auto"/>
                <w:w w:val="92"/>
              </w:rPr>
              <w:t>Various</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Kawailoa Solar Portfolio LLC, due 2026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L+1.375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Laredo Ridge, due 2028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L+2.125</w:t>
            </w:r>
          </w:p>
        </w:tc>
        <w:tc>
          <w:tcPr>
            <w:tcW w:w="17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Marsh Landing, due 2023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L+2.375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NIMH Solar, due 2024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L+2.00</w:t>
            </w:r>
          </w:p>
        </w:tc>
        <w:tc>
          <w:tcPr>
            <w:tcW w:w="17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Oahu Solar Holdings LLC, due 2026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L+1.375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Pinnacle Repowering Partnership Holdco LLC, due 2021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L+1.00</w:t>
            </w:r>
          </w:p>
        </w:tc>
        <w:tc>
          <w:tcPr>
            <w:tcW w:w="1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Rosie Class B LLC, due 2027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L+1.75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Tapestry Wind LLC, due 2031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L+1.375</w:t>
            </w:r>
          </w:p>
        </w:tc>
        <w:tc>
          <w:tcPr>
            <w:tcW w:w="17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 Solar Holdings, due 2036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840" w:type="dxa"/>
            <w:vAlign w:val="bottom"/>
            <w:gridSpan w:val="2"/>
            <w:shd w:val="clear" w:color="auto" w:fill="CCEEFF"/>
          </w:tcPr>
          <w:p>
            <w:pPr>
              <w:jc w:val="center"/>
              <w:ind w:left="1239"/>
              <w:spacing w:after="0"/>
              <w:rPr>
                <w:sz w:val="20"/>
                <w:szCs w:val="20"/>
                <w:color w:val="auto"/>
              </w:rPr>
            </w:pPr>
            <w:r>
              <w:rPr>
                <w:rFonts w:ascii="Arial" w:cs="Arial" w:eastAsia="Arial" w:hAnsi="Arial"/>
                <w:sz w:val="16"/>
                <w:szCs w:val="16"/>
                <w:color w:val="auto"/>
                <w:w w:val="89"/>
              </w:rPr>
              <w:t>3.590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Walnut Creek,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L+1.75</w:t>
            </w:r>
          </w:p>
        </w:tc>
        <w:tc>
          <w:tcPr>
            <w:tcW w:w="172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WCEP Holdings, LLC, due 2023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L+3.00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center"/>
              <w:ind w:left="1060"/>
              <w:spacing w:after="0"/>
              <w:rPr>
                <w:sz w:val="20"/>
                <w:szCs w:val="20"/>
                <w:color w:val="auto"/>
              </w:rPr>
            </w:pPr>
            <w:r>
              <w:rPr>
                <w:rFonts w:ascii="Arial" w:cs="Arial" w:eastAsia="Arial" w:hAnsi="Arial"/>
                <w:sz w:val="16"/>
                <w:szCs w:val="16"/>
                <w:color w:val="auto"/>
                <w:w w:val="92"/>
              </w:rPr>
              <w:t>Various</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 project-level debt: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7,044</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Less net debt issuance costs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Add premiums</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6,585</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8"/>
        <w:spacing w:after="0" w:line="250" w:lineRule="auto"/>
        <w:tabs>
          <w:tab w:leader="none" w:pos="1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September 30, 2021, L+ equals 3 month LIBOR plus x%, except Clearway Energy Operating LLC Revolving Credit Facility, due 2023, Marsh Landing, due 2023, Pinnacle Repowering Partnership HoldCo LLC, due 2021, and Walnut Creek, due 2023, where L+ equals 1 month LIBOR plus x%.</w:t>
      </w: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36"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2021, the Company was in compliance with all of the required covenants.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420" w:right="1440"/>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2021. </w:t>
      </w:r>
      <w:r>
        <w:rPr>
          <w:rFonts w:ascii="Arial" w:cs="Arial" w:eastAsia="Arial" w:hAnsi="Arial"/>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2021, the Company had $77 million of borrowings under the revolving credit facility and $75 million in letters of credit outstanding. During the nine months ended September 30, 2021, the Company borrowed $377 million under the revolving credit facility, and subsequently repaid $300 million, utilizing cash on hand and proceeds from the issuance of the 2031 Senior Notes as described below. During October 2021, the Company repaid $32 million of its outstanding loans under the revolving credit facility and as of October 31, 2021, the Company had $45 million of loans outstanding and a total of $75 million in letters of credit outstanding.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2032 Senior Notes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and interest payments will commence on January 15, 2022. The 2032 Senior Notes are unsecured obligations of Clearway Energy Operating LLC and are guaranteed by the Company and by certain of Clearway Energy Operating LLC's wholly owned current and future subsidiaries. The net proceeds from the 2032 Senior Notes were used, together with existing corporate liquidity, to repurchase the 2026 Senior Notes, as described below.</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2026 Senior Notes Tender Offer and Redemption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1, 2021, the Company completed the repurchase of an aggregate principal amount of $123 million, or 35.3%, of the 2026 Senior Notes outstanding as part of the cash tender offer announced on September 24, 2021. Concurrently with the launch of the tender offer, the Company exercised its right to optionally redeem the remaining principal amount of $227 million that were not validly tendered and purchased in the tender offer, pursuant to the terms of the indenture governing the 2026 Senior Notes. The 2026 Senior Notes repurchased and redeemed in October 2021 were effectuated at a premium of approximately 103% for total consideration of $359 million.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commenced on August 15, 2021. The 2031 Senior Notes are unsecured obligations of Clearway Energy Operating LLC and are guaranteed by the Company and by certain of Clearway Energy Operating LLC's wholly owned current and future subsidiaries. The net proceeds from the 2031 Senior Notes were used to repurchase the 2025 Senior Notes, as described below, as well as to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Concurrently with the launch of the tender offer,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Intercompany Note with Clearway Energy, Inc</w:t>
      </w:r>
      <w:r>
        <w:rPr>
          <w:rFonts w:ascii="Arial" w:cs="Arial" w:eastAsia="Arial" w:hAnsi="Arial"/>
          <w:sz w:val="18"/>
          <w:szCs w:val="18"/>
          <w:i w:val="1"/>
          <w:iCs w:val="1"/>
          <w:color w:val="auto"/>
        </w:rPr>
        <w: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Agua Caliente Solar LLC</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 xml:space="preserve">As part of the acquisition of Agua Caliente Borrower 1 LLC and the consolidation of Agua Caliente, as further described in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Dispositions</w:t>
      </w:r>
      <w:r>
        <w:rPr>
          <w:rFonts w:ascii="Arial" w:cs="Arial" w:eastAsia="Arial" w:hAnsi="Arial"/>
          <w:sz w:val="16"/>
          <w:szCs w:val="16"/>
          <w:color w:val="auto"/>
        </w:rPr>
        <w:t>, the Company consolidated non-recourse debt of $716 million related to Agua Caliente Solar, LLC on February 3, 2021. The debt consists of a</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with the Federal Financing Bank and accrues interest at fixed rates between 2.395% and 3.633%, which matures in 2037.</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The Company will continue to draw on the construction loan to fund the repowering activities of the Pinnacle wind project up to the total commitment amount.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Conventional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9"/>
              </w:rPr>
              <w:t>Thermal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 xml:space="preserve">Corporate </w:t>
            </w:r>
            <w:r>
              <w:rPr>
                <w:rFonts w:ascii="Arial" w:cs="Arial" w:eastAsia="Arial" w:hAnsi="Arial"/>
                <w:sz w:val="18"/>
                <w:szCs w:val="18"/>
                <w:color w:val="auto"/>
                <w:w w:val="93"/>
                <w:vertAlign w:val="superscript"/>
              </w:rPr>
              <w:t>(a)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Generation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40"/>
              <w:spacing w:after="0" w:line="176" w:lineRule="exact"/>
              <w:rPr>
                <w:sz w:val="20"/>
                <w:szCs w:val="20"/>
                <w:color w:val="auto"/>
              </w:rPr>
            </w:pPr>
            <w:r>
              <w:rPr>
                <w:rFonts w:ascii="Arial" w:cs="Arial" w:eastAsia="Arial" w:hAnsi="Arial"/>
                <w:sz w:val="18"/>
                <w:szCs w:val="18"/>
                <w:color w:val="auto"/>
                <w:w w:val="93"/>
              </w:rPr>
              <w:t>Cost of operations, exclusive of depreciation, amortization and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accretion shown separately below</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Development costs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Equity in earnings of unconsolidated affiliates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11,664</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4900" w:type="dxa"/>
            <w:vAlign w:val="bottom"/>
          </w:tcPr>
          <w:p>
            <w:pPr>
              <w:ind w:left="42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4"/>
              </w:rPr>
              <w:t>Conventional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Thermal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40"/>
              <w:spacing w:after="0" w:line="176" w:lineRule="exact"/>
              <w:rPr>
                <w:sz w:val="20"/>
                <w:szCs w:val="20"/>
                <w:color w:val="auto"/>
              </w:rPr>
            </w:pPr>
            <w:r>
              <w:rPr>
                <w:rFonts w:ascii="Arial" w:cs="Arial" w:eastAsia="Arial" w:hAnsi="Arial"/>
                <w:sz w:val="18"/>
                <w:szCs w:val="18"/>
                <w:color w:val="auto"/>
                <w:w w:val="93"/>
              </w:rPr>
              <w:t>Cost of operations, exclusive of depreciation, amortization and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accretion shown separately below</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Development costs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Equity in earnings of unconsolidated affiliates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Thermal</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 xml:space="preserve">Corporate </w:t>
            </w:r>
            <w:r>
              <w:rPr>
                <w:rFonts w:ascii="Arial" w:cs="Arial" w:eastAsia="Arial" w:hAnsi="Arial"/>
                <w:sz w:val="18"/>
                <w:szCs w:val="18"/>
                <w:color w:val="auto"/>
                <w:w w:val="91"/>
                <w:vertAlign w:val="superscript"/>
              </w:rPr>
              <w:t>(a)</w:t>
            </w:r>
          </w:p>
        </w:tc>
        <w:tc>
          <w:tcPr>
            <w:tcW w:w="260" w:type="dxa"/>
            <w:vAlign w:val="bottom"/>
          </w:tcPr>
          <w:p>
            <w:pPr>
              <w:spacing w:after="0"/>
              <w:rPr>
                <w:sz w:val="11"/>
                <w:szCs w:val="11"/>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176"/>
        </w:trPr>
        <w:tc>
          <w:tcPr>
            <w:tcW w:w="5120" w:type="dxa"/>
            <w:vAlign w:val="bottom"/>
          </w:tcPr>
          <w:p>
            <w:pPr>
              <w:ind w:left="180"/>
              <w:spacing w:after="0" w:line="176"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5120" w:type="dxa"/>
            <w:vAlign w:val="bottom"/>
            <w:vMerge w:val="restart"/>
          </w:tcPr>
          <w:p>
            <w:pPr>
              <w:ind w:left="42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5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Thermal</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1"/>
                <w:szCs w:val="11"/>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176"/>
        </w:trPr>
        <w:tc>
          <w:tcPr>
            <w:tcW w:w="5120" w:type="dxa"/>
            <w:vAlign w:val="bottom"/>
          </w:tcPr>
          <w:p>
            <w:pPr>
              <w:ind w:left="180"/>
              <w:spacing w:after="0" w:line="176"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$13 million and $9 million for the three months ended September 30, 2021 and 2020, respectively. The Company incurred total expenses for these services of $40 million and $27 million for the nine months ended September 30, 2021 and 2020, respectively. There was a balance of $11 million and $10 million due to RENOM as of September 30, 2021 and December 31, 2020, respectively.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LLC and Solar Asset Management LLC, two wholly-owned subsidiaries of CEG, which provide various administrative services to the Company's subsidiaries. The Company incurred expenses under these agreements of $3 million for each of the three months ended September 30, 2021 and 2020. The Company incurred expenses under these agreements of $10 million and $7 million for the nine months ended September 30, 2021 and 2020, respectively.</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and $0.6 million under these agreements for the three months ended September 30, 2021 and 2020, respectively. The Company incurred net expenses of $3 million and $2 million under these agreements for the nine months ended September 30, 2021 and 2020, respectively.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2020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On August 24, 2021, the U.S. Court of Appeals for the Eight Circuit affirmed the U.S. District Court decision granting summary judgment. On October 18, 2021, the Appeals Court denied a petition by NPPD for rehearing and a request that the case be heard by the full Appeals Court. On November 2, 2021, the Knox County District Court issued an order dismissing the case with respect to the Elkhorn Ridge project. The Company believes the allegations of NPPD are meritless and the Company is vigorously defending its rights under the PPAs.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right"/>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and nine months ended September 30, 2021 and 2020.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2020 Form 10-K, which includes detailed discussions of various items impacting the Company's business, results of operations and financial condition.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400" w:hanging="320"/>
        <w:spacing w:after="0" w:line="277" w:lineRule="auto"/>
        <w:tabs>
          <w:tab w:leader="none" w:pos="129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880" w:hanging="320"/>
        <w:spacing w:after="0" w:line="277" w:lineRule="auto"/>
        <w:tabs>
          <w:tab w:leader="none" w:pos="129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200" w:hanging="320"/>
        <w:spacing w:after="0" w:line="277" w:lineRule="auto"/>
        <w:tabs>
          <w:tab w:leader="none" w:pos="129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231F20"/>
        </w:rPr>
      </w:pPr>
    </w:p>
    <w:p>
      <w:pPr>
        <w:ind w:left="1300" w:right="76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CEG.</w:t>
      </w:r>
    </w:p>
    <w:p>
      <w:pPr>
        <w:spacing w:after="0" w:line="2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September 30, 2021 </w:t>
      </w:r>
      <w:r>
        <w:rPr>
          <w:rFonts w:ascii="Arial" w:cs="Arial" w:eastAsia="Arial" w:hAnsi="Arial"/>
          <w:sz w:val="18"/>
          <w:szCs w:val="18"/>
          <w:color w:val="231F20"/>
        </w:rPr>
        <w:t>based on CAFD.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2021, the Company's operating assets are comprised of the following projects: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0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3320" w:type="dxa"/>
            <w:vAlign w:val="bottom"/>
            <w:gridSpan w:val="2"/>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Conventional</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Carlsbad</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San Diego Gas &amp;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 Segundo</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GenConn Devon</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GenConn Middletown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Marsh Landing</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2023 - 2030</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Walnut Creek</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2023 - 2026</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i w:val="1"/>
                <w:iCs w:val="1"/>
                <w:color w:val="auto"/>
              </w:rPr>
              <w:t>Total Conventional</w:t>
            </w: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2,472</w:t>
            </w:r>
          </w:p>
        </w:tc>
        <w:tc>
          <w:tcPr>
            <w:tcW w:w="10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Utility Scale Solar</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Agua Caliente</w:t>
            </w:r>
          </w:p>
        </w:tc>
        <w:tc>
          <w:tcPr>
            <w:tcW w:w="120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Alpine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Avenal</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Avra Valley</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Tucson Electric Power</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Blythe</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Borrego</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and Electric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33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City of Georgetown, TX</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Desert Sunlight 250</w:t>
            </w:r>
          </w:p>
        </w:tc>
        <w:tc>
          <w:tcPr>
            <w:tcW w:w="120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Desert Sunlight 300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Kansas South</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 .</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33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95 %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Roadrunner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Paso Electric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33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TA High Desert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gridSpan w:val="2"/>
          </w:tcPr>
          <w:p>
            <w:pPr>
              <w:ind w:left="240"/>
              <w:spacing w:after="0" w:line="189"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83"/>
        </w:trPr>
        <w:tc>
          <w:tcPr>
            <w:tcW w:w="332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i w:val="1"/>
                <w:iCs w:val="1"/>
                <w:color w:val="auto"/>
              </w:rPr>
              <w:t>Total Solar</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Distributed Solar</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2030 - 2044</w:t>
            </w:r>
          </w:p>
        </w:tc>
        <w:tc>
          <w:tcPr>
            <w:tcW w:w="0" w:type="dxa"/>
            <w:vAlign w:val="bottom"/>
          </w:tcPr>
          <w:p>
            <w:pPr>
              <w:spacing w:after="0"/>
              <w:rPr>
                <w:sz w:val="1"/>
                <w:szCs w:val="1"/>
                <w:color w:val="auto"/>
              </w:rPr>
            </w:pPr>
          </w:p>
        </w:tc>
      </w:tr>
      <w:tr>
        <w:trPr>
          <w:trHeight w:val="186"/>
        </w:trPr>
        <w:tc>
          <w:tcPr>
            <w:tcW w:w="3320" w:type="dxa"/>
            <w:vAlign w:val="bottom"/>
            <w:gridSpan w:val="2"/>
          </w:tcPr>
          <w:p>
            <w:pPr>
              <w:ind w:left="220"/>
              <w:spacing w:after="0"/>
              <w:rPr>
                <w:sz w:val="20"/>
                <w:szCs w:val="20"/>
                <w:color w:val="auto"/>
              </w:rPr>
            </w:pPr>
            <w:r>
              <w:rPr>
                <w:rFonts w:ascii="Arial" w:cs="Arial" w:eastAsia="Arial" w:hAnsi="Arial"/>
                <w:sz w:val="14"/>
                <w:szCs w:val="14"/>
                <w:color w:val="auto"/>
              </w:rPr>
              <w:t>Solar Power Partners (SPP) Projects</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2026 -2037</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DG Projects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2023 -2039</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b w:val="1"/>
                <w:bCs w:val="1"/>
                <w:i w:val="1"/>
                <w:iCs w:val="1"/>
                <w:color w:val="auto"/>
              </w:rPr>
              <w:t>Total Distributed Solar</w:t>
            </w: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0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9"/>
        </w:trPr>
        <w:tc>
          <w:tcPr>
            <w:tcW w:w="3320" w:type="dxa"/>
            <w:vAlign w:val="bottom"/>
            <w:gridSpan w:val="3"/>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Wind</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Alta I</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Alta II</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Alta III</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Alta IV</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Alta V</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9"/>
        </w:trPr>
        <w:tc>
          <w:tcPr>
            <w:tcW w:w="3320" w:type="dxa"/>
            <w:vAlign w:val="bottom"/>
            <w:gridSpan w:val="3"/>
          </w:tcPr>
          <w:p>
            <w:pPr>
              <w:ind w:left="220"/>
              <w:spacing w:after="0" w:line="189"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Buffalo Bear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Crosswinds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9"/>
        </w:trPr>
        <w:tc>
          <w:tcPr>
            <w:tcW w:w="3320" w:type="dxa"/>
            <w:vAlign w:val="bottom"/>
            <w:gridSpan w:val="3"/>
          </w:tcPr>
          <w:p>
            <w:pPr>
              <w:ind w:left="220"/>
              <w:spacing w:after="0" w:line="189"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Elkhorn Ridge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Forward</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Goat Wind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Hardin</w:t>
            </w:r>
          </w:p>
        </w:tc>
        <w:tc>
          <w:tcPr>
            <w:tcW w:w="1200" w:type="dxa"/>
            <w:vAlign w:val="bottom"/>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Interstate Power and Light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Laredo Ridge</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Lookout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189"/>
        </w:trPr>
        <w:tc>
          <w:tcPr>
            <w:tcW w:w="3320" w:type="dxa"/>
            <w:vAlign w:val="bottom"/>
            <w:gridSpan w:val="3"/>
          </w:tcPr>
          <w:p>
            <w:pPr>
              <w:ind w:left="220"/>
              <w:spacing w:after="0" w:line="189"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Mt. Storm</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Citigroup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Ocotillo</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Odin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Missouri River Energy Services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35"/>
        </w:trPr>
        <w:tc>
          <w:tcPr>
            <w:tcW w:w="3320" w:type="dxa"/>
            <w:vAlign w:val="bottom"/>
            <w:gridSpan w:val="3"/>
            <w:vMerge w:val="restart"/>
          </w:tcPr>
          <w:p>
            <w:pPr>
              <w:ind w:left="2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18"/>
                <w:szCs w:val="18"/>
                <w:color w:val="auto"/>
                <w:vertAlign w:val="superscript"/>
              </w:rPr>
              <w:t>(b)</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400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Maryland Department of General Services and University System</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332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San Juan Mesa</w:t>
            </w:r>
          </w:p>
        </w:tc>
        <w:tc>
          <w:tcPr>
            <w:tcW w:w="120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Sleeping Bear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South Trent</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AEP Energy Partners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Spanish Fork</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89"/>
        </w:trPr>
        <w:tc>
          <w:tcPr>
            <w:tcW w:w="3320" w:type="dxa"/>
            <w:vAlign w:val="bottom"/>
            <w:gridSpan w:val="3"/>
          </w:tcPr>
          <w:p>
            <w:pPr>
              <w:ind w:left="220"/>
              <w:spacing w:after="0" w:line="189"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90.1 %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3320" w:type="dxa"/>
            <w:vAlign w:val="bottom"/>
            <w:gridSpan w:val="3"/>
          </w:tcPr>
          <w:p>
            <w:pPr>
              <w:ind w:left="220"/>
              <w:spacing w:after="0"/>
              <w:rPr>
                <w:sz w:val="20"/>
                <w:szCs w:val="20"/>
                <w:color w:val="auto"/>
              </w:rPr>
            </w:pPr>
            <w:r>
              <w:rPr>
                <w:rFonts w:ascii="Arial" w:cs="Arial" w:eastAsia="Arial" w:hAnsi="Arial"/>
                <w:sz w:val="14"/>
                <w:szCs w:val="14"/>
                <w:color w:val="auto"/>
              </w:rPr>
              <w:t>Taloga</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Oklahoma Gas &amp;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3"/>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CCEEFF"/>
            </w:tcBorders>
            <w:gridSpan w:val="3"/>
          </w:tcPr>
          <w:p>
            <w:pPr>
              <w:ind w:left="440"/>
              <w:spacing w:after="0"/>
              <w:rPr>
                <w:sz w:val="20"/>
                <w:szCs w:val="20"/>
                <w:color w:val="auto"/>
              </w:rPr>
            </w:pPr>
            <w:r>
              <w:rPr>
                <w:rFonts w:ascii="Arial" w:cs="Arial" w:eastAsia="Arial" w:hAnsi="Arial"/>
                <w:sz w:val="14"/>
                <w:szCs w:val="14"/>
                <w:b w:val="1"/>
                <w:bCs w:val="1"/>
                <w:i w:val="1"/>
                <w:iCs w:val="1"/>
                <w:color w:val="auto"/>
              </w:rPr>
              <w:t>Total Wind</w:t>
            </w: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3,056</w:t>
            </w:r>
          </w:p>
        </w:tc>
        <w:tc>
          <w:tcPr>
            <w:tcW w:w="100" w:type="dxa"/>
            <w:vAlign w:val="bottom"/>
            <w:tcBorders>
              <w:bottom w:val="single" w:sz="8" w:color="CCEEFF"/>
            </w:tcBorders>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Thermal generation</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99"/>
        </w:trPr>
        <w:tc>
          <w:tcPr>
            <w:tcW w:w="2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20" w:type="dxa"/>
            <w:vAlign w:val="bottom"/>
            <w:gridSpan w:val="3"/>
          </w:tcPr>
          <w:p>
            <w:pPr>
              <w:ind w:left="120"/>
              <w:spacing w:after="0"/>
              <w:rPr>
                <w:sz w:val="20"/>
                <w:szCs w:val="20"/>
                <w:color w:val="auto"/>
              </w:rPr>
            </w:pPr>
            <w:r>
              <w:rPr>
                <w:rFonts w:ascii="Arial" w:cs="Arial" w:eastAsia="Arial" w:hAnsi="Arial"/>
                <w:sz w:val="14"/>
                <w:szCs w:val="14"/>
                <w:color w:val="auto"/>
              </w:rPr>
              <w:t>Total net generation capacity</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7,255</w:t>
            </w:r>
          </w:p>
        </w:tc>
        <w:tc>
          <w:tcPr>
            <w:tcW w:w="1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3"/>
          </w:tcPr>
          <w:p>
            <w:pPr>
              <w:ind w:left="20"/>
              <w:spacing w:after="0" w:line="189"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(c)</w:t>
            </w:r>
          </w:p>
        </w:tc>
        <w:tc>
          <w:tcPr>
            <w:tcW w:w="120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2021.</w:t>
      </w:r>
    </w:p>
    <w:p>
      <w:pPr>
        <w:spacing w:after="0" w:line="13" w:lineRule="exact"/>
        <w:rPr>
          <w:rFonts w:ascii="Arial" w:cs="Arial" w:eastAsia="Arial" w:hAnsi="Arial"/>
          <w:sz w:val="9"/>
          <w:szCs w:val="9"/>
          <w:color w:val="auto"/>
        </w:rPr>
      </w:pPr>
    </w:p>
    <w:p>
      <w:pPr>
        <w:ind w:firstLine="8"/>
        <w:spacing w:after="0" w:line="248" w:lineRule="auto"/>
        <w:tabs>
          <w:tab w:leader="none" w:pos="132"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and ownership percentage is based on cash to be distributed, as further described in Item 1 — Note 4, </w:t>
      </w:r>
      <w:r>
        <w:rPr>
          <w:rFonts w:ascii="Arial" w:cs="Arial" w:eastAsia="Arial" w:hAnsi="Arial"/>
          <w:sz w:val="14"/>
          <w:szCs w:val="14"/>
          <w:i w:val="1"/>
          <w:iCs w:val="1"/>
          <w:color w:val="auto"/>
        </w:rPr>
        <w:t>Investments Accounted for by the Equity</w:t>
      </w:r>
      <w:r>
        <w:rPr>
          <w:rFonts w:ascii="Arial" w:cs="Arial" w:eastAsia="Arial" w:hAnsi="Arial"/>
          <w:sz w:val="14"/>
          <w:szCs w:val="14"/>
          <w:color w:val="auto"/>
        </w:rPr>
        <w:t xml:space="preserve"> </w:t>
      </w:r>
      <w:r>
        <w:rPr>
          <w:rFonts w:ascii="Arial" w:cs="Arial" w:eastAsia="Arial" w:hAnsi="Arial"/>
          <w:sz w:val="14"/>
          <w:szCs w:val="14"/>
          <w:i w:val="1"/>
          <w:iCs w:val="1"/>
          <w:color w:val="auto"/>
        </w:rPr>
        <w:t>Method and Variable Interest Entities.</w:t>
      </w:r>
    </w:p>
    <w:p>
      <w:pPr>
        <w:ind w:left="140" w:hanging="132"/>
        <w:spacing w:after="0" w:line="235"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Net MWt capacity excludes 43 MWt available under the right-to-use provisions contained in agreements between one of the Company's thermal facilities and certain of its customers.</w:t>
      </w:r>
    </w:p>
    <w:p>
      <w:pPr>
        <w:ind w:left="140" w:hanging="132"/>
        <w:spacing w:after="0" w:line="222"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Thermal Business</w:t>
      </w:r>
    </w:p>
    <w:p>
      <w:pPr>
        <w:spacing w:after="0" w:line="171" w:lineRule="exact"/>
        <w:rPr>
          <w:sz w:val="20"/>
          <w:szCs w:val="20"/>
          <w:color w:val="auto"/>
        </w:rPr>
      </w:pPr>
    </w:p>
    <w:p>
      <w:pPr>
        <w:jc w:val="both"/>
        <w:ind w:left="660" w:hanging="328"/>
        <w:spacing w:after="0" w:line="296" w:lineRule="auto"/>
        <w:tabs>
          <w:tab w:leader="none" w:pos="655"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color w:val="auto"/>
        </w:rPr>
        <w:t>On October 22, 2021, Clearway Energy Operating LLC entered into a binding agreement to sell the Thermal Business to an affiliate of KKR &amp; Co. Inc. for total consideration of $1.9 billion, subject to customary closing adjustments. Based on current estimates, the Company expects total net cash proceeds of approximately $1.3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The net proceeds from the 2032 Senior Notes were used, together with existing corporate liquidity, to repurchase the 2026 Senior Notes, as described below.</w:t>
      </w:r>
    </w:p>
    <w:p>
      <w:pPr>
        <w:spacing w:after="0" w:line="129"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In October 2021, the Company repurchased and redeemed an aggregate principal amount of $350 million of the 2026 Senior Notes, through the cash tender offer announced on September 24, 2021 and the redemption of the remaining amount on October 25, 2021. The repurchases and redemption were effectuated at a premium of approximately 103% for total consideration of $359 million.</w:t>
      </w:r>
    </w:p>
    <w:p>
      <w:pPr>
        <w:spacing w:after="0" w:line="129"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jc w:val="both"/>
        <w:ind w:left="660" w:hanging="328"/>
        <w:spacing w:after="0" w:line="301" w:lineRule="auto"/>
        <w:tabs>
          <w:tab w:leader="none" w:pos="655"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71" w:lineRule="exact"/>
        <w:rPr>
          <w:sz w:val="20"/>
          <w:szCs w:val="20"/>
          <w:color w:val="auto"/>
        </w:rPr>
      </w:pPr>
    </w:p>
    <w:p>
      <w:pPr>
        <w:jc w:val="both"/>
        <w:ind w:left="660" w:hanging="328"/>
        <w:spacing w:after="0" w:line="291" w:lineRule="auto"/>
        <w:tabs>
          <w:tab w:leader="none" w:pos="655"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On August 20, 2021, the Company signed a binding agreement with Dominion Solar Projects III, Inc., to acquire the remaining 50% equity interest in the Utah Solar Portfolio for approximately $335 million in cash, subject to customary working capital adjustments. The Utah Solar Portfolio consists of seven utility-scale solar farms located in Utah representing 530 MW of capacity. The assets within the portfolio sell power subject to 20-year PPAs with PacifiCorp that have approximately 15 years remaining under the agreements. The Company currently owns a 50% equity interest in the Utah Solar Portfolio and, upon closing, will own 100% of the membership interests in the Utah Solar Portfolio. The closing of the transaction is subject to customary regulatory approvals and is expected to be completed in the fourth quarter of 2021. Following the close of the transaction, the Company will remove its equity method investment and consolidate its interests in the Utah Solar Portfolio.</w:t>
      </w:r>
    </w:p>
    <w:p>
      <w:pPr>
        <w:spacing w:after="0" w:line="112" w:lineRule="exact"/>
        <w:rPr>
          <w:rFonts w:ascii="Arial" w:cs="Arial" w:eastAsia="Arial" w:hAnsi="Arial"/>
          <w:sz w:val="16"/>
          <w:szCs w:val="16"/>
          <w:i w:val="1"/>
          <w:iCs w:val="1"/>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On April 23, 2021, the Company acquired 100% of the equity interests in NedPower Mount Storm LLC, or Mt. Storm, from Castleton Commodities International for approximately $96 million before working capital and purchase price adjustments in the net amount of $4 million, representing a total cash outflow of $100 million. Mt. Storm is a 264 MW wind project located in Grant County, West Virginia. Mt. Storm has a 10-year energy hedge with an investment-grade counterparty.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18 years remaining under the agreement. Following the close of the transaction, the Company owns a 51% equity interest in Agua Caliente. The Company removed its equity method investment and consolidates its interest in Agua Caliente from the date of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79" w:lineRule="auto"/>
        <w:tabs>
          <w:tab w:leader="none" w:pos="655"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On October 28, 2021, the Company, through an indirect subsidiary, entered into an agreement with CEG to acquire the Class A membership interests in the Daggett 3 solar project. Daggett 3 is a 300 MW solar generating facility under development with a combined 144 MW and 576 MWh battery energy storage system located in San Bernardino, California. The Company expects to invest approximately $21 million, subject to closing adjustments. Commercial operations of the facility and the Company's investment are expected to occur in 2022.</w:t>
      </w:r>
    </w:p>
    <w:p>
      <w:pPr>
        <w:spacing w:after="0" w:line="117" w:lineRule="exact"/>
        <w:rPr>
          <w:rFonts w:ascii="Arial" w:cs="Arial" w:eastAsia="Arial" w:hAnsi="Arial"/>
          <w:sz w:val="17"/>
          <w:szCs w:val="17"/>
          <w:i w:val="1"/>
          <w:iCs w:val="1"/>
          <w:color w:val="auto"/>
        </w:rPr>
      </w:pPr>
    </w:p>
    <w:p>
      <w:pPr>
        <w:ind w:left="660" w:hanging="328"/>
        <w:spacing w:after="0" w:line="277"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On August 2, 2021, the CEG ROFO Agreement was amended to remove the 100 MW Wildflower utility scale solar project from the ROFO pipeline.</w:t>
      </w:r>
    </w:p>
    <w:p>
      <w:pPr>
        <w:spacing w:after="0" w:line="116" w:lineRule="exact"/>
        <w:rPr>
          <w:rFonts w:ascii="Arial" w:cs="Arial" w:eastAsia="Arial" w:hAnsi="Arial"/>
          <w:sz w:val="18"/>
          <w:szCs w:val="18"/>
          <w:b w:val="1"/>
          <w:bCs w:val="1"/>
          <w:i w:val="1"/>
          <w:iCs w:val="1"/>
          <w:color w:val="auto"/>
        </w:rPr>
      </w:pPr>
    </w:p>
    <w:p>
      <w:pPr>
        <w:jc w:val="both"/>
        <w:ind w:left="660" w:hanging="328"/>
        <w:spacing w:after="0" w:line="296"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June 24, 2021, the Company, through an indirect subsidiary, entered into agreements with CEG to acquire the Class A membership interests in the Mililani I and Waiawa solar projects. Mililani I is a 39 MW solar generating facility under development with a combined 39 MW and 156 MWh battery energy storage system located in Honolulu, Hawaii. Waiawa is 36 MW solar generating facility under development with a combined 36 MW and 144 MWh battery energy storage system located in Honolulu, Hawaii. The Company expects to invest approximately $39 million, subject to closing adjustments. Commercial operations of the facilities and the Company's investment are expected to occur in 2022.</w:t>
      </w:r>
    </w:p>
    <w:p>
      <w:pPr>
        <w:spacing w:after="0" w:line="107"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February 26, 2021, the Company, through an indirect subsidiary, entered into an amended partnership agreement 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are expected to occur in the fourth quarter of 2021.</w:t>
      </w:r>
    </w:p>
    <w:p>
      <w:pPr>
        <w:spacing w:after="0" w:line="13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CWSP Rattlesnake Holding LLC, which indirectly owns the Rattlesnake wind project, a 160 MW wind facility located in Adams County, Washington that achieved commercial operations in December 2020, for $132 million in cash consideration. The Company's net capital commitment was $119 million after proceeds from a state sales and use tax refund, which was received in May 2021. The project has a 20-year PPA, which began when the facility reached commercial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Agreements</w:t>
      </w:r>
    </w:p>
    <w:p>
      <w:pPr>
        <w:spacing w:after="0" w:line="171" w:lineRule="exact"/>
        <w:rPr>
          <w:sz w:val="20"/>
          <w:szCs w:val="20"/>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28, 2021, Walnut Creek contracted with SCE to sell 483 MW of Resource Adequacy, which is the full net qualifying capacity of the plant, commencing in June 2023. The contract is for approximately three and a half years.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10, 2021, Marsh Landing contracted with PG&amp;E to sell approximately 500 MW of Resource Adequacy commencing in May 2023. The contract is for approximately three years. On May 3, 2021, Marsh Landing contracted with a California Load Serving Entity to sell 100 MW of Resource Adequacy commencing in May 2023. The contract is for approximately seven and a half years. Collectively, these contracts represent approximately 80% of the plant's net qualifying capacity.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 party equity investors, the Company recorded a reduction of approximately $50 million in revenue in the first quarter of 2021 to settle obligations for wind facilities during the extreme weather conditions. After factoring in third party equity investor contributions, the cash impact during the first quarter of 2021 was approximately $25 million.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is and will continue to evaluate the impact of the legislation and regulations as they are revised but cannot fully predict the impact of</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until anticipated revisions and legal challenges are resolved. To the extent newly proposed legislation and regulations restrict or otherwise impact the Company's operations, the proposed legislation and regulations could have a negative impact on the Company's financial performance.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Proposed and Final State Solar Photovoltaic Module Disposal and Recycling Regulations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2021, the State of Hawaii issued a public notice of proposed rule changes which, among other items, include a proposed new solar panel universal waste rule. This proposed rule would create a new universal waste category for solar panels and allow solar panel waste management to be conducted under the existing regulatory framework. On June 7, 2021, this new rule went into effect, resulting in the addition of solar panels as a new category of universal wastes. The rule also adopts specific waste management standards within the existing universal waste framework and makes managing hazardous waste solar panels simpler and less costly. This rule will also allow some generators to qualify for a generator status subject to reduced regulation because universal wastes do not count toward generator status.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Proposed Federal MBTA Incidental Take Legislation and Regulations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20, 2021, President Biden issued an executive order to review and consider suspending, revising, or rescinding agency actions taken</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between January 20, 2017 and January 20, 2021 determined to be inconsistent with certain public health and environmental goals. This includes a review of both the Solicitor’s Opinion and the U.S. Fish and Wildlife Services’ (FWS) January 7, 2021 final rule codifying the Solicitor’s Opinion M-37050 defining</w:t>
      </w:r>
    </w:p>
    <w:p>
      <w:pPr>
        <w:jc w:val="both"/>
        <w:spacing w:after="0" w:line="277" w:lineRule="auto"/>
        <w:rPr>
          <w:sz w:val="20"/>
          <w:szCs w:val="20"/>
          <w:color w:val="auto"/>
        </w:rPr>
      </w:pPr>
      <w:r>
        <w:rPr>
          <w:rFonts w:ascii="Arial" w:cs="Arial" w:eastAsia="Arial" w:hAnsi="Arial"/>
          <w:sz w:val="18"/>
          <w:szCs w:val="18"/>
          <w:color w:val="auto"/>
        </w:rPr>
        <w:t>the scope of certain prohibitions under the MBTA. In response to this directive, on February 9, 2021, the FWS delayed the effective date of the January 2021 final rule and requested public comment to inform its review and a potential extended delay.</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2021, FWS published a draft rule to revoke the Trump Administration’s January 7, 2021 final rule in an effort to return to implementing the MBTA as prohibiting incidental take and applying enforcement discretion. Comments on the draft rule were due June 7, 2021. The proposed rule follows the Administration’s prior revocation of Solicitor’s Opinion M-37050 issued under the Trump Administration. A return to the position that incidental take is prohibited under the MBTA, or the development of legislation or regulations contrary to FWS’s January 2021 rule, could increase potential liability and impose additional permitting requirements on certain of the Company's operations.</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4, 2021, FWS issued the final rule, effective December 3, 2021, restoring the MBTA to prohibit the incidental take of migratory birds. FWS also issued an advance notice of proposed rulemaking (ANPR) advising that it intends to gather information necessary to develop proposed regulations to authorize the incidental take of migratory birds under prescribed conditions and prepare a draft environmental review pursuant to the National Environmental Policy Act. In the ANPR, FWS is considering authorizing incidental take using three primary mechanisms: exceptions to the MBTA’s prohibition on incidental take, general permits for certain activity types and specific or individual permits. FWS is seeking comments on when and how it should apply these three mechanisms to different types of activities. The Company is working with renewable industry groups to provide comments on the proposed rule.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2020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2020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Update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 and its variants.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including variants such as the Delta variant,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or variants thereof. All of the Company’s facilities have remained operational. The Company has experienced a decrease in volumetric sales on a weather normalized basis at certain Thermal locations in part due to COVID-19 related impacts, which has not resulted in any material financial impacts to the Company. The Company believes that all of its accounts receivable balances as of September 30, 2021 are collectible. The Company will continue to assess collectability based on any future developments.</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cannot predict the full impact that COVID-19 and its variants will have on the Company’s financial expectations, its financial condition, results of operations and cash flows, its ability to make distributions to its unit holders and its ability to satisfy its debt service obligations at this time, due to numerous uncertainties. The ultimate impact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the Company's 2020 Form 10-K.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ind w:right="391"/>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0"/>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w w:val="93"/>
              </w:rPr>
              <w:t>(In millions)</w:t>
            </w: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333333"/>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33333"/>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33333"/>
              </w:rPr>
              <w:t>(35)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9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7"/>
                <w:szCs w:val="17"/>
                <w:color w:val="auto"/>
              </w:rPr>
              <w:t>Transaction and integration costs</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3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interest income (expense)</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interest expense</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8"/>
                <w:szCs w:val="18"/>
                <w:color w:val="auto"/>
                <w:w w:val="90"/>
              </w:rPr>
              <w:t>Less: Loss attributable to noncontrolling interests and redeemable</w:t>
            </w:r>
          </w:p>
        </w:tc>
        <w:tc>
          <w:tcPr>
            <w:tcW w:w="3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Borders>
              <w:bottom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2940" w:type="dxa"/>
            <w:vAlign w:val="bottom"/>
            <w:tcBorders>
              <w:bottom w:val="single" w:sz="8" w:color="auto"/>
            </w:tcBorders>
            <w:gridSpan w:val="10"/>
          </w:tcPr>
          <w:p>
            <w:pPr>
              <w:jc w:val="right"/>
              <w:ind w:right="3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Business metrics:</w:t>
            </w: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w w:val="88"/>
              </w:rPr>
              <w:t>2,740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8,640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Thermal MWt sold (in thousands)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Arial" w:cs="Arial" w:eastAsia="Arial" w:hAnsi="Arial"/>
                <w:sz w:val="18"/>
                <w:szCs w:val="18"/>
                <w:color w:val="auto"/>
                <w:w w:val="99"/>
              </w:rPr>
              <w:t>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8"/>
              </w:rPr>
              <w:t>1,577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Thermal MWh sold (in thousands)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(b)</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Arial" w:cs="Arial" w:eastAsia="Arial" w:hAnsi="Arial"/>
                <w:sz w:val="18"/>
                <w:szCs w:val="18"/>
                <w:color w:val="auto"/>
                <w:w w:val="99"/>
              </w:rPr>
              <w:t>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 equivalent availability factor</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98.9 %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455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06" w:lineRule="exact"/>
        <w:rPr>
          <w:sz w:val="20"/>
          <w:szCs w:val="20"/>
          <w:color w:val="auto"/>
        </w:rPr>
      </w:pPr>
    </w:p>
    <w:p>
      <w:pPr>
        <w:ind w:left="400" w:hanging="149"/>
        <w:spacing w:after="0"/>
        <w:tabs>
          <w:tab w:leader="none" w:pos="40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ind w:left="400" w:hanging="149"/>
        <w:spacing w:after="0" w:line="197" w:lineRule="auto"/>
        <w:tabs>
          <w:tab w:leader="none" w:pos="40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right="2540"/>
        <w:spacing w:after="0" w:line="377"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September 30, 2021 and 2020 </w:t>
      </w:r>
      <w:r>
        <w:rPr>
          <w:rFonts w:ascii="Arial" w:cs="Arial" w:eastAsia="Arial" w:hAnsi="Arial"/>
          <w:sz w:val="18"/>
          <w:szCs w:val="18"/>
          <w:b w:val="1"/>
          <w:bCs w:val="1"/>
          <w:i w:val="1"/>
          <w:iCs w:val="1"/>
          <w:color w:val="auto"/>
        </w:rPr>
        <w:t>Operating Revenues</w:t>
      </w:r>
    </w:p>
    <w:p>
      <w:pPr>
        <w:spacing w:after="0" w:line="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$19 million during the three months ended September 30, 2021, compared to the same period in 2020, due to a combination of the drivers summarized in the table below:</w:t>
      </w:r>
    </w:p>
    <w:p>
      <w:pPr>
        <w:sectPr>
          <w:pgSz w:w="11900" w:h="16838" w:orient="portrait"/>
          <w:cols w:equalWidth="0" w:num="1">
            <w:col w:w="11240"/>
          </w:cols>
          <w:pgMar w:left="320" w:top="891" w:right="339" w:bottom="1440" w:gutter="0" w:footer="0" w:header="0"/>
        </w:sect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Renewables Segment</w:t>
      </w:r>
    </w:p>
    <w:p>
      <w:pPr>
        <w:spacing w:after="0" w:line="198" w:lineRule="exact"/>
        <w:rPr>
          <w:sz w:val="20"/>
          <w:szCs w:val="20"/>
          <w:color w:val="auto"/>
        </w:rPr>
      </w:pPr>
    </w:p>
    <w:p>
      <w:pPr>
        <w:ind w:left="20" w:right="300"/>
        <w:spacing w:after="0" w:line="365" w:lineRule="auto"/>
        <w:rPr>
          <w:sz w:val="20"/>
          <w:szCs w:val="20"/>
          <w:color w:val="auto"/>
        </w:rPr>
      </w:pPr>
      <w:r>
        <w:rPr>
          <w:rFonts w:ascii="Arial" w:cs="Arial" w:eastAsia="Arial" w:hAnsi="Arial"/>
          <w:sz w:val="16"/>
          <w:szCs w:val="16"/>
          <w:b w:val="1"/>
          <w:bCs w:val="1"/>
          <w:color w:val="auto"/>
        </w:rPr>
        <w:t>Conventional Segment Thermal Segment</w:t>
      </w:r>
    </w:p>
    <w:p>
      <w:pPr>
        <w:spacing w:after="0" w:line="75" w:lineRule="exact"/>
        <w:rPr>
          <w:sz w:val="20"/>
          <w:szCs w:val="20"/>
          <w:color w:val="auto"/>
        </w:rPr>
      </w:pPr>
    </w:p>
    <w:p>
      <w:pPr>
        <w:ind w:left="20"/>
        <w:spacing w:after="0" w:line="267" w:lineRule="auto"/>
        <w:rPr>
          <w:sz w:val="20"/>
          <w:szCs w:val="20"/>
          <w:color w:val="auto"/>
        </w:rPr>
      </w:pPr>
      <w:r>
        <w:rPr>
          <w:rFonts w:ascii="Arial" w:cs="Arial" w:eastAsia="Arial" w:hAnsi="Arial"/>
          <w:sz w:val="16"/>
          <w:szCs w:val="16"/>
          <w:b w:val="1"/>
          <w:bCs w:val="1"/>
          <w:color w:val="auto"/>
        </w:rPr>
        <w:t>Mark-to-market economic hedging activities</w:t>
      </w:r>
    </w:p>
    <w:p>
      <w:pPr>
        <w:ind w:left="20"/>
        <w:spacing w:after="0"/>
        <w:rPr>
          <w:sz w:val="20"/>
          <w:szCs w:val="20"/>
          <w:color w:val="auto"/>
        </w:rPr>
      </w:pPr>
      <w:r>
        <w:rPr>
          <w:rFonts w:ascii="Arial" w:cs="Arial" w:eastAsia="Arial" w:hAnsi="Arial"/>
          <w:sz w:val="18"/>
          <w:szCs w:val="18"/>
          <w:b w:val="1"/>
          <w:bCs w:val="1"/>
          <w:color w:val="auto"/>
        </w:rPr>
        <w:t>Contract amortization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Increase primarily driven by the acquisitions of Agua Caliente, Mt. Storm, Mesquite Star, Rattlesnake, Langford and Rosamond Central and the consolidation of the DGPV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-256540</wp:posOffset>
            </wp:positionV>
            <wp:extent cx="713232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Increase primarily driven by improved availability at the California natural gas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14605</wp:posOffset>
            </wp:positionV>
            <wp:extent cx="7132320"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Decrease primarily driven by revenue from a sales-type lease recognized in 2020, partially offset by higher volumes and higher gas prices passed through to customers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Increase in unrealized losses from changes in the fair value of power contracts, primarily driven by the acquisitions of Mt. Storm and Mesquite 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635</wp:posOffset>
            </wp:positionV>
            <wp:extent cx="71323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Increase primarily driven by amortization of the intangible asset for power purchase agreement in connection with the acquisition of Agua Caliente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86"/>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ind w:left="1086" w:hanging="1086"/>
        <w:spacing w:after="0"/>
        <w:tabs>
          <w:tab w:leader="none" w:pos="10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74</w:t>
      </w:r>
    </w:p>
    <w:p>
      <w:pPr>
        <w:spacing w:after="0" w:line="23"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1026"/>
        <w:spacing w:after="0"/>
        <w:rPr>
          <w:sz w:val="20"/>
          <w:szCs w:val="20"/>
          <w:color w:val="auto"/>
        </w:rPr>
      </w:pPr>
      <w:r>
        <w:rPr>
          <w:rFonts w:ascii="Arial" w:cs="Arial" w:eastAsia="Arial" w:hAnsi="Arial"/>
          <w:sz w:val="16"/>
          <w:szCs w:val="16"/>
          <w:color w:val="auto"/>
        </w:rPr>
        <w:t>(35)</w:t>
      </w:r>
    </w:p>
    <w:p>
      <w:pPr>
        <w:spacing w:after="0" w:line="221" w:lineRule="exact"/>
        <w:rPr>
          <w:sz w:val="20"/>
          <w:szCs w:val="20"/>
          <w:color w:val="auto"/>
        </w:rPr>
      </w:pPr>
    </w:p>
    <w:p>
      <w:pPr>
        <w:ind w:left="1026"/>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655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39" w:lineRule="exact"/>
        <w:rPr>
          <w:sz w:val="20"/>
          <w:szCs w:val="20"/>
          <w:color w:val="auto"/>
        </w:rPr>
      </w:pPr>
    </w:p>
    <w:p>
      <w:pPr>
        <w:ind w:left="1086" w:hanging="1086"/>
        <w:spacing w:after="0"/>
        <w:tabs>
          <w:tab w:leader="none" w:pos="10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60" w:space="580"/>
            <w:col w:w="7220" w:space="34"/>
            <w:col w:w="1346"/>
          </w:cols>
          <w:pgMar w:left="320" w:top="891"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$18 million during the three months ended September 30, 2021, compared to the same period in 2020, primarily due to the acquisition of solar and wind projects during the second half of 2020 and the first half of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costs of operations expense increased by $12 million during the three months ended September 30, 2021, compared to the same period in 2020, primarily due to an increase in insurance and property taxes in the Renewables segment, the majority of which was related to the acquisition of solar and wind projects during the second half of 2020 and the first half of 2021, in addition to refunds of property taxes received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Depreciation, amortization and accretion expense increased by $29 million during the three months ended September 30, 2021, compared to the same period in 2020, primarily due to a $27 million increase in the Renewables segment. This includes a $5 million increase related to the consolidation of the DGPV investments and a $14 million increase related to the acquisition of Aqua Caliente and Rattlesnake in the first quarter of 2021 and wind facilities acquired in the second half of 2020. In addition, approximately $9 million of accelerated depreciation was recorded in 2021 related to the repowering of the Pinnacle wind facility, partially offset by accelerated depreciation of $1 million recorded in the third quarter of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three months ended September 30, 2021, the Company had losses of $12 million attributable to noncontrolling interests with respect to its tax equity financing arrangements and the application of the HLBV method.</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September 30, 2020, the Company had losses of $1 million attributable to CEG's interests in the Kawailoa, Oahu and Repowering partnerships, as well as losses of $19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2021 and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$49 million during the nine months ended September 30, 2021, compared to the same period in 2020, due to a combination of the drivers summarized in the table below:</w:t>
      </w:r>
    </w:p>
    <w:p>
      <w:pPr>
        <w:sectPr>
          <w:pgSz w:w="11900" w:h="16838" w:orient="portrait"/>
          <w:cols w:equalWidth="0" w:num="1">
            <w:col w:w="11240"/>
          </w:cols>
          <w:pgMar w:left="320" w:top="891" w:right="339" w:bottom="1440" w:gutter="0" w:footer="0" w:header="0"/>
        </w:sect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Renewables Segment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Thermal Segment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Conventional Segment</w:t>
      </w:r>
    </w:p>
    <w:p>
      <w:pPr>
        <w:spacing w:after="0" w:line="198" w:lineRule="exact"/>
        <w:rPr>
          <w:sz w:val="20"/>
          <w:szCs w:val="20"/>
          <w:color w:val="auto"/>
        </w:rPr>
      </w:pPr>
    </w:p>
    <w:p>
      <w:pPr>
        <w:ind w:left="20"/>
        <w:spacing w:after="0" w:line="267" w:lineRule="auto"/>
        <w:rPr>
          <w:sz w:val="20"/>
          <w:szCs w:val="20"/>
          <w:color w:val="auto"/>
        </w:rPr>
      </w:pPr>
      <w:r>
        <w:rPr>
          <w:rFonts w:ascii="Arial" w:cs="Arial" w:eastAsia="Arial" w:hAnsi="Arial"/>
          <w:sz w:val="16"/>
          <w:szCs w:val="16"/>
          <w:b w:val="1"/>
          <w:bCs w:val="1"/>
          <w:color w:val="auto"/>
        </w:rPr>
        <w:t>Mark-to-market economic hedging activities</w:t>
      </w:r>
    </w:p>
    <w:p>
      <w:pPr>
        <w:ind w:left="20"/>
        <w:spacing w:after="0"/>
        <w:rPr>
          <w:sz w:val="20"/>
          <w:szCs w:val="20"/>
          <w:color w:val="auto"/>
        </w:rPr>
      </w:pPr>
      <w:r>
        <w:rPr>
          <w:rFonts w:ascii="Arial" w:cs="Arial" w:eastAsia="Arial" w:hAnsi="Arial"/>
          <w:sz w:val="18"/>
          <w:szCs w:val="18"/>
          <w:b w:val="1"/>
          <w:bCs w:val="1"/>
          <w:color w:val="auto"/>
        </w:rPr>
        <w:t>Contract amortization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Increase due to the acquisitions of Agua Caliente, Mt. Storm, Mesquite Star, Rattlesnake, Langford and Rosamond Central, and the consolidation of the DGPV investments, as well as higher wind production at Alta, partially offset by $50 million of net settlements of obligations for wind facilities that were unable to produce the required output during extreme weather conditions in Texas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-590550</wp:posOffset>
            </wp:positionV>
            <wp:extent cx="7132320" cy="591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jc w:val="both"/>
        <w:ind w:right="20"/>
        <w:spacing w:after="0" w:line="234" w:lineRule="auto"/>
        <w:rPr>
          <w:sz w:val="20"/>
          <w:szCs w:val="20"/>
          <w:color w:val="auto"/>
        </w:rPr>
      </w:pPr>
      <w:r>
        <w:rPr>
          <w:rFonts w:ascii="Arial" w:cs="Arial" w:eastAsia="Arial" w:hAnsi="Arial"/>
          <w:sz w:val="18"/>
          <w:szCs w:val="18"/>
          <w:color w:val="auto"/>
        </w:rPr>
        <w:t>Increase primarily driven by higher volumes and higher gas prices passed through to customers, partially offset by a sales-type lease recognized in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635</wp:posOffset>
            </wp:positionV>
            <wp:extent cx="713232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680"/>
        <w:spacing w:after="0" w:line="234" w:lineRule="auto"/>
        <w:rPr>
          <w:sz w:val="20"/>
          <w:szCs w:val="20"/>
          <w:color w:val="auto"/>
        </w:rPr>
      </w:pPr>
      <w:r>
        <w:rPr>
          <w:rFonts w:ascii="Arial" w:cs="Arial" w:eastAsia="Arial" w:hAnsi="Arial"/>
          <w:sz w:val="18"/>
          <w:szCs w:val="18"/>
          <w:color w:val="auto"/>
        </w:rPr>
        <w:t>Increase primarily due to higher start revenues at the Marsh Landing facility and improved availability at the California natural gas portfolio</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Increase in unrealized losses from changes in the fair value of power contracts, primarily driven by the acquisitions of Mt. Storm and Mesquite 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635</wp:posOffset>
            </wp:positionV>
            <wp:extent cx="713232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Increase primarily driven by amortization of the intangible asset for power purchase agreement in connection with the acquisition of Agua Caliente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4"/>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6" w:hanging="1006"/>
        <w:spacing w:after="0"/>
        <w:tabs>
          <w:tab w:leader="none" w:pos="10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166</w:t>
      </w:r>
    </w:p>
    <w:p>
      <w:pPr>
        <w:spacing w:after="0" w:line="198"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198"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(82)</w:t>
      </w:r>
    </w:p>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 w:lineRule="exact"/>
        <w:rPr>
          <w:sz w:val="20"/>
          <w:szCs w:val="20"/>
          <w:color w:val="auto"/>
        </w:rPr>
      </w:pPr>
    </w:p>
    <w:p>
      <w:pPr>
        <w:ind w:left="1086" w:hanging="1086"/>
        <w:spacing w:after="0"/>
        <w:tabs>
          <w:tab w:leader="none" w:pos="10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3">
            <w:col w:w="2060" w:space="580"/>
            <w:col w:w="7220" w:space="34"/>
            <w:col w:w="1346"/>
          </w:cols>
          <w:pgMar w:left="320" w:top="89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$45 million during the nine months ended September 30, 2021, compared to the same period in 2020, primarily due to the acquisition of solar and wind projects during the second half of 2020 and the first half of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Other costs of operations expense increased by $17 million during the nine months ended September 30, 2021, compared to the same period in 2020, primarily due to an increase in insurance and property taxes in the Renewables segment, the majority of which was related to the acquisition of solar and wind projects during the second half of 2020 and the first half of 2021, in addition to refunds of property taxes received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Depreciation, amortization and accretion expense increased by $84 million during the nine months ended September 30, 2021, compared to the same period in 2020, primarily due to an increase of $82 million in the Renewables segment. This includes a $20 million increase due to the consolidation of the DGPV investments in 2020 and a $43 million increase related to the acquisition of Aqua Caliente and Rattlesnake in the first quarter of 2021 and wind facilities acquired in the second half of 2020. In addition, approximately $27 million of accelerated depreciation was recorded in 2021 related to the repowering of the Pinnacle wind facility, partially offset by accelerated depreciation of $8 million recorded in the first nine months of 2020 for the repowering of the Wildorado wind facility.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Equity in earnings of unconsolidated affiliates increased by $10 million during the nine months ended September 30, 2021, compared to the same period in 2020, primarily driven by increased earnings from Desert Sunlight and Avenal in 2021, due to the acquisition of Mesquite Star on September 1, 2020, which had losses in 2020, and the consolidation of the DGPV investments on November 2, 2020, which had losses in 2020, partially offset by the acquisition of additional interest and consolidation of Agua Caliente in February 2021 and sale of the interests in RPV Holdco 1 LLC in May 2020, which had earnings in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Spruce Power, which resulted in a gain on sale of investment of approximately $49 million. For further discussion on this transaction, see Item 1-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Loss on debt extinguishment increased by $33 million during the nine months ended September 30, 2021, compared to the same period in 2020, primarily driven by the write-off of previously deferred finance costs and payment of premiums related to the redemption of the 2025 Senior Notes in 2021, partially offset by the write-off of previously deferred finance costs related to the repayment of debt in 2020 for the Utah Solar Portfolio, Alpine, Blythe and Roadrunner, in connection with the related refinancing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decreased by $112 million during the nine months ended September 30, 2021, compared to the same period in 2020, primarily due to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6"/>
        </w:trPr>
        <w:tc>
          <w:tcPr>
            <w:tcW w:w="9600" w:type="dxa"/>
            <w:vAlign w:val="bottom"/>
          </w:tcPr>
          <w:p>
            <w:pPr>
              <w:ind w:left="20"/>
              <w:spacing w:after="0" w:line="176" w:lineRule="exact"/>
              <w:rPr>
                <w:sz w:val="20"/>
                <w:szCs w:val="20"/>
                <w:color w:val="auto"/>
              </w:rPr>
            </w:pPr>
            <w:r>
              <w:rPr>
                <w:rFonts w:ascii="Arial" w:cs="Arial" w:eastAsia="Arial" w:hAnsi="Arial"/>
                <w:sz w:val="18"/>
                <w:szCs w:val="18"/>
                <w:color w:val="auto"/>
              </w:rPr>
              <w:t>Increase in interest expense due to increased principal balances of project level debt primarily due to acquisitions in the</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0" w:type="dxa"/>
            <w:vAlign w:val="bottom"/>
          </w:tcPr>
          <w:p>
            <w:pPr>
              <w:ind w:left="20"/>
              <w:spacing w:after="0" w:line="176" w:lineRule="exact"/>
              <w:rPr>
                <w:sz w:val="20"/>
                <w:szCs w:val="20"/>
                <w:color w:val="auto"/>
              </w:rPr>
            </w:pPr>
            <w:r>
              <w:rPr>
                <w:rFonts w:ascii="Arial" w:cs="Arial" w:eastAsia="Arial" w:hAnsi="Arial"/>
                <w:sz w:val="18"/>
                <w:szCs w:val="18"/>
                <w:color w:val="auto"/>
                <w:w w:val="94"/>
              </w:rPr>
              <w:t>Renewables segment, partially offset by lower interest expense in the Conventional segment due to lower principal balances of</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project level debt</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Increase in Corporate interest expense due to additional issuance of the 2028 Senior Notes in May 2020,</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partially offset by lower interest expense related to revolver borrowings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2021, the Company had a loss of $114 million attributable to noncontrolling interests with respect to its tax equity financing arrangements and the application of the HLBV method.</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2020, the Company had losses of $36 million attributable to CEG's interests in the Kawailoa, Oahu and Repowering partnerships and losses of $50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2021</w:t>
      </w:r>
      <w:r>
        <w:rPr>
          <w:rFonts w:ascii="Arial" w:cs="Arial" w:eastAsia="Arial" w:hAnsi="Arial"/>
          <w:sz w:val="18"/>
          <w:szCs w:val="18"/>
          <w:color w:val="231F20"/>
        </w:rPr>
        <w:t xml:space="preserve"> and </w:t>
      </w:r>
      <w:r>
        <w:rPr>
          <w:rFonts w:ascii="Arial" w:cs="Arial" w:eastAsia="Arial" w:hAnsi="Arial"/>
          <w:sz w:val="18"/>
          <w:szCs w:val="18"/>
          <w:color w:val="000000"/>
        </w:rPr>
        <w:t>December 31, 2020</w:t>
      </w:r>
      <w:r>
        <w:rPr>
          <w:rFonts w:ascii="Arial" w:cs="Arial" w:eastAsia="Arial" w:hAnsi="Arial"/>
          <w:sz w:val="18"/>
          <w:szCs w:val="18"/>
          <w:color w:val="231F20"/>
        </w:rPr>
        <w:t>, the Company's liquidity was approximately $898 million and $894 million, respectively, comprised of cash, restricted cash and availability under the Company's revolving credit facility.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December 31, 2020</w:t>
            </w:r>
          </w:p>
        </w:tc>
      </w:tr>
      <w:tr>
        <w:trPr>
          <w:trHeight w:val="21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accounts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$366 million and $197 million of restricted cash balances as of September 30, 2021 and December 31, </w:t>
      </w:r>
      <w:r>
        <w:rPr>
          <w:rFonts w:ascii="Arial" w:cs="Arial" w:eastAsia="Arial" w:hAnsi="Arial"/>
          <w:sz w:val="16"/>
          <w:szCs w:val="16"/>
          <w:color w:val="000000"/>
        </w:rPr>
        <w:t>2020</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September 30, 2021, these restricted funds were comprised of $121 million designated to fund operating</w:t>
      </w:r>
      <w:r>
        <w:rPr>
          <w:rFonts w:ascii="Arial" w:cs="Arial" w:eastAsia="Arial" w:hAnsi="Arial"/>
          <w:sz w:val="16"/>
          <w:szCs w:val="16"/>
          <w:color w:val="231F20"/>
        </w:rPr>
        <w:t xml:space="preserve"> </w:t>
      </w:r>
      <w:r>
        <w:rPr>
          <w:rFonts w:ascii="Arial" w:cs="Arial" w:eastAsia="Arial" w:hAnsi="Arial"/>
          <w:sz w:val="16"/>
          <w:szCs w:val="16"/>
          <w:color w:val="000000"/>
        </w:rPr>
        <w:t>expenses, approximately $68 million designated for current debt service payments and $133 million restricted for reserves including debt service, performance obligations and other reserves, as well as capital expenditures. The remaining $44 million is held in distribution reserve accounts.</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2021, the Company had $77 million of borrowings under the revolving credit facility and $75 million in letters of credit outstanding. During the nine months ended September 30, 2021, the Company borrowed $377 million under the revolving credit facility, and subsequently repaid $300 million, utilizing cash on hand and the proceeds from the issuance of the 2031 Senior Notes. During October 2021, the Company repaid $32 million of its outstanding loans under the revolving credit facility and as of October 31, 2021, the Company had $45 million of loans outstanding and a total of $75 million in letters of credit outstanding.</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September 30, 2021, the Company's 2026 Senior Notes, 2028 Senior Notes and 2031 Senior Notes were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the consolidated financial statements included in the Company's </w:t>
      </w:r>
      <w:r>
        <w:rPr>
          <w:rFonts w:ascii="Arial" w:cs="Arial" w:eastAsia="Arial" w:hAnsi="Arial"/>
          <w:sz w:val="18"/>
          <w:szCs w:val="18"/>
          <w:color w:val="000000"/>
        </w:rPr>
        <w:t>2020 Form 10-K</w:t>
      </w:r>
      <w:r>
        <w:rPr>
          <w:rFonts w:ascii="Arial" w:cs="Arial" w:eastAsia="Arial" w:hAnsi="Arial"/>
          <w:sz w:val="18"/>
          <w:szCs w:val="18"/>
          <w:color w:val="231F20"/>
        </w:rPr>
        <w:t xml:space="preserve">, the Company's financing arrangements consist of </w:t>
      </w:r>
      <w:r>
        <w:rPr>
          <w:rFonts w:ascii="Arial" w:cs="Arial" w:eastAsia="Arial" w:hAnsi="Arial"/>
          <w:sz w:val="18"/>
          <w:szCs w:val="18"/>
          <w:color w:val="000000"/>
        </w:rPr>
        <w:t>corporate level debt, which includes Senior Notes and the revolving credit</w:t>
      </w:r>
      <w:r>
        <w:rPr>
          <w:rFonts w:ascii="Arial" w:cs="Arial" w:eastAsia="Arial" w:hAnsi="Arial"/>
          <w:sz w:val="18"/>
          <w:szCs w:val="18"/>
          <w:color w:val="231F20"/>
        </w:rPr>
        <w:t xml:space="preserve"> </w:t>
      </w:r>
      <w:r>
        <w:rPr>
          <w:rFonts w:ascii="Arial" w:cs="Arial" w:eastAsia="Arial" w:hAnsi="Arial"/>
          <w:sz w:val="18"/>
          <w:szCs w:val="18"/>
          <w:color w:val="000000"/>
        </w:rPr>
        <w:t>facility; the ATM Programs; and project-level financings for its various assets.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 of Thermal Business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22, 2021, Clearway Energy Operating LLC entered into a binding agreement to sell the Thermal Business to an affiliate of KKR &amp; Co. Inc. for total consideration of $1.9 billion, subject to customary closing adjustments. Based on current estimates, the Company expects total net cash proceeds of approximately $1.3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$343 million available under the revolving credit facility as of September 30, 2021. The facility will continue to be used for general corporate purposes including financing of future acquisitions and posting letters of credit.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2032 Senior Notes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and interest payments will commence on January 15, 2022. The 2032 Senior Notes are unsecured obligations of Clearway Energy Operating LLC and are guaranteed by the Company and by certain of Clearway Energy Operating LLC's wholly owned current and future subsidiaries. The net proceeds from the 2032 Senior Notes were used, together with existing corporate liquidity, to repurchase the 2026 Senior Notes.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2031 Senior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commenced on August 15, 2021. The 2031 Senior Notes are unsecured obligations of Clearway Energy Operating LLC and are guaranteed by the Company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and to reimburse Clearway Renew LLC for equipment purchases and pay vendor invoices and fees.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Oahu and Kawailoa Hawaii Refundable Tax Credits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September 30, 2021, $13 million has been utilized to offset invoiced amounts under the projects' PPAs.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For the nine months ended </w:t>
      </w:r>
      <w:r>
        <w:rPr>
          <w:rFonts w:ascii="Arial" w:cs="Arial" w:eastAsia="Arial" w:hAnsi="Arial"/>
          <w:sz w:val="18"/>
          <w:szCs w:val="18"/>
          <w:color w:val="000000"/>
        </w:rPr>
        <w:t>September 30, 2021</w:t>
      </w:r>
      <w:r>
        <w:rPr>
          <w:rFonts w:ascii="Arial" w:cs="Arial" w:eastAsia="Arial" w:hAnsi="Arial"/>
          <w:sz w:val="18"/>
          <w:szCs w:val="18"/>
          <w:color w:val="231F20"/>
        </w:rPr>
        <w:t xml:space="preserve">, the Company used approximately $124 million to fund capital expenditures, including growth </w:t>
      </w:r>
      <w:r>
        <w:rPr>
          <w:rFonts w:ascii="Arial" w:cs="Arial" w:eastAsia="Arial" w:hAnsi="Arial"/>
          <w:sz w:val="18"/>
          <w:szCs w:val="18"/>
          <w:color w:val="000000"/>
        </w:rPr>
        <w:t>expenditures of $81 million in the Renewables segment, $34 million incurred in connection with the repowering of the Pinnacle wind project, $18 million incurred in connection with the Rosamond Central solar project, $17 million incurred in connection with the Rattlesnake wind project and $12 million incurred in connection with the Mesquite Star wind project. The Company also incurred $26 million of growth capital expenditures in the Thermal and Conventional segments in connection with various development projects. In addition, the Company incurred $17 million in maintenance capital expenditures. The Company estimates $28 million of maintenance expenditures for 2021. These estimates are subject to continuing review and adjustment. Actual capital expenditures may vary from these estimates.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CWSP Rattlesnake Holding LLC, which indirectly owns the Rattlesnake wind project, a 160 MW wind facility located in Adams County, Washington for $132 million in cash consideration. The Company's net capital commitment was $119 million after proceeds from a state sales and use tax refund, which was received in May 2021.</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NRG Energy, Inc. for $202 million. Agua Caliente is a 290 MW solar project located in Dateland, Arizona in which the Company previously owned a 16% equity interest.</w:t>
      </w:r>
    </w:p>
    <w:p>
      <w:pPr>
        <w:spacing w:after="0" w:line="13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Pinnacle Wind Repowering </w:t>
      </w:r>
      <w:r>
        <w:rPr>
          <w:rFonts w:ascii="Arial" w:cs="Arial" w:eastAsia="Arial" w:hAnsi="Arial"/>
          <w:sz w:val="17"/>
          <w:szCs w:val="17"/>
          <w:color w:val="auto"/>
        </w:rPr>
        <w:t>— On February 26, 2021, the Company, through an indirect subsidiary, entered into an amended partnership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Commercial operations and corporate capital funding for the Pinnacle wind repowering are expected to occur in the fourth quarter of 2021. Additionally, on March 10, 2021, the Pinnacle wind project acquired equipment from CEG for $21 million in cash consideration.</w:t>
      </w:r>
    </w:p>
    <w:p>
      <w:pPr>
        <w:spacing w:after="0" w:line="12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Mt. Storm Acquisition </w:t>
      </w:r>
      <w:r>
        <w:rPr>
          <w:rFonts w:ascii="Arial" w:cs="Arial" w:eastAsia="Arial" w:hAnsi="Arial"/>
          <w:sz w:val="17"/>
          <w:szCs w:val="17"/>
          <w:color w:val="auto"/>
        </w:rPr>
        <w:t>— On April 23, 2021, the Company acquired 100% of the equity interests in NedPower Mount Storm LLC, or Mt. Storm, from</w:t>
      </w:r>
      <w:r>
        <w:rPr>
          <w:rFonts w:ascii="Arial" w:cs="Arial" w:eastAsia="Arial" w:hAnsi="Arial"/>
          <w:sz w:val="17"/>
          <w:szCs w:val="17"/>
          <w:i w:val="1"/>
          <w:iCs w:val="1"/>
          <w:color w:val="auto"/>
        </w:rPr>
        <w:t xml:space="preserve"> </w:t>
      </w:r>
      <w:r>
        <w:rPr>
          <w:rFonts w:ascii="Arial" w:cs="Arial" w:eastAsia="Arial" w:hAnsi="Arial"/>
          <w:sz w:val="17"/>
          <w:szCs w:val="17"/>
          <w:color w:val="auto"/>
        </w:rPr>
        <w:t>Castleton Commodities International for approximately $96 million before working capital and purchase price adjustments in the net amount of $4 million, representing a total cash outflow of $100 million. Mt. Storm is a 264 MW wind project located in Grant County, West Virginia.</w:t>
      </w:r>
    </w:p>
    <w:p>
      <w:pPr>
        <w:spacing w:after="0" w:line="1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Utah Solar Portfolio Additional Interest Acquisition </w:t>
      </w:r>
      <w:r>
        <w:rPr>
          <w:rFonts w:ascii="Arial" w:cs="Arial" w:eastAsia="Arial" w:hAnsi="Arial"/>
          <w:sz w:val="16"/>
          <w:szCs w:val="16"/>
          <w:color w:val="auto"/>
        </w:rPr>
        <w:t>— On August 20, 2021, the Company signed a binding agreement with Dominion Solar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III, Inc., to acquire the remaining 50% equity interest in the Utah Solar Portfolio for approximately $335 million in cash, subject to customary working capital adjustments. The Utah Solar Portfolio consists of seven utility-scale solar farms located in Utah representing 530 MW of capacity. The assets within the portfolio sell power subject to 20-year PPAs with PacifiCorp that have approximately 15 years remaining under the agreements. The Company currently owns a 50% equity interest in the Utah Solar Portfolio and, upon closing, will own 100% of the membership interests in the Utah Solar Portfolio. The closing of the transaction is subject to customary regulatory approvals and is expected to be completed in the fourth quarter of 2021. Following the close of the transaction, the Company will remove its equity method investment and consolidate its interests in the Utah Solar Portfolio.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Lighthouse Partnership Agreements </w:t>
      </w:r>
      <w:r>
        <w:rPr>
          <w:rFonts w:ascii="Arial" w:cs="Arial" w:eastAsia="Arial" w:hAnsi="Arial"/>
          <w:sz w:val="18"/>
          <w:szCs w:val="18"/>
          <w:color w:val="auto"/>
        </w:rPr>
        <w:t>— On December 21, 2020, subsidiaries of the Company entered into the Lighthouse Partnership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for the Company's co-investment in a portfolio of renewable energy projects developed by CEG. The Company expects to invest approximately $142 million in 2021 for 50% cash equity interests in the Mesquite Sky and Black Rock wind projects, subject to closing adjustments and the projects achieving certain milestones.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Repurchases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2026 Senior Notes Tender Offer and Redemption — </w:t>
      </w:r>
      <w:r>
        <w:rPr>
          <w:rFonts w:ascii="Arial" w:cs="Arial" w:eastAsia="Arial" w:hAnsi="Arial"/>
          <w:sz w:val="17"/>
          <w:szCs w:val="17"/>
          <w:color w:val="auto"/>
        </w:rPr>
        <w:t>On October 1, 2021, the Company completed the repurchase of an aggregate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$123 million, or 35.3%, of the 2026 Senior Notes outstanding as part of the cash tender offer announced on September 24, 2021. Concurrently with the launch of the tender offer, the Company exercised its right to optionally redeem the remaining principal amount of $227 million not validly tendered and purchased in the tender offer, pursuant to the terms of the indenture governing the 2026 Senior Notes. The 2026 Senior Notes repurchased and redeemed in October 2021 were effectuated at a premium of approximately 103% for total consideration of $359 million.</w:t>
      </w:r>
    </w:p>
    <w:p>
      <w:pPr>
        <w:spacing w:after="0" w:line="1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2025 Senior Notes Tender Offer and Redemption — </w:t>
      </w:r>
      <w:r>
        <w:rPr>
          <w:rFonts w:ascii="Arial" w:cs="Arial" w:eastAsia="Arial" w:hAnsi="Arial"/>
          <w:sz w:val="17"/>
          <w:szCs w:val="17"/>
          <w:color w:val="auto"/>
        </w:rPr>
        <w:t>On March 9, 2021, the Company completed the repurchase of an aggregate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$411 million, or 68.6%, of the 2025 Senior Notes outstanding as part of the cash tender offer announced on March 2, 2021. Additionally, $6 million of the 2025 Senior Notes that were subject to guaranteed delivery procedures were repurchased on March 11, 2021. Concurrently with the launch of the tender offer, the Company exercised its right to optionally redeem the remaining principal amount of $183 million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Distributions to Clearway Energy, Inc.</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nine months ended September 30,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2021</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2021</w:t>
            </w: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0.3290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3, 2021, the Company declared a distribution on its Class A, Class B, Class C and Class D units of $0.34 per unit payable on December 15, 2021 to unit holders of record as of December 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Financial Disclosures About Guarantors and Issuers of Guaranteed Registered Securities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September 30, 2021, Clearway Energy Operating LLC’s outstanding registered senior notes consisted of $350 million of the 2026 Senior Notes, as further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The 2026 Senior Notes were guaranteed by the Company, as well as certain of the Company's wholly owned subsidiaries, or guarantor subsidiaries. These guarantees were full, irrevocable, unconditional, absolute, joint and several, and covered all payment obligations arising under the 2026 Senior Notes. The non-guarantor subsidiaries included the rest of the Company's subsidiaries, including the subsidiaries that are subject to project financing.</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As further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on October 25, 2021, the Company completed the optional redemption of all of the then-outstanding 2026 Senior Notes. As a result, as of such date, the 2026 Senior Notes are no longer outstanding, the obligations of Clearway Energy Operating LLC, the Company and the guarantor subsidiaries under the indenture governing the 2026 Senior Notes were discharged, and the guarantees of the Company and each of the guarantor subsidiaries were released under the indenture.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ind w:firstLine="405"/>
        <w:spacing w:after="0" w:line="301" w:lineRule="auto"/>
        <w:rPr>
          <w:sz w:val="20"/>
          <w:szCs w:val="20"/>
          <w:color w:val="auto"/>
        </w:rPr>
      </w:pPr>
      <w:r>
        <w:rPr>
          <w:rFonts w:ascii="Arial" w:cs="Arial" w:eastAsia="Arial" w:hAnsi="Arial"/>
          <w:sz w:val="16"/>
          <w:szCs w:val="16"/>
          <w:color w:val="auto"/>
        </w:rPr>
        <w:t>Clearway Energy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tables present, for the periods referenced below, summarized financial information for Clearway Energy Operating LLC, the issuer of the 2026 Senior Notes and the guarantor subsidiaries in accordance with Rule 3-10 under the SEC Regulation S-X. The financial information may not necessarily be indicative of results of operations or financial position had the guarantor subsidiaries operated as independent entities. Transactions between Clearway Energy Operating LLC and the guarantors have been eliminated and the summarized financial information does not reflect investments of Clearway Energy Operating LLC and the guarantors in the non-guarantor subsidiaries.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2021</w:t>
            </w: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60" w:type="dxa"/>
            <w:vAlign w:val="bottom"/>
          </w:tcPr>
          <w:p>
            <w:pPr>
              <w:spacing w:after="0"/>
              <w:rPr>
                <w:sz w:val="11"/>
                <w:szCs w:val="11"/>
                <w:color w:val="auto"/>
              </w:rPr>
            </w:pPr>
          </w:p>
        </w:tc>
        <w:tc>
          <w:tcPr>
            <w:tcW w:w="142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497"/>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2020</w:t>
            </w:r>
          </w:p>
        </w:tc>
        <w:tc>
          <w:tcPr>
            <w:tcW w:w="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60" w:type="dxa"/>
            <w:vAlign w:val="bottom"/>
          </w:tcPr>
          <w:p>
            <w:pPr>
              <w:spacing w:after="0"/>
              <w:rPr>
                <w:sz w:val="11"/>
                <w:szCs w:val="11"/>
                <w:color w:val="auto"/>
              </w:rPr>
            </w:pPr>
          </w:p>
        </w:tc>
        <w:tc>
          <w:tcPr>
            <w:tcW w:w="142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48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6"/>
          </w:tcPr>
          <w:p>
            <w:pPr>
              <w:jc w:val="center"/>
              <w:ind w:left="1237"/>
              <w:spacing w:after="0"/>
              <w:rPr>
                <w:sz w:val="20"/>
                <w:szCs w:val="20"/>
                <w:color w:val="auto"/>
              </w:rPr>
            </w:pPr>
            <w:r>
              <w:rPr>
                <w:rFonts w:ascii="Arial" w:cs="Arial" w:eastAsia="Arial" w:hAnsi="Arial"/>
                <w:sz w:val="16"/>
                <w:szCs w:val="16"/>
                <w:b w:val="1"/>
                <w:bCs w:val="1"/>
                <w:color w:val="auto"/>
                <w:w w:val="89"/>
              </w:rPr>
              <w:t>Nine months ended September 30, 2021</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60" w:type="dxa"/>
            <w:vAlign w:val="bottom"/>
          </w:tcPr>
          <w:p>
            <w:pPr>
              <w:spacing w:after="0"/>
              <w:rPr>
                <w:sz w:val="11"/>
                <w:szCs w:val="11"/>
                <w:color w:val="auto"/>
              </w:rPr>
            </w:pPr>
          </w:p>
        </w:tc>
        <w:tc>
          <w:tcPr>
            <w:tcW w:w="142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 attributable to controlling interest</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96"/>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6"/>
          </w:tcPr>
          <w:p>
            <w:pPr>
              <w:jc w:val="center"/>
              <w:ind w:left="1237"/>
              <w:spacing w:after="0"/>
              <w:rPr>
                <w:sz w:val="20"/>
                <w:szCs w:val="20"/>
                <w:color w:val="auto"/>
              </w:rPr>
            </w:pPr>
            <w:r>
              <w:rPr>
                <w:rFonts w:ascii="Arial" w:cs="Arial" w:eastAsia="Arial" w:hAnsi="Arial"/>
                <w:sz w:val="16"/>
                <w:szCs w:val="16"/>
                <w:b w:val="1"/>
                <w:bCs w:val="1"/>
                <w:color w:val="auto"/>
                <w:w w:val="89"/>
              </w:rPr>
              <w:t>Nine months ended September 30, 2020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60" w:type="dxa"/>
            <w:vAlign w:val="bottom"/>
          </w:tcPr>
          <w:p>
            <w:pPr>
              <w:spacing w:after="0"/>
              <w:rPr>
                <w:sz w:val="11"/>
                <w:szCs w:val="11"/>
                <w:color w:val="auto"/>
              </w:rPr>
            </w:pPr>
          </w:p>
        </w:tc>
        <w:tc>
          <w:tcPr>
            <w:tcW w:w="142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 attributable to controlling interest</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nine months ended September 30, 2021,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5"/>
              </w:rPr>
              <w:t>Nine months ended 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(In millions)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1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2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7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in operating income adjusted for non-cash items</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Decrease in distributions from unconsolidated affiliates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w w:val="97"/>
              </w:rPr>
              <w:t>Decrease in working capital primarily driven by the timing of accounts receivable collections and payments of accounts payable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2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20" w:type="dxa"/>
            <w:vAlign w:val="bottom"/>
          </w:tcPr>
          <w:p>
            <w:pPr>
              <w:ind w:left="20"/>
              <w:spacing w:after="0"/>
              <w:rPr>
                <w:sz w:val="20"/>
                <w:szCs w:val="20"/>
                <w:color w:val="auto"/>
              </w:rPr>
            </w:pPr>
            <w:r>
              <w:rPr>
                <w:rFonts w:ascii="Arial" w:cs="Arial" w:eastAsia="Arial" w:hAnsi="Arial"/>
                <w:sz w:val="18"/>
                <w:szCs w:val="18"/>
                <w:color w:val="auto"/>
              </w:rPr>
              <w:t>Changes to net cash used in investing activities were driven by:</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71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2"/>
              </w:rPr>
              <w:t>Cash paid for the Agua Caliente and Mt. Storm acquisitions, net of cash acquired in 2021</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9"/>
          </w:tcPr>
          <w:p>
            <w:pPr>
              <w:ind w:left="540"/>
              <w:spacing w:after="0"/>
              <w:rPr>
                <w:sz w:val="20"/>
                <w:szCs w:val="20"/>
                <w:color w:val="auto"/>
              </w:rPr>
            </w:pPr>
            <w:r>
              <w:rPr>
                <w:rFonts w:ascii="Arial" w:cs="Arial" w:eastAsia="Arial" w:hAnsi="Arial"/>
                <w:sz w:val="18"/>
                <w:szCs w:val="18"/>
                <w:color w:val="auto"/>
              </w:rPr>
              <w:t>Proceeds received from the sale of RPV Holdco, Energy Center Dover LLC and Energy Center Smyrna LLC in 2020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cash paid for Drop Down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540"/>
              <w:spacing w:after="0"/>
              <w:rPr>
                <w:sz w:val="20"/>
                <w:szCs w:val="20"/>
                <w:color w:val="auto"/>
              </w:rPr>
            </w:pPr>
            <w:r>
              <w:rPr>
                <w:rFonts w:ascii="Arial" w:cs="Arial" w:eastAsia="Arial" w:hAnsi="Arial"/>
                <w:sz w:val="18"/>
                <w:szCs w:val="18"/>
                <w:color w:val="auto"/>
              </w:rPr>
              <w:t>Changes in capital expenditures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paid to CEG in 2021 for equipment for the Pinnacle wind project repowering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20" w:type="dxa"/>
            <w:vAlign w:val="bottom"/>
          </w:tcPr>
          <w:p>
            <w:pPr>
              <w:ind w:left="20"/>
              <w:spacing w:after="0"/>
              <w:rPr>
                <w:sz w:val="20"/>
                <w:szCs w:val="20"/>
                <w:color w:val="auto"/>
              </w:rPr>
            </w:pPr>
            <w:r>
              <w:rPr>
                <w:rFonts w:ascii="Arial" w:cs="Arial" w:eastAsia="Arial" w:hAnsi="Arial"/>
                <w:sz w:val="18"/>
                <w:szCs w:val="18"/>
                <w:color w:val="auto"/>
              </w:rPr>
              <w:t>Changes in net cash used in financing activities were driven by:</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Increase in net contributions from CEG and noncontrolling interest members in 2021 compared to 2020</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gridSpan w:val="3"/>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60" w:type="dxa"/>
            <w:vAlign w:val="bottom"/>
            <w:gridSpan w:val="9"/>
          </w:tcPr>
          <w:p>
            <w:pPr>
              <w:ind w:left="140"/>
              <w:spacing w:after="0" w:line="176" w:lineRule="exact"/>
              <w:rPr>
                <w:sz w:val="20"/>
                <w:szCs w:val="20"/>
                <w:color w:val="auto"/>
              </w:rPr>
            </w:pPr>
            <w:r>
              <w:rPr>
                <w:rFonts w:ascii="Arial" w:cs="Arial" w:eastAsia="Arial" w:hAnsi="Arial"/>
                <w:sz w:val="18"/>
                <w:szCs w:val="18"/>
                <w:color w:val="auto"/>
                <w:w w:val="95"/>
              </w:rPr>
              <w:t>Increase in proceeds from issuance of long-term debt net of payments primarily due to issuance of the 2031 Senior Notes and the</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Pinnacle financing agreement in 2021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net proceeds under the revolving line of credit in 2021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Buyout of Repowering Partnership II LLC noncontrolling interest in 2020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equity issuance in 2020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Increase in distributions paid to unit holders in 2021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for short and long term debt to affiliates in the prior year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 xml:space="preserve">Variable interest in equity investments </w:t>
      </w:r>
      <w:r>
        <w:rPr>
          <w:rFonts w:ascii="Arial" w:cs="Arial" w:eastAsia="Arial" w:hAnsi="Arial"/>
          <w:sz w:val="16"/>
          <w:szCs w:val="16"/>
          <w:color w:val="auto"/>
        </w:rPr>
        <w:t>— As of September 30, 2021, the Company has several investments with an ownership interest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$354 million as of September 30, 2021. This indebtedness may restrict the ability of these subsidiaries to issue dividends or distributions to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2020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2021</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2021</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 —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Derivative Activity (Losses) Gains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December 31, 2020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ind w:left="18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 acquired during the period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ind w:left="18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Fair value of contracts as of September 30, 2021</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1"/>
              </w:rPr>
              <w:t>Fair value of contracts as of September 30,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2"/>
                <w:szCs w:val="12"/>
                <w:color w:val="auto"/>
              </w:rPr>
            </w:pPr>
          </w:p>
        </w:tc>
        <w:tc>
          <w:tcPr>
            <w:tcW w:w="1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2"/>
                <w:szCs w:val="12"/>
                <w:color w:val="auto"/>
              </w:rPr>
            </w:pPr>
          </w:p>
        </w:tc>
        <w:tc>
          <w:tcPr>
            <w:tcW w:w="120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rPr>
              <w:t>Greater Than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2"/>
                <w:szCs w:val="12"/>
                <w:color w:val="auto"/>
              </w:rPr>
            </w:pPr>
          </w:p>
        </w:tc>
        <w:tc>
          <w:tcPr>
            <w:tcW w:w="1200" w:type="dxa"/>
            <w:vAlign w:val="bottom"/>
            <w:gridSpan w:val="3"/>
          </w:tcPr>
          <w:p>
            <w:pPr>
              <w:jc w:val="right"/>
              <w:ind w:right="500"/>
              <w:spacing w:after="0" w:line="125" w:lineRule="exact"/>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80" w:type="dxa"/>
            <w:vAlign w:val="bottom"/>
            <w:gridSpan w:val="4"/>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2020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2020 included in the 2020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2021</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$76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September 30, 2021</w:t>
      </w:r>
      <w:r>
        <w:rPr>
          <w:rFonts w:ascii="Arial" w:cs="Arial" w:eastAsia="Arial" w:hAnsi="Arial"/>
          <w:sz w:val="18"/>
          <w:szCs w:val="18"/>
          <w:color w:val="231F20"/>
        </w:rPr>
        <w:t>, a 1% change in interest rates would result in an approximately $2 million change in market interest expense on a rolling twelve-month</w:t>
      </w:r>
      <w:r>
        <w:rPr>
          <w:rFonts w:ascii="Arial" w:cs="Arial" w:eastAsia="Arial" w:hAnsi="Arial"/>
          <w:sz w:val="18"/>
          <w:szCs w:val="18"/>
          <w:color w:val="000000"/>
        </w:rPr>
        <w:t xml:space="preserve"> </w:t>
      </w:r>
      <w:r>
        <w:rPr>
          <w:rFonts w:ascii="Arial" w:cs="Arial" w:eastAsia="Arial" w:hAnsi="Arial"/>
          <w:sz w:val="18"/>
          <w:szCs w:val="18"/>
          <w:color w:val="231F20"/>
        </w:rPr>
        <w:t>basis.</w:t>
      </w:r>
    </w:p>
    <w:p>
      <w:pPr>
        <w:spacing w:after="0" w:line="130"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2021</w:t>
      </w:r>
      <w:r>
        <w:rPr>
          <w:rFonts w:ascii="Arial" w:cs="Arial" w:eastAsia="Arial" w:hAnsi="Arial"/>
          <w:sz w:val="17"/>
          <w:szCs w:val="17"/>
          <w:color w:val="231F20"/>
        </w:rPr>
        <w:t xml:space="preserve">, the fair value of the Company's debt was $8,227 million and the carrying value was $7,918 million. The Company estimates that a 1% decrease in market interest rates would have increased the fair value of its long-term debt by approximately </w:t>
      </w:r>
      <w:r>
        <w:rPr>
          <w:rFonts w:ascii="Arial" w:cs="Arial" w:eastAsia="Arial" w:hAnsi="Arial"/>
          <w:sz w:val="17"/>
          <w:szCs w:val="17"/>
          <w:color w:val="000000"/>
        </w:rPr>
        <w:t>$537 million</w:t>
      </w:r>
      <w:r>
        <w:rPr>
          <w:rFonts w:ascii="Arial" w:cs="Arial" w:eastAsia="Arial" w:hAnsi="Arial"/>
          <w:sz w:val="17"/>
          <w:szCs w:val="17"/>
          <w:color w:val="231F20"/>
        </w:rPr>
        <w: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$1 million to the net value of natural gas derivatives as of </w:t>
      </w:r>
      <w:r>
        <w:rPr>
          <w:rFonts w:ascii="Arial" w:cs="Arial" w:eastAsia="Arial" w:hAnsi="Arial"/>
          <w:sz w:val="18"/>
          <w:szCs w:val="18"/>
          <w:color w:val="000000"/>
        </w:rPr>
        <w:t>September 30, 2021</w:t>
      </w:r>
      <w:r>
        <w:rPr>
          <w:rFonts w:ascii="Arial" w:cs="Arial" w:eastAsia="Arial" w:hAnsi="Arial"/>
          <w:sz w:val="18"/>
          <w:szCs w:val="18"/>
          <w:color w:val="231F20"/>
        </w:rPr>
        <w:t>. The impact of a $0.50 per MWh increase or decrease in power prices across the term of the derivatives contracts would cause a change of approximately $5 million to the net value of power derivatives as of September 30,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September 30,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2021, see Item 1 —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2020 Form 10-K. There have been no material changes in the Company's risk factors since those reported in its 2020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 EXHIBITS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00" w:type="dxa"/>
            <w:vAlign w:val="bottom"/>
            <w:gridSpan w:val="16"/>
          </w:tcPr>
          <w:p>
            <w:pPr>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Arial" w:cs="Arial" w:eastAsia="Arial" w:hAnsi="Arial"/>
                <w:sz w:val="16"/>
                <w:szCs w:val="16"/>
                <w:color w:val="auto"/>
              </w:rPr>
              <w:t>4.1</w:t>
            </w:r>
          </w:p>
        </w:tc>
        <w:tc>
          <w:tcPr>
            <w:tcW w:w="5700" w:type="dxa"/>
            <w:vAlign w:val="bottom"/>
            <w:gridSpan w:val="16"/>
          </w:tcPr>
          <w:p>
            <w:pPr>
              <w:spacing w:after="0" w:line="181" w:lineRule="exact"/>
              <w:rPr>
                <w:rFonts w:ascii="Arial" w:cs="Arial" w:eastAsia="Arial" w:hAnsi="Arial"/>
                <w:sz w:val="16"/>
                <w:szCs w:val="16"/>
                <w:color w:val="0000FF"/>
              </w:rPr>
            </w:pPr>
            <w:hyperlink r:id="rId88">
              <w:r>
                <w:rPr>
                  <w:rFonts w:ascii="Arial" w:cs="Arial" w:eastAsia="Arial" w:hAnsi="Arial"/>
                  <w:sz w:val="16"/>
                  <w:szCs w:val="16"/>
                  <w:color w:val="0000FF"/>
                </w:rPr>
                <w:t>Indenture, dated October 1, 2021, among Clearway Energy Operating LLC, the</w:t>
              </w:r>
            </w:hyperlink>
          </w:p>
        </w:tc>
      </w:tr>
      <w:tr>
        <w:trPr>
          <w:trHeight w:val="155"/>
        </w:trPr>
        <w:tc>
          <w:tcPr>
            <w:tcW w:w="1020" w:type="dxa"/>
            <w:vAlign w:val="bottom"/>
          </w:tcPr>
          <w:p>
            <w:pPr>
              <w:spacing w:after="0"/>
              <w:rPr>
                <w:sz w:val="13"/>
                <w:szCs w:val="13"/>
                <w:color w:val="auto"/>
              </w:rPr>
            </w:pPr>
          </w:p>
        </w:tc>
        <w:tc>
          <w:tcPr>
            <w:tcW w:w="5140" w:type="dxa"/>
            <w:vAlign w:val="bottom"/>
            <w:tcBorders>
              <w:top w:val="single" w:sz="8" w:color="0000FF"/>
            </w:tcBorders>
            <w:gridSpan w:val="7"/>
          </w:tcPr>
          <w:p>
            <w:pPr>
              <w:spacing w:after="0" w:line="155" w:lineRule="exact"/>
              <w:rPr>
                <w:rFonts w:ascii="Arial" w:cs="Arial" w:eastAsia="Arial" w:hAnsi="Arial"/>
                <w:sz w:val="16"/>
                <w:szCs w:val="16"/>
                <w:color w:val="0000FF"/>
              </w:rPr>
            </w:pPr>
            <w:hyperlink r:id="rId88">
              <w:r>
                <w:rPr>
                  <w:rFonts w:ascii="Arial" w:cs="Arial" w:eastAsia="Arial" w:hAnsi="Arial"/>
                  <w:sz w:val="16"/>
                  <w:szCs w:val="16"/>
                  <w:color w:val="0000FF"/>
                </w:rPr>
                <w:t>guarantors named therein and Delaware Trust Company, as trustee.</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4340" w:type="dxa"/>
            <w:vAlign w:val="bottom"/>
            <w:tcBorders>
              <w:top w:val="single" w:sz="8" w:color="0000FF"/>
            </w:tcBorders>
            <w:gridSpan w:val="4"/>
          </w:tcPr>
          <w:p>
            <w:pPr>
              <w:spacing w:after="0"/>
              <w:rPr>
                <w:rFonts w:ascii="Arial" w:cs="Arial" w:eastAsia="Arial" w:hAnsi="Arial"/>
                <w:sz w:val="16"/>
                <w:szCs w:val="16"/>
                <w:color w:val="0000FF"/>
              </w:rPr>
            </w:pPr>
            <w:hyperlink r:id="rId88">
              <w:r>
                <w:rPr>
                  <w:rFonts w:ascii="Arial" w:cs="Arial" w:eastAsia="Arial" w:hAnsi="Arial"/>
                  <w:sz w:val="16"/>
                  <w:szCs w:val="16"/>
                  <w:color w:val="0000FF"/>
                </w:rPr>
                <w:t>Form of 3.750% Senior Notes due 2032.</w:t>
              </w:r>
            </w:hyperlink>
          </w:p>
        </w:tc>
        <w:tc>
          <w:tcPr>
            <w:tcW w:w="1360" w:type="dxa"/>
            <w:vAlign w:val="bottom"/>
            <w:gridSpan w:val="1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00" w:type="dxa"/>
            <w:vAlign w:val="bottom"/>
            <w:gridSpan w:val="16"/>
          </w:tcPr>
          <w:p>
            <w:pPr>
              <w:spacing w:after="0"/>
              <w:rPr>
                <w:rFonts w:ascii="Arial" w:cs="Arial" w:eastAsia="Arial" w:hAnsi="Arial"/>
                <w:sz w:val="16"/>
                <w:szCs w:val="16"/>
                <w:color w:val="0000FF"/>
                <w:w w:val="96"/>
              </w:rPr>
            </w:pPr>
            <w:hyperlink r:id="rId89">
              <w:r>
                <w:rPr>
                  <w:rFonts w:ascii="Arial" w:cs="Arial" w:eastAsia="Arial" w:hAnsi="Arial"/>
                  <w:sz w:val="16"/>
                  <w:szCs w:val="16"/>
                  <w:color w:val="0000FF"/>
                  <w:w w:val="96"/>
                </w:rPr>
                <w:t>Eighteenth Supplemental Indenture, dated as of October 7, 2021, among Clearway</w:t>
              </w:r>
            </w:hyperlink>
          </w:p>
        </w:tc>
      </w:tr>
      <w:tr>
        <w:trPr>
          <w:trHeight w:val="155"/>
        </w:trPr>
        <w:tc>
          <w:tcPr>
            <w:tcW w:w="1020" w:type="dxa"/>
            <w:vAlign w:val="bottom"/>
          </w:tcPr>
          <w:p>
            <w:pPr>
              <w:spacing w:after="0"/>
              <w:rPr>
                <w:sz w:val="13"/>
                <w:szCs w:val="13"/>
                <w:color w:val="auto"/>
              </w:rPr>
            </w:pPr>
          </w:p>
        </w:tc>
        <w:tc>
          <w:tcPr>
            <w:tcW w:w="5340" w:type="dxa"/>
            <w:vAlign w:val="bottom"/>
            <w:tcBorders>
              <w:top w:val="single" w:sz="8" w:color="0000FF"/>
            </w:tcBorders>
            <w:gridSpan w:val="9"/>
          </w:tcPr>
          <w:p>
            <w:pPr>
              <w:spacing w:after="0" w:line="155" w:lineRule="exact"/>
              <w:rPr>
                <w:rFonts w:ascii="Arial" w:cs="Arial" w:eastAsia="Arial" w:hAnsi="Arial"/>
                <w:sz w:val="16"/>
                <w:szCs w:val="16"/>
                <w:color w:val="0000FF"/>
                <w:w w:val="89"/>
              </w:rPr>
            </w:pPr>
            <w:hyperlink r:id="rId89">
              <w:r>
                <w:rPr>
                  <w:rFonts w:ascii="Arial" w:cs="Arial" w:eastAsia="Arial" w:hAnsi="Arial"/>
                  <w:sz w:val="16"/>
                  <w:szCs w:val="16"/>
                  <w:color w:val="0000FF"/>
                  <w:w w:val="89"/>
                </w:rPr>
                <w:t>Energy Operating LLC, the guarantors named therein and Delaware Trust Company</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5"/>
          </w:tcPr>
          <w:p>
            <w:pPr>
              <w:ind w:left="40"/>
              <w:spacing w:after="0" w:line="155" w:lineRule="exact"/>
              <w:rPr>
                <w:rFonts w:ascii="Arial" w:cs="Arial" w:eastAsia="Arial" w:hAnsi="Arial"/>
                <w:sz w:val="16"/>
                <w:szCs w:val="16"/>
                <w:color w:val="0000FF"/>
                <w:w w:val="89"/>
              </w:rPr>
            </w:pPr>
            <w:hyperlink r:id="rId89">
              <w:r>
                <w:rPr>
                  <w:rFonts w:ascii="Arial" w:cs="Arial" w:eastAsia="Arial" w:hAnsi="Arial"/>
                  <w:sz w:val="16"/>
                  <w:szCs w:val="16"/>
                  <w:color w:val="0000FF"/>
                  <w:w w:val="89"/>
                </w:rPr>
                <w:t>(as</w:t>
              </w:r>
            </w:hyperlink>
          </w:p>
        </w:tc>
      </w:tr>
      <w:tr>
        <w:trPr>
          <w:trHeight w:val="156"/>
        </w:trPr>
        <w:tc>
          <w:tcPr>
            <w:tcW w:w="10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5"/>
          </w:tcPr>
          <w:p>
            <w:pPr>
              <w:spacing w:after="0" w:line="155" w:lineRule="exact"/>
              <w:rPr>
                <w:rFonts w:ascii="Arial" w:cs="Arial" w:eastAsia="Arial" w:hAnsi="Arial"/>
                <w:sz w:val="16"/>
                <w:szCs w:val="16"/>
                <w:color w:val="0000FF"/>
                <w:w w:val="92"/>
              </w:rPr>
            </w:pPr>
            <w:hyperlink r:id="rId89">
              <w:r>
                <w:rPr>
                  <w:rFonts w:ascii="Arial" w:cs="Arial" w:eastAsia="Arial" w:hAnsi="Arial"/>
                  <w:sz w:val="16"/>
                  <w:szCs w:val="16"/>
                  <w:color w:val="0000FF"/>
                  <w:w w:val="92"/>
                </w:rPr>
                <w:t>successor in interest to Law Debenture Trust Company of New York).</w:t>
              </w:r>
            </w:hyperlink>
          </w:p>
        </w:tc>
        <w:tc>
          <w:tcPr>
            <w:tcW w:w="10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5700" w:type="dxa"/>
            <w:vAlign w:val="bottom"/>
            <w:gridSpan w:val="16"/>
          </w:tcPr>
          <w:p>
            <w:pPr>
              <w:spacing w:after="0"/>
              <w:rPr>
                <w:rFonts w:ascii="Arial" w:cs="Arial" w:eastAsia="Arial" w:hAnsi="Arial"/>
                <w:sz w:val="16"/>
                <w:szCs w:val="16"/>
                <w:color w:val="0000FF"/>
                <w:w w:val="93"/>
              </w:rPr>
            </w:pPr>
            <w:hyperlink r:id="rId90">
              <w:r>
                <w:rPr>
                  <w:rFonts w:ascii="Arial" w:cs="Arial" w:eastAsia="Arial" w:hAnsi="Arial"/>
                  <w:sz w:val="16"/>
                  <w:szCs w:val="16"/>
                  <w:color w:val="0000FF"/>
                  <w:w w:val="93"/>
                </w:rPr>
                <w:t>Tenth Supplemental Indenture, dated as of October 7,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6"/>
          </w:tcPr>
          <w:p>
            <w:pPr>
              <w:spacing w:after="0" w:line="155"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Operating LLC, the guarantors named therein and Delaware Trust Company.</w:t>
              </w:r>
            </w:hyperlink>
          </w:p>
        </w:tc>
        <w:tc>
          <w:tcPr>
            <w:tcW w:w="540" w:type="dxa"/>
            <w:vAlign w:val="bottom"/>
            <w:tcBorders>
              <w:top w:val="single" w:sz="8" w:color="0000FF"/>
            </w:tcBorders>
            <w:gridSpan w:val="6"/>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5700" w:type="dxa"/>
            <w:vAlign w:val="bottom"/>
            <w:gridSpan w:val="16"/>
          </w:tcPr>
          <w:p>
            <w:pPr>
              <w:spacing w:after="0"/>
              <w:rPr>
                <w:rFonts w:ascii="Arial" w:cs="Arial" w:eastAsia="Arial" w:hAnsi="Arial"/>
                <w:sz w:val="16"/>
                <w:szCs w:val="16"/>
                <w:color w:val="0000FF"/>
                <w:w w:val="91"/>
              </w:rPr>
            </w:pPr>
            <w:hyperlink r:id="rId91">
              <w:r>
                <w:rPr>
                  <w:rFonts w:ascii="Arial" w:cs="Arial" w:eastAsia="Arial" w:hAnsi="Arial"/>
                  <w:sz w:val="16"/>
                  <w:szCs w:val="16"/>
                  <w:color w:val="0000FF"/>
                  <w:w w:val="91"/>
                </w:rPr>
                <w:t>Second Supplemental Indenture, dated as of October 7,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6"/>
          </w:tcPr>
          <w:p>
            <w:pPr>
              <w:spacing w:after="0" w:line="155" w:lineRule="exact"/>
              <w:rPr>
                <w:rFonts w:ascii="Arial" w:cs="Arial" w:eastAsia="Arial" w:hAnsi="Arial"/>
                <w:sz w:val="16"/>
                <w:szCs w:val="16"/>
                <w:color w:val="0000FF"/>
                <w:w w:val="91"/>
              </w:rPr>
            </w:pPr>
            <w:hyperlink r:id="rId91">
              <w:r>
                <w:rPr>
                  <w:rFonts w:ascii="Arial" w:cs="Arial" w:eastAsia="Arial" w:hAnsi="Arial"/>
                  <w:sz w:val="16"/>
                  <w:szCs w:val="16"/>
                  <w:color w:val="0000FF"/>
                  <w:w w:val="91"/>
                </w:rPr>
                <w:t>Operating LLC, the guarantors named therein and Delaware Trust Company.</w:t>
              </w:r>
            </w:hyperlink>
          </w:p>
        </w:tc>
        <w:tc>
          <w:tcPr>
            <w:tcW w:w="6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4.6</w:t>
            </w:r>
          </w:p>
        </w:tc>
        <w:tc>
          <w:tcPr>
            <w:tcW w:w="5700" w:type="dxa"/>
            <w:vAlign w:val="bottom"/>
            <w:gridSpan w:val="16"/>
          </w:tcPr>
          <w:p>
            <w:pPr>
              <w:spacing w:after="0"/>
              <w:rPr>
                <w:rFonts w:ascii="Arial" w:cs="Arial" w:eastAsia="Arial" w:hAnsi="Arial"/>
                <w:sz w:val="16"/>
                <w:szCs w:val="16"/>
                <w:color w:val="0000FF"/>
                <w:w w:val="95"/>
              </w:rPr>
            </w:pPr>
            <w:hyperlink r:id="rId92">
              <w:r>
                <w:rPr>
                  <w:rFonts w:ascii="Arial" w:cs="Arial" w:eastAsia="Arial" w:hAnsi="Arial"/>
                  <w:sz w:val="16"/>
                  <w:szCs w:val="16"/>
                  <w:color w:val="0000FF"/>
                  <w:w w:val="95"/>
                </w:rPr>
                <w:t>First Supplemental Indenture, dated as of October 7,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6"/>
          </w:tcPr>
          <w:p>
            <w:pPr>
              <w:spacing w:after="0" w:line="155" w:lineRule="exact"/>
              <w:rPr>
                <w:rFonts w:ascii="Arial" w:cs="Arial" w:eastAsia="Arial" w:hAnsi="Arial"/>
                <w:sz w:val="16"/>
                <w:szCs w:val="16"/>
                <w:color w:val="0000FF"/>
                <w:w w:val="91"/>
              </w:rPr>
            </w:pPr>
            <w:hyperlink r:id="rId92">
              <w:r>
                <w:rPr>
                  <w:rFonts w:ascii="Arial" w:cs="Arial" w:eastAsia="Arial" w:hAnsi="Arial"/>
                  <w:sz w:val="16"/>
                  <w:szCs w:val="16"/>
                  <w:color w:val="0000FF"/>
                  <w:w w:val="91"/>
                </w:rPr>
                <w:t>Operating LLC, the guarantors named therein and Delaware Trust Company.</w:t>
              </w:r>
            </w:hyperlink>
          </w:p>
        </w:tc>
        <w:tc>
          <w:tcPr>
            <w:tcW w:w="460" w:type="dxa"/>
            <w:vAlign w:val="bottom"/>
            <w:tcBorders>
              <w:top w:val="single" w:sz="8" w:color="0000FF"/>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00" w:type="dxa"/>
            <w:vAlign w:val="bottom"/>
            <w:gridSpan w:val="16"/>
          </w:tcPr>
          <w:p>
            <w:pPr>
              <w:spacing w:after="0"/>
              <w:rPr>
                <w:rFonts w:ascii="Arial" w:cs="Arial" w:eastAsia="Arial" w:hAnsi="Arial"/>
                <w:sz w:val="16"/>
                <w:szCs w:val="16"/>
                <w:color w:val="0000FF"/>
                <w:w w:val="91"/>
              </w:rPr>
            </w:pPr>
            <w:hyperlink r:id="rId93">
              <w:r>
                <w:rPr>
                  <w:rFonts w:ascii="Arial" w:cs="Arial" w:eastAsia="Arial" w:hAnsi="Arial"/>
                  <w:sz w:val="16"/>
                  <w:szCs w:val="16"/>
                  <w:color w:val="0000FF"/>
                  <w:w w:val="91"/>
                </w:rPr>
                <w:t>Purchase and Sale Agreement, dated as of August 20, 2021, by and between Dominion</w:t>
              </w:r>
            </w:hyperlink>
          </w:p>
        </w:tc>
      </w:tr>
      <w:tr>
        <w:trPr>
          <w:trHeight w:val="156"/>
        </w:trPr>
        <w:tc>
          <w:tcPr>
            <w:tcW w:w="10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4"/>
              </w:rPr>
            </w:pPr>
            <w:hyperlink r:id="rId93">
              <w:r>
                <w:rPr>
                  <w:rFonts w:ascii="Arial" w:cs="Arial" w:eastAsia="Arial" w:hAnsi="Arial"/>
                  <w:sz w:val="16"/>
                  <w:szCs w:val="16"/>
                  <w:color w:val="0000FF"/>
                  <w:w w:val="94"/>
                </w:rPr>
                <w:t>Solar Projects III, Inc. and Utah Solar Holdings II LLC.</w:t>
              </w:r>
            </w:hyperlink>
          </w:p>
        </w:tc>
        <w:tc>
          <w:tcPr>
            <w:tcW w:w="202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10.2</w:t>
            </w:r>
          </w:p>
        </w:tc>
        <w:tc>
          <w:tcPr>
            <w:tcW w:w="5700" w:type="dxa"/>
            <w:vAlign w:val="bottom"/>
            <w:gridSpan w:val="16"/>
          </w:tcPr>
          <w:p>
            <w:pPr>
              <w:spacing w:after="0"/>
              <w:rPr>
                <w:rFonts w:ascii="Arial" w:cs="Arial" w:eastAsia="Arial" w:hAnsi="Arial"/>
                <w:sz w:val="16"/>
                <w:szCs w:val="16"/>
                <w:color w:val="0000FF"/>
                <w:w w:val="94"/>
              </w:rPr>
            </w:pPr>
            <w:hyperlink r:id="rId94">
              <w:r>
                <w:rPr>
                  <w:rFonts w:ascii="Arial" w:cs="Arial" w:eastAsia="Arial" w:hAnsi="Arial"/>
                  <w:sz w:val="16"/>
                  <w:szCs w:val="16"/>
                  <w:color w:val="0000FF"/>
                  <w:w w:val="94"/>
                </w:rPr>
                <w:t>Amended and Restated Employment Agreement, dated September 23, 2021, by and</w:t>
              </w:r>
            </w:hyperlink>
          </w:p>
        </w:tc>
      </w:tr>
      <w:tr>
        <w:trPr>
          <w:trHeight w:val="156"/>
        </w:trPr>
        <w:tc>
          <w:tcPr>
            <w:tcW w:w="1020" w:type="dxa"/>
            <w:vAlign w:val="bottom"/>
          </w:tcPr>
          <w:p>
            <w:pPr>
              <w:spacing w:after="0"/>
              <w:rPr>
                <w:sz w:val="13"/>
                <w:szCs w:val="13"/>
                <w:color w:val="auto"/>
              </w:rPr>
            </w:pPr>
          </w:p>
        </w:tc>
        <w:tc>
          <w:tcPr>
            <w:tcW w:w="542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94">
              <w:r>
                <w:rPr>
                  <w:rFonts w:ascii="Arial" w:cs="Arial" w:eastAsia="Arial" w:hAnsi="Arial"/>
                  <w:sz w:val="16"/>
                  <w:szCs w:val="16"/>
                  <w:color w:val="0000FF"/>
                </w:rPr>
                <w:t>between Clearway Energy, Inc. and Christopher Sotos.</w:t>
              </w:r>
            </w:hyperlink>
          </w:p>
        </w:tc>
        <w:tc>
          <w:tcPr>
            <w:tcW w:w="28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10.3</w:t>
            </w:r>
          </w:p>
        </w:tc>
        <w:tc>
          <w:tcPr>
            <w:tcW w:w="5700" w:type="dxa"/>
            <w:vAlign w:val="bottom"/>
            <w:gridSpan w:val="16"/>
          </w:tcPr>
          <w:p>
            <w:pPr>
              <w:spacing w:after="0"/>
              <w:rPr>
                <w:rFonts w:ascii="Arial" w:cs="Arial" w:eastAsia="Arial" w:hAnsi="Arial"/>
                <w:sz w:val="16"/>
                <w:szCs w:val="16"/>
                <w:color w:val="0000FF"/>
                <w:w w:val="99"/>
              </w:rPr>
            </w:pPr>
            <w:hyperlink r:id="rId95">
              <w:r>
                <w:rPr>
                  <w:rFonts w:ascii="Arial" w:cs="Arial" w:eastAsia="Arial" w:hAnsi="Arial"/>
                  <w:sz w:val="16"/>
                  <w:szCs w:val="16"/>
                  <w:color w:val="0000FF"/>
                  <w:w w:val="99"/>
                </w:rPr>
                <w:t>Membership Interest Purchase Agreement, dated as of October 22, 2021, by and</w:t>
              </w:r>
            </w:hyperlink>
          </w:p>
        </w:tc>
      </w:tr>
      <w:tr>
        <w:trPr>
          <w:trHeight w:val="155"/>
        </w:trPr>
        <w:tc>
          <w:tcPr>
            <w:tcW w:w="1020" w:type="dxa"/>
            <w:vAlign w:val="bottom"/>
          </w:tcPr>
          <w:p>
            <w:pPr>
              <w:spacing w:after="0"/>
              <w:rPr>
                <w:sz w:val="13"/>
                <w:szCs w:val="13"/>
                <w:color w:val="auto"/>
              </w:rPr>
            </w:pPr>
          </w:p>
        </w:tc>
        <w:tc>
          <w:tcPr>
            <w:tcW w:w="520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r:id="rId95">
              <w:r>
                <w:rPr>
                  <w:rFonts w:ascii="Arial" w:cs="Arial" w:eastAsia="Arial" w:hAnsi="Arial"/>
                  <w:sz w:val="16"/>
                  <w:szCs w:val="16"/>
                  <w:color w:val="0000FF"/>
                </w:rPr>
                <w:t>between Clearway Energy Operating LLC and KKR Thor Bidco, LLC.</w:t>
              </w:r>
            </w:hyperlink>
          </w:p>
        </w:tc>
        <w:tc>
          <w:tcPr>
            <w:tcW w:w="500" w:type="dxa"/>
            <w:vAlign w:val="bottom"/>
            <w:gridSpan w:val="8"/>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40" w:hanging="1014"/>
        <w:spacing w:after="0"/>
        <w:tabs>
          <w:tab w:leader="none" w:pos="1040" w:val="left"/>
        </w:tabs>
        <w:numPr>
          <w:ilvl w:val="0"/>
          <w:numId w:val="32"/>
        </w:numPr>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Guarantors.</w:t>
        </w:r>
      </w:hyperlink>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31.1</w:t>
            </w:r>
          </w:p>
        </w:tc>
        <w:tc>
          <w:tcPr>
            <w:tcW w:w="40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62">
              <w:r>
                <w:rPr>
                  <w:rFonts w:ascii="Arial" w:cs="Arial" w:eastAsia="Arial" w:hAnsi="Arial"/>
                  <w:sz w:val="16"/>
                  <w:szCs w:val="16"/>
                  <w:color w:val="0000FF"/>
                  <w:w w:val="92"/>
                </w:rPr>
                <w:t>Rule 13a-14(a)/15d-14(a) certification of Christopher S. Sotos.</w:t>
              </w:r>
            </w:hyperlink>
          </w:p>
        </w:tc>
      </w:tr>
      <w:tr>
        <w:trPr>
          <w:trHeight w:val="210"/>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31.2</w:t>
            </w:r>
          </w:p>
        </w:tc>
        <w:tc>
          <w:tcPr>
            <w:tcW w:w="4080" w:type="dxa"/>
            <w:vAlign w:val="bottom"/>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Rule 13a-14(a)/15d-14(a) certification of Chad Plotkin.</w:t>
              </w:r>
            </w:hyperlink>
          </w:p>
        </w:tc>
      </w:tr>
      <w:tr>
        <w:trPr>
          <w:trHeight w:val="20"/>
        </w:trPr>
        <w:tc>
          <w:tcPr>
            <w:tcW w:w="10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31.3</w:t>
            </w:r>
          </w:p>
        </w:tc>
        <w:tc>
          <w:tcPr>
            <w:tcW w:w="3880" w:type="dxa"/>
            <w:vAlign w:val="bottom"/>
            <w:tcBorders>
              <w:bottom w:val="single" w:sz="8" w:color="0000FF"/>
            </w:tcBorders>
            <w:gridSpan w:val="2"/>
          </w:tcPr>
          <w:p>
            <w:pPr>
              <w:spacing w:after="0"/>
              <w:rPr>
                <w:rFonts w:ascii="Arial" w:cs="Arial" w:eastAsia="Arial" w:hAnsi="Arial"/>
                <w:sz w:val="16"/>
                <w:szCs w:val="16"/>
                <w:color w:val="0000FF"/>
                <w:w w:val="91"/>
              </w:rPr>
            </w:pPr>
            <w:hyperlink w:anchor="page64">
              <w:r>
                <w:rPr>
                  <w:rFonts w:ascii="Arial" w:cs="Arial" w:eastAsia="Arial" w:hAnsi="Arial"/>
                  <w:sz w:val="16"/>
                  <w:szCs w:val="16"/>
                  <w:color w:val="0000FF"/>
                  <w:w w:val="91"/>
                </w:rPr>
                <w:t>Rule 13a-14(a)/15d-14(a) certification of Sarah Rubenstein.</w:t>
              </w:r>
            </w:hyperlink>
          </w:p>
        </w:tc>
        <w:tc>
          <w:tcPr>
            <w:tcW w:w="200" w:type="dxa"/>
            <w:vAlign w:val="bottom"/>
          </w:tcPr>
          <w:p>
            <w:pPr>
              <w:spacing w:after="0"/>
              <w:rPr>
                <w:sz w:val="18"/>
                <w:szCs w:val="18"/>
                <w:color w:val="auto"/>
              </w:rPr>
            </w:pPr>
          </w:p>
        </w:tc>
      </w:tr>
    </w:tbl>
    <w:p>
      <w:pPr>
        <w:spacing w:after="0" w:line="44" w:lineRule="exact"/>
        <w:rPr>
          <w:sz w:val="20"/>
          <w:szCs w:val="20"/>
          <w:color w:val="auto"/>
        </w:rPr>
      </w:pPr>
    </w:p>
    <w:p>
      <w:pPr>
        <w:ind w:left="1040" w:hanging="1014"/>
        <w:spacing w:after="0"/>
        <w:tabs>
          <w:tab w:leader="none" w:pos="1040" w:val="left"/>
        </w:tabs>
        <w:numPr>
          <w:ilvl w:val="0"/>
          <w:numId w:val="33"/>
        </w:numPr>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Section 1350 Certification.</w:t>
        </w:r>
      </w:hyperlink>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INS</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98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98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980" w:type="dxa"/>
            <w:vAlign w:val="bottom"/>
          </w:tcPr>
          <w:p>
            <w:pPr>
              <w:ind w:left="200"/>
              <w:spacing w:after="0"/>
              <w:rPr>
                <w:sz w:val="20"/>
                <w:szCs w:val="20"/>
                <w:color w:val="auto"/>
              </w:rPr>
            </w:pPr>
            <w:r>
              <w:rPr>
                <w:rFonts w:ascii="Arial" w:cs="Arial" w:eastAsia="Arial" w:hAnsi="Arial"/>
                <w:sz w:val="16"/>
                <w:szCs w:val="16"/>
                <w:color w:val="auto"/>
                <w:w w:val="92"/>
              </w:rPr>
              <w:t>Inline XBRL Taxonomy Extension Presentation Linkbase.</w:t>
            </w:r>
          </w:p>
        </w:tc>
      </w:tr>
    </w:tbl>
    <w:p>
      <w:pPr>
        <w:spacing w:after="0" w:line="10" w:lineRule="exact"/>
        <w:rPr>
          <w:sz w:val="20"/>
          <w:szCs w:val="20"/>
          <w:color w:val="auto"/>
        </w:rPr>
      </w:pPr>
    </w:p>
    <w:p>
      <w:pPr>
        <w:ind w:left="1040" w:hanging="1014"/>
        <w:spacing w:after="0" w:line="230"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6"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1,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1, 2021.</w:t>
      </w:r>
    </w:p>
    <w:p>
      <w:pPr>
        <w:spacing w:after="0" w:line="1" w:lineRule="exact"/>
        <w:rPr>
          <w:sz w:val="20"/>
          <w:szCs w:val="20"/>
          <w:color w:val="auto"/>
        </w:rPr>
      </w:pPr>
    </w:p>
    <w:p>
      <w:pPr>
        <w:spacing w:after="0" w:line="32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8, 2021.</w:t>
      </w:r>
    </w:p>
    <w:p>
      <w:pPr>
        <w:spacing w:after="0" w:line="13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8,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8,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4.4 to the Company's Current Report on Form 8-K filed on October 8, 2021.</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August 23, 2021.</w:t>
      </w:r>
    </w:p>
    <w:p>
      <w:pPr>
        <w:spacing w:after="0" w:line="22"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September 23, 2021.</w:t>
      </w:r>
    </w:p>
    <w:p>
      <w:pPr>
        <w:spacing w:after="0" w:line="22"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October 26,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6720" w:space="200"/>
            <w:col w:w="4200"/>
          </w:cols>
          <w:pgMar w:left="320" w:top="891" w:right="4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CLEARWAY ENERGY LLC</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85"/>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40" w:type="dxa"/>
            <w:vAlign w:val="bottom"/>
            <w:vMerge w:val="restart"/>
          </w:tcPr>
          <w:p>
            <w:pPr>
              <w:spacing w:after="0"/>
              <w:rPr>
                <w:sz w:val="20"/>
                <w:szCs w:val="20"/>
                <w:color w:val="auto"/>
              </w:rPr>
            </w:pPr>
            <w:r>
              <w:rPr>
                <w:rFonts w:ascii="Arial" w:cs="Arial" w:eastAsia="Arial" w:hAnsi="Arial"/>
                <w:sz w:val="18"/>
                <w:szCs w:val="18"/>
                <w:color w:val="auto"/>
              </w:rPr>
              <w:t>Date: November 4, 2021</w:t>
            </w: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891"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color w:val="auto"/>
        </w:rPr>
        <w:t>As of September 30, 2021, Clearway Energy Operating LLC’s outstanding registered senior notes consisted of $350 million of the 5.00% unsecured senior notes due 2026 (the “2026 Notes”). The 2026 Notes were guaranteed by Clearway Energy LLC (the “Company”), as well as certain of the Company’s wholly owned subsidiaries, or guarantor subsidiaries, as set forth in the table below.</w:t>
      </w:r>
    </w:p>
    <w:p>
      <w:pPr>
        <w:spacing w:after="0" w:line="130" w:lineRule="exact"/>
        <w:rPr>
          <w:sz w:val="20"/>
          <w:szCs w:val="20"/>
          <w:color w:val="auto"/>
        </w:rPr>
      </w:pPr>
    </w:p>
    <w:p>
      <w:pPr>
        <w:jc w:val="both"/>
        <w:ind w:left="80"/>
        <w:spacing w:after="0" w:line="311" w:lineRule="auto"/>
        <w:rPr>
          <w:sz w:val="20"/>
          <w:szCs w:val="20"/>
          <w:color w:val="auto"/>
        </w:rPr>
      </w:pPr>
      <w:r>
        <w:rPr>
          <w:rFonts w:ascii="Arial" w:cs="Arial" w:eastAsia="Arial" w:hAnsi="Arial"/>
          <w:sz w:val="16"/>
          <w:szCs w:val="16"/>
          <w:color w:val="auto"/>
        </w:rPr>
        <w:t>On October 25, 2021, the Company completed the optional redemption of all of the then-outstanding 2026 Notes. As a result, as of such date, the 2026 Notes are no longer outstanding, the obligations of Clearway Energy Operating LLC, the Company and the guarantor subsidiaries under the indenture governing the 2026 Notes were discharged, and the guarantees of the Company and each of the guarantor subsidiaries were released under the indenture.</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04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8"/>
                <w:szCs w:val="18"/>
                <w:b w:val="1"/>
                <w:bCs w:val="1"/>
                <w:color w:val="auto"/>
              </w:rPr>
              <w:t>Name of Guarantor Subsidiary</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56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8"/>
                <w:szCs w:val="18"/>
                <w:b w:val="1"/>
                <w:bCs w:val="1"/>
                <w:color w:val="auto"/>
              </w:rPr>
              <w:t>Jurisdiction</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Alta Wind 1-5 Holding Company,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Alta Wind Company,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CBAD Holdings II,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Central CA Fuel Cell 1,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Clearway Solar Star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CWEN Pinnacle Repowering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CWSP Rattlesnake Holding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Daggett Solar Holdco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DG SREC HoldCo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DG-CS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DGPV Holding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ECP Uptown Campus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Energy Center Caguas Holdings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Energy Center Fajardo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Energy Center Honolulu Holdings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Fuel Cell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Langford Holding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Lighthouse Renewable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NIMH Solar Holdings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Ocotillo Windpower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Portfolio Solar I,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Rosamond Solar Holdco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RPV Holding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Solar Flagstaff One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Solar Iguana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Solar Las Vegas MB 1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Solar Tabernacle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South Trent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SPP Asset Holdings,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SPP Fund II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SPP Fund II,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SPP Fund II-B,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SPP Fund III,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Thermal Canada Infrastructure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Thermal Hawaii Development Holdings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Thermal Infrastructure Development Holdings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UB Fuel Cell,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Connecticut</w:t>
            </w:r>
          </w:p>
        </w:tc>
      </w:tr>
      <w:tr>
        <w:trPr>
          <w:trHeight w:val="223"/>
        </w:trPr>
        <w:tc>
          <w:tcPr>
            <w:tcW w:w="7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Utah Solar Master HoldCo LLC</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35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3"/>
        </w:trPr>
        <w:tc>
          <w:tcPr>
            <w:tcW w:w="7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WV Wind Holdings LLC</w:t>
            </w:r>
          </w:p>
        </w:tc>
        <w:tc>
          <w:tcPr>
            <w:tcW w:w="38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6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17748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Christopher S. Sotos</w:t>
      </w:r>
    </w:p>
    <w:p>
      <w:pPr>
        <w:ind w:left="6920"/>
        <w:spacing w:after="0" w:line="203" w:lineRule="auto"/>
        <w:rPr>
          <w:sz w:val="20"/>
          <w:szCs w:val="20"/>
          <w:color w:val="auto"/>
        </w:rPr>
      </w:pPr>
      <w:r>
        <w:rPr>
          <w:rFonts w:ascii="Arial" w:cs="Arial" w:eastAsia="Arial" w:hAnsi="Arial"/>
          <w:sz w:val="18"/>
          <w:szCs w:val="18"/>
          <w:i w:val="1"/>
          <w:iCs w:val="1"/>
          <w:color w:val="auto"/>
        </w:rPr>
        <w:t>Chief Executive Officer</w:t>
      </w:r>
    </w:p>
    <w:p>
      <w:pPr>
        <w:ind w:left="6920"/>
        <w:spacing w:after="0"/>
        <w:rPr>
          <w:sz w:val="20"/>
          <w:szCs w:val="20"/>
          <w:color w:val="auto"/>
        </w:rPr>
      </w:pPr>
      <w:r>
        <w:rPr>
          <w:rFonts w:ascii="Arial" w:cs="Arial" w:eastAsia="Arial" w:hAnsi="Arial"/>
          <w:sz w:val="18"/>
          <w:szCs w:val="18"/>
          <w:i w:val="1"/>
          <w:iCs w:val="1"/>
          <w:color w:val="auto"/>
        </w:rPr>
        <w:t>(Principal Executive Officer)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98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rolein the registrant's internal control over financial reporting.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1851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Chad Plotkin</w:t>
      </w:r>
    </w:p>
    <w:p>
      <w:pPr>
        <w:ind w:left="67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98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16973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Rubenstein</w:t>
      </w:r>
    </w:p>
    <w:p>
      <w:pPr>
        <w:ind w:left="7200"/>
        <w:spacing w:after="0" w:line="203" w:lineRule="auto"/>
        <w:rPr>
          <w:sz w:val="20"/>
          <w:szCs w:val="20"/>
          <w:color w:val="auto"/>
        </w:rPr>
      </w:pPr>
      <w:r>
        <w:rPr>
          <w:rFonts w:ascii="Arial" w:cs="Arial" w:eastAsia="Arial" w:hAnsi="Arial"/>
          <w:sz w:val="18"/>
          <w:szCs w:val="18"/>
          <w:i w:val="1"/>
          <w:iCs w:val="1"/>
          <w:color w:val="auto"/>
        </w:rPr>
        <w:t>Vice President, Accounting &amp; Controller</w:t>
      </w:r>
    </w:p>
    <w:p>
      <w:pPr>
        <w:ind w:left="7200"/>
        <w:spacing w:after="0"/>
        <w:rPr>
          <w:sz w:val="20"/>
          <w:szCs w:val="20"/>
          <w:color w:val="auto"/>
        </w:rPr>
      </w:pPr>
      <w:r>
        <w:rPr>
          <w:rFonts w:ascii="Arial" w:cs="Arial" w:eastAsia="Arial" w:hAnsi="Arial"/>
          <w:sz w:val="18"/>
          <w:szCs w:val="18"/>
          <w:i w:val="1"/>
          <w:iCs w:val="1"/>
          <w:color w:val="auto"/>
        </w:rPr>
        <w:t>(Principal Accounting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September 30, 2021,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0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Vice President, Accounting &amp; Controller</w:t>
      </w: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2"/>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22"/>
    </w:lvl>
  </w:abstractNum>
  <w:abstractNum w:abstractNumId="32">
    <w:nsid w:val="440BADFC"/>
    <w:multiLevelType w:val="hybridMultilevel"/>
    <w:lvl w:ilvl="0">
      <w:lvlJc w:val="left"/>
      <w:lvlText w:val="%1"/>
      <w:numFmt w:val="decimal"/>
      <w:start w:val="32"/>
    </w:lvl>
  </w:abstractNum>
  <w:abstractNum w:abstractNumId="33">
    <w:nsid w:val="5072367"/>
    <w:multiLevelType w:val="hybridMultilevel"/>
    <w:lvl w:ilvl="0">
      <w:lvlJc w:val="left"/>
      <w:lvlText w:val="%1"/>
      <w:numFmt w:val="decimal"/>
      <w:start w:val="10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88" Type="http://schemas.openxmlformats.org/officeDocument/2006/relationships/hyperlink" Target="https://www.sec.gov/Archives/edgar/data/1567683/000110465921122073/tm2128933d1_ex4-1.htm" TargetMode="External"/><Relationship Id="rId89" Type="http://schemas.openxmlformats.org/officeDocument/2006/relationships/hyperlink" Target="https://www.sec.gov/Archives/edgar/data/1567683/000110465921124595/tm2129471d1_ex4-1.htm" TargetMode="External"/><Relationship Id="rId90" Type="http://schemas.openxmlformats.org/officeDocument/2006/relationships/hyperlink" Target="https://www.sec.gov/Archives/edgar/data/1567683/000110465921124595/tm2129471d1_ex4-2.htm" TargetMode="External"/><Relationship Id="rId91" Type="http://schemas.openxmlformats.org/officeDocument/2006/relationships/hyperlink" Target="https://www.sec.gov/Archives/edgar/data/1567683/000110465921124595/tm2129471d1_ex4-3.htm" TargetMode="External"/><Relationship Id="rId92" Type="http://schemas.openxmlformats.org/officeDocument/2006/relationships/hyperlink" Target="https://www.sec.gov/Archives/edgar/data/1567683/000110465921124595/tm2129471d1_ex4-4.htm" TargetMode="External"/><Relationship Id="rId93" Type="http://schemas.openxmlformats.org/officeDocument/2006/relationships/hyperlink" Target="https://www.sec.gov/Archives/edgar/data/1567683/000110465921108614/tm2125658d1_ex10-1.htm" TargetMode="External"/><Relationship Id="rId94" Type="http://schemas.openxmlformats.org/officeDocument/2006/relationships/hyperlink" Target="https://www.sec.gov/Archives/edgar/data/1567683/000110465921118837/tm2128073d1_ex10-1.htm" TargetMode="External"/><Relationship Id="rId95" Type="http://schemas.openxmlformats.org/officeDocument/2006/relationships/hyperlink" Target="https://www.sec.gov/Archives/edgar/data/1567683/000110465921130024/tm21309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2021-11-04T09:30:11Z</dcterms:created>
  <dcterms:modified xsi:type="dcterms:W3CDTF">2021-11-04T09:30:11Z</dcterms:modified>
</cp:coreProperties>
</file>