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color w:val="auto"/>
        </w:rPr>
        <w:t>November 30,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40" w:type="dxa"/>
            <w:vAlign w:val="bottom"/>
          </w:tcPr>
          <w:p>
            <w:pPr>
              <w:jc w:val="center"/>
              <w:ind w:left="30"/>
              <w:spacing w:after="0"/>
              <w:rPr>
                <w:sz w:val="20"/>
                <w:szCs w:val="20"/>
                <w:color w:val="auto"/>
              </w:rPr>
            </w:pPr>
            <w:r>
              <w:rPr>
                <w:rFonts w:ascii="Arial" w:cs="Arial" w:eastAsia="Arial" w:hAnsi="Arial"/>
                <w:sz w:val="18"/>
                <w:szCs w:val="18"/>
                <w:color w:val="auto"/>
                <w:w w:val="92"/>
              </w:rPr>
              <w:t>None</w:t>
            </w:r>
          </w:p>
        </w:tc>
        <w:tc>
          <w:tcPr>
            <w:tcW w:w="3260" w:type="dxa"/>
            <w:vAlign w:val="bottom"/>
          </w:tcPr>
          <w:p>
            <w:pPr>
              <w:jc w:val="center"/>
              <w:ind w:left="470"/>
              <w:spacing w:after="0"/>
              <w:rPr>
                <w:sz w:val="20"/>
                <w:szCs w:val="20"/>
                <w:color w:val="auto"/>
              </w:rPr>
            </w:pPr>
            <w:r>
              <w:rPr>
                <w:rFonts w:ascii="Arial" w:cs="Arial" w:eastAsia="Arial" w:hAnsi="Arial"/>
                <w:sz w:val="18"/>
                <w:szCs w:val="18"/>
                <w:color w:val="auto"/>
                <w:w w:val="88"/>
              </w:rPr>
              <w:t>None</w:t>
            </w:r>
          </w:p>
        </w:tc>
        <w:tc>
          <w:tcPr>
            <w:tcW w:w="4140" w:type="dxa"/>
            <w:vAlign w:val="bottom"/>
          </w:tcPr>
          <w:p>
            <w:pPr>
              <w:jc w:val="center"/>
              <w:ind w:left="350"/>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 Amendment to Clearway Energy LLC and Clearway Energy Operating LLC Revolving Credit Facility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as of November 30, 2021, each of Clearway Energy Operating LLC (“Clearway Operating LLC”), as borrower, and Clearway Energy LLC (“Clearway LLC”), as guarantor, entered into the Sixth Amendment to Amended and Restated Credit Agreement (the “Sixth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providing for revolving commitments in an aggregate principal amount of $495 million. Clearway Operating LLC is a subsidiary of Clearway LLC.</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Sixth Amendment amends the Existing Credit Agreement to, among other things, (i) increase the maximum permitted Borrower Leverage Ratio (as defined in the Existing Credit Agreement) to 6.00 to 1.00 (or, subject to certain conditions, 6.50 to 1.00) during the period commencing on the effective date of the Sixth Amendment and ending on the date (the “Leverage Period Termination Date”) that is the earliest to occur of (x) the date that is two business days following the consummation of the disposition contemplated by the previously-announced Membership Interest Purchase Agreement,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dated as of October 22, 2021, between Clearway Operating LLC and KKR Thor Bidco, LLC (the “Thor PSA”), (y)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termination or expiration of the Thor PSA and (z) the maturity date of the Bridge Loan Agreement, (ii) permit the incurrence of the 2021 Bridge Facility (as defined below), (iii) permit the incurrence of hedging obligations, subject to certain conditions, and provide for a $40,000,000 basket for cash collateral which may be provided to secure hedging obligations, (iv) permit the prepayment of unsecured, junior or subordinated indebtedness at any time following the Leverage Period Termination Date, subject to certain conditions, including that, after giving effect to such payment, the Borrower Leverage Ratio would not be greater than 5.50 to 1.00 and the Borrower Interest Coverage Ratio (as defined in the Existing Credit Agreement) would not be less than 1.75 to 1.00, (v) and to implement certain other technical modifications.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Sixth Amendment does not purport to be complete and is qualified in its entirety by reference to the full text of the Sixth Amendment, a copy of which is filed as Exhibit 10.1 to this Current Report on Form 8-K (this “Current Report”)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Bridge Credit Agreement and Closing of the Utah Solar Portfolio Transaction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30, 2021, each of Clearway Operating LLC, as borrower, and Clearway LLC, as guarantor, entered into a senior secured bridge credit agreement (the “Bridge Loan Agreement”) with certain subsidiaries of Clearway Operating LLC party thereto, as guarantors, Bank of America, N.A., as administrative agent, the lenders party thereto and the other parties listed on the signature pages thereof.</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Bridge Loan Agreement provides for a senior secured term loan facility in an aggregate principal amount of $335,000,000 (the “Bridge Loan Facility”). Borrowings under the Bridge Loan Facility bear interest, at Clearway Operating LLC’s option, at either (a) a rate per annum equal to Term SOFR (as defined in the Bridge Loan Agreement) plus a SOFR adjustment plus an applicable margin equal to 1.00% per annum during the period of six months after the effective date of the Bridge Loan Facility, and 1.25% thereafter or (b) a base rate plus an applicable margin equal to 0.00% per annum during the period of six months after the effective date of the Bridge Loan Facility, and 0.25% thereafter. The Bridge Loan Agreement will mature on the date that is three hundred and sixty-four days following the effective date of the Bridge Loan Agreement.</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borrowings under the Bridge Loan Facility were used to consummate, on December 1, 2021, the previously disclosed transaction pursuant to which Utah Solar Holdings II LLC, a subsidiary of Clearway Operating LLC (“Utah Solar Holdings”), acquired from Dominion Solar Projects III, Inc. 100% of the Class B membership interests in project companies comprising 50% of the membership interests in a portfolio consisting of seven utility-scale solar farms located in Utah representing 530 megawatts of capacity (the “Utah Solar Portfolio”), for a purchase price of $335 million in cash, subject to customary post-closing working capital adjustments. Prior to such acquisition, Utah Solar Holdings owned 50% of the membership interests in the Utah Solar Portfolio, and, upon the closing of the transaction, owns 100% of the membership interests in the Utah Solar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both"/>
        <w:ind w:firstLine="648"/>
        <w:spacing w:after="0" w:line="288" w:lineRule="auto"/>
        <w:rPr>
          <w:sz w:val="20"/>
          <w:szCs w:val="20"/>
          <w:color w:val="auto"/>
        </w:rPr>
      </w:pPr>
      <w:r>
        <w:rPr>
          <w:rFonts w:ascii="Arial" w:cs="Arial" w:eastAsia="Arial" w:hAnsi="Arial"/>
          <w:sz w:val="16"/>
          <w:szCs w:val="16"/>
          <w:color w:val="auto"/>
        </w:rPr>
        <w:t>Borrowings under the Bridge Loan Agreement are guaranteed by Clearway LLC and certain subsidiaries of Clearway Operating LLC, other than subsidiaries that are excluded project companies, and are secured by substantially all of the assets of Clearway Operating LLC and the guarantors, subject to certain customary exceptions. The Bridge Loan Agreement contains covenants, which are substantially consistent with those set forth in the Existing Credit Agreement, as amended by the Sixth Amendment, that limit certain of Clearway Operating LLC’s and the guarantors’ activities, including those relating to: mergers; consolidations; the ability to secure additional indebtedness; sales, transfers and other dispositions of property and assets; providing new guarantees; investments; and granting additional security interests. The Bridge Loan Agreement also contains customary events of default and related cure provisions, which are substantially consistent with those set forth in the Existing Credit Agreement, as amended by the Sixth Amendment. In addition, the Bridge Loan Agreement contains a requirement that Clearway Operating LLC pay additional interest at the rate of 2.0% per annum upon the occurrence of certain Events of Default. Additionally, Clearway Operating LLC is required to comply with a maximum leverage ratio covenant and a minimum interest coverage ratio covenant on a quarterly basis, and its ability to pay cash dividends is subject to certain restrictions.</w:t>
      </w:r>
    </w:p>
    <w:p>
      <w:pPr>
        <w:spacing w:after="0" w:line="1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Bridge Loan Amendment does not purport to be complete and is qualified in its entirety by reference to the full text of the Bridge Loan Amendment, a copy of which is filed as Exhibit 10.2 to this Current Report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disclosures under Item 1.01 of this Current Report relating to the Sixth Amendment and the Bridge Loan Facility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0" w:hanging="792"/>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5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1520" w:type="dxa"/>
            <w:vAlign w:val="bottom"/>
          </w:tcPr>
          <w:p>
            <w:pPr>
              <w:spacing w:after="0"/>
              <w:rPr>
                <w:sz w:val="20"/>
                <w:szCs w:val="20"/>
                <w:color w:val="auto"/>
              </w:rPr>
            </w:pPr>
          </w:p>
        </w:tc>
        <w:tc>
          <w:tcPr>
            <w:tcW w:w="8360" w:type="dxa"/>
            <w:vAlign w:val="bottom"/>
            <w:gridSpan w:val="5"/>
          </w:tcPr>
          <w:p>
            <w:pPr>
              <w:ind w:left="302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40" w:type="dxa"/>
            <w:vAlign w:val="bottom"/>
            <w:tcBorders>
              <w:top w:val="single" w:sz="8" w:color="auto"/>
            </w:tcBorders>
            <w:gridSpan w:val="3"/>
          </w:tcPr>
          <w:p>
            <w:pPr>
              <w:jc w:val="right"/>
              <w:ind w:right="400"/>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6"/>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Sixth Amendment to Amended and Restated Credit Agreement, effective as of November 30, 2021, by and among Clearway Energy</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Operating LLC, Clearway Energy LLC, the guarantors party thereto, JPMorgan Chase Bank, N.A., as administrative agent, and the</w:t>
              </w:r>
            </w:hyperlink>
          </w:p>
        </w:tc>
        <w:tc>
          <w:tcPr>
            <w:tcW w:w="340" w:type="dxa"/>
            <w:vAlign w:val="bottom"/>
            <w:gridSpan w:val="2"/>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lenders party thereto.</w:t>
              </w:r>
            </w:hyperlink>
          </w:p>
        </w:tc>
        <w:tc>
          <w:tcPr>
            <w:tcW w:w="440" w:type="dxa"/>
            <w:vAlign w:val="bottom"/>
            <w:gridSpan w:val="3"/>
          </w:tcPr>
          <w:p>
            <w:pPr>
              <w:spacing w:after="0"/>
              <w:rPr>
                <w:sz w:val="17"/>
                <w:szCs w:val="17"/>
                <w:color w:val="auto"/>
              </w:rPr>
            </w:pPr>
          </w:p>
        </w:tc>
      </w:tr>
      <w:tr>
        <w:trPr>
          <w:trHeight w:val="20"/>
        </w:trPr>
        <w:tc>
          <w:tcPr>
            <w:tcW w:w="1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40" w:type="dxa"/>
            <w:vAlign w:val="bottom"/>
            <w:gridSpan w:val="3"/>
          </w:tcPr>
          <w:p>
            <w:pPr>
              <w:jc w:val="right"/>
              <w:ind w:right="40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20" w:type="dxa"/>
            <w:vAlign w:val="bottom"/>
          </w:tcPr>
          <w:p>
            <w:pPr>
              <w:spacing w:after="0"/>
              <w:rPr>
                <w:sz w:val="17"/>
                <w:szCs w:val="17"/>
                <w:color w:val="auto"/>
              </w:rPr>
            </w:pPr>
          </w:p>
        </w:tc>
        <w:tc>
          <w:tcPr>
            <w:tcW w:w="9880" w:type="dxa"/>
            <w:vAlign w:val="bottom"/>
            <w:gridSpan w:val="6"/>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Senior Secured Bridge Credit Agreement, dated as of November 30, 2021, by and among Clearway Energy Operating LLC, Clearway</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Energy LLC, the guarantors party thereto, Bank of America, N.A., as administrative agent, and the lenders party thereto.</w:t>
              </w:r>
            </w:hyperlink>
          </w:p>
        </w:tc>
        <w:tc>
          <w:tcPr>
            <w:tcW w:w="960" w:type="dxa"/>
            <w:vAlign w:val="bottom"/>
            <w:tcBorders>
              <w:top w:val="single" w:sz="8" w:color="0000EE"/>
            </w:tcBorders>
            <w:gridSpan w:val="3"/>
          </w:tcPr>
          <w:p>
            <w:pPr>
              <w:spacing w:after="0"/>
              <w:rPr>
                <w:sz w:val="17"/>
                <w:szCs w:val="17"/>
                <w:color w:val="auto"/>
              </w:rPr>
            </w:pPr>
          </w:p>
        </w:tc>
        <w:tc>
          <w:tcPr>
            <w:tcW w:w="240" w:type="dxa"/>
            <w:vAlign w:val="bottom"/>
          </w:tcPr>
          <w:p>
            <w:pPr>
              <w:spacing w:after="0"/>
              <w:rPr>
                <w:sz w:val="17"/>
                <w:szCs w:val="17"/>
                <w:color w:val="auto"/>
              </w:rPr>
            </w:pPr>
          </w:p>
        </w:tc>
      </w:tr>
    </w:tbl>
    <w:p>
      <w:pPr>
        <w:spacing w:after="0" w:line="13" w:lineRule="exact"/>
        <w:rPr>
          <w:sz w:val="20"/>
          <w:szCs w:val="20"/>
          <w:color w:val="auto"/>
        </w:rPr>
      </w:pPr>
    </w:p>
    <w:p>
      <w:pPr>
        <w:ind w:left="1360" w:hanging="92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FIRST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PLEDGE AND SECURITY AGREEMENT</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SIXTH AMENDMENT TO AMENDED AND RESTATED CREDIT AGREEMENT AND FIRST AMENDMENT TO AMENDED AND RESTATED PLEDGE AND SECURITY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November 30, 2021 and is entered into by and among CLEARWAY ENERGY OPERATING LLC, a Delaware limited liability company (the “</w:t>
      </w:r>
      <w:r>
        <w:rPr>
          <w:rFonts w:ascii="Arial" w:cs="Arial" w:eastAsia="Arial" w:hAnsi="Arial"/>
          <w:sz w:val="16"/>
          <w:szCs w:val="16"/>
          <w:b w:val="1"/>
          <w:bCs w:val="1"/>
          <w:color w:val="auto"/>
        </w:rPr>
        <w:t>Borrower</w:t>
      </w:r>
      <w:r>
        <w:rPr>
          <w:rFonts w:ascii="Arial" w:cs="Arial" w:eastAsia="Arial" w:hAnsi="Arial"/>
          <w:sz w:val="16"/>
          <w:szCs w:val="16"/>
          <w:color w:val="auto"/>
        </w:rPr>
        <w:t>”), CLEARWAY ENERGY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each other Guarantor party hereto, JPMORGAN CHASE BANK, N.A. (“</w:t>
      </w:r>
      <w:r>
        <w:rPr>
          <w:rFonts w:ascii="Arial" w:cs="Arial" w:eastAsia="Arial" w:hAnsi="Arial"/>
          <w:sz w:val="16"/>
          <w:szCs w:val="16"/>
          <w:b w:val="1"/>
          <w:bCs w:val="1"/>
          <w:color w:val="auto"/>
        </w:rPr>
        <w:t>JPM</w:t>
      </w:r>
      <w:r>
        <w:rPr>
          <w:rFonts w:ascii="Arial" w:cs="Arial" w:eastAsia="Arial" w:hAnsi="Arial"/>
          <w:sz w:val="16"/>
          <w:szCs w:val="16"/>
          <w:color w:val="auto"/>
        </w:rPr>
        <w:t>”), in its capacity as the administrative agent under the Credit Agreement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THE LENDERS AND L/C ISSUERS party hereto, and is made with reference to (a)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that certain Fourth Amendment to Amended and Restated Credit Agreement, dated as of November 30, 2018, and that certain Fifth Amendment to Amended and Restated Credit Agreement, dated as of December 20, 2019, the “</w:t>
      </w:r>
      <w:r>
        <w:rPr>
          <w:rFonts w:ascii="Arial" w:cs="Arial" w:eastAsia="Arial" w:hAnsi="Arial"/>
          <w:sz w:val="16"/>
          <w:szCs w:val="16"/>
          <w:b w:val="1"/>
          <w:bCs w:val="1"/>
          <w:color w:val="auto"/>
        </w:rPr>
        <w:t>Credit Agreement</w:t>
      </w:r>
      <w:r>
        <w:rPr>
          <w:rFonts w:ascii="Arial" w:cs="Arial" w:eastAsia="Arial" w:hAnsi="Arial"/>
          <w:sz w:val="16"/>
          <w:szCs w:val="16"/>
          <w:color w:val="auto"/>
        </w:rPr>
        <w:t>,” and as amended by this Amendment and as may be further amended, amended and restated, supplemented or otherwise modified from time to time, the “</w:t>
      </w:r>
      <w:r>
        <w:rPr>
          <w:rFonts w:ascii="Arial" w:cs="Arial" w:eastAsia="Arial" w:hAnsi="Arial"/>
          <w:sz w:val="16"/>
          <w:szCs w:val="16"/>
          <w:b w:val="1"/>
          <w:bCs w:val="1"/>
          <w:color w:val="auto"/>
        </w:rPr>
        <w:t>Amended Credit Agreement</w:t>
      </w:r>
      <w:r>
        <w:rPr>
          <w:rFonts w:ascii="Arial" w:cs="Arial" w:eastAsia="Arial" w:hAnsi="Arial"/>
          <w:sz w:val="16"/>
          <w:szCs w:val="16"/>
          <w:color w:val="auto"/>
        </w:rPr>
        <w:t>”), by and among the Borrower, Holdings, the other Guarantors party thereto, the Lenders and L/C Issuers party thereto and the Administrative Agent and (b) that certain Amended and Restated Pledge and Security Agreement, dated as of April 25, 2014, among the Grantors party thereto and the Administrative Agent (as amended, amended and restated, supplemented or otherwise modified from time to time, the “</w:t>
      </w:r>
      <w:r>
        <w:rPr>
          <w:rFonts w:ascii="Arial" w:cs="Arial" w:eastAsia="Arial" w:hAnsi="Arial"/>
          <w:sz w:val="16"/>
          <w:szCs w:val="16"/>
          <w:b w:val="1"/>
          <w:bCs w:val="1"/>
          <w:color w:val="auto"/>
        </w:rPr>
        <w:t>Security Agreement</w:t>
      </w:r>
      <w:r>
        <w:rPr>
          <w:rFonts w:ascii="Arial" w:cs="Arial" w:eastAsia="Arial" w:hAnsi="Arial"/>
          <w:sz w:val="16"/>
          <w:szCs w:val="16"/>
          <w:color w:val="auto"/>
        </w:rPr>
        <w:t xml:space="preserve">”). Capitalized terms used herein without definition shall have the same meanings herein as set forth in the Amended Credit Agreement, and the rules of interpretation set forth in Section 1.02 of the Amended Credit Agreement shall apply hereto,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the Lenders and L/C Issuers agree to amend certain provisions of the Credit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as provided for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satisfaction of the conditions specified herein, the undersigned Lenders and L/C Issuers are willing to agree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Credit Agreement and the Security Agreement in accordance with Section 11.01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I.</w:t>
      </w:r>
      <w:r>
        <w:rPr>
          <w:sz w:val="20"/>
          <w:szCs w:val="20"/>
          <w:color w:val="auto"/>
        </w:rPr>
        <w:tab/>
      </w:r>
      <w:r>
        <w:rPr>
          <w:rFonts w:ascii="Arial" w:cs="Arial" w:eastAsia="Arial" w:hAnsi="Arial"/>
          <w:sz w:val="18"/>
          <w:szCs w:val="18"/>
          <w:b w:val="1"/>
          <w:bCs w:val="1"/>
          <w:color w:val="auto"/>
        </w:rPr>
        <w:t>AMENDMENTS TO CREDIT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has been satisfied (or waived by the party or parties entitled to the benefit thereof):</w:t>
      </w:r>
    </w:p>
    <w:p>
      <w:pPr>
        <w:spacing w:after="0" w:line="170"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definitions in Section 1.01 of the Credit Agreement are hereby amended and restated in their entireties as follows:</w:t>
      </w:r>
    </w:p>
    <w:p>
      <w:pPr>
        <w:spacing w:after="0" w:line="225" w:lineRule="exact"/>
        <w:rPr>
          <w:sz w:val="20"/>
          <w:szCs w:val="20"/>
          <w:color w:val="auto"/>
        </w:rPr>
      </w:pPr>
    </w:p>
    <w:p>
      <w:pPr>
        <w:jc w:val="both"/>
        <w:ind w:left="98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Period</w:t>
      </w:r>
      <w:r>
        <w:rPr>
          <w:rFonts w:ascii="Arial" w:cs="Arial" w:eastAsia="Arial" w:hAnsi="Arial"/>
          <w:sz w:val="17"/>
          <w:szCs w:val="17"/>
          <w:color w:val="auto"/>
        </w:rPr>
        <w:t xml:space="preserve">” means, upon the Borrower’s election pursuant to </w:t>
      </w:r>
      <w:r>
        <w:rPr>
          <w:rFonts w:ascii="Arial" w:cs="Arial" w:eastAsia="Arial" w:hAnsi="Arial"/>
          <w:sz w:val="17"/>
          <w:szCs w:val="17"/>
          <w:u w:val="single" w:color="auto"/>
          <w:color w:val="auto"/>
        </w:rPr>
        <w:t>Section 6.02(f)</w:t>
      </w:r>
      <w:r>
        <w:rPr>
          <w:rFonts w:ascii="Arial" w:cs="Arial" w:eastAsia="Arial" w:hAnsi="Arial"/>
          <w:sz w:val="17"/>
          <w:szCs w:val="17"/>
          <w:color w:val="auto"/>
        </w:rPr>
        <w:t>, the period beginning with the closing date for a Qualified Acquisition (a “</w:t>
      </w:r>
      <w:r>
        <w:rPr>
          <w:rFonts w:ascii="Arial" w:cs="Arial" w:eastAsia="Arial" w:hAnsi="Arial"/>
          <w:sz w:val="17"/>
          <w:szCs w:val="17"/>
          <w:u w:val="single" w:color="auto"/>
          <w:color w:val="auto"/>
        </w:rPr>
        <w:t>Qualified Acquisition Closing Date</w:t>
      </w:r>
      <w:r>
        <w:rPr>
          <w:rFonts w:ascii="Arial" w:cs="Arial" w:eastAsia="Arial" w:hAnsi="Arial"/>
          <w:sz w:val="17"/>
          <w:szCs w:val="17"/>
          <w:color w:val="auto"/>
        </w:rPr>
        <w:t xml:space="preserve">”) and ending on the earliest to occur of (x) the last day of the first full fiscal quarter following such Qualified Acquisition Closing Date in which the Borrower Leverage Ratio is equal to or less than 5.50:1.00 or, during the period from July 1, 2020 through and including December 31, 2020, 6.00:1.00, or, during the period from the Sixth Amendment Effective Date through and including the Leverage Period Termination Date, 6.00:1.00, (y) the last day of the third full fiscal quarter following such Qualified Acquisition Closing Date and (z) the date on which the Borrower notifies the Administrative Agent that it desires to end the Acquisition Period for such Qualified Acquisition;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w:t>
      </w:r>
      <w:r>
        <w:rPr>
          <w:rFonts w:ascii="Arial" w:cs="Arial" w:eastAsia="Arial" w:hAnsi="Arial"/>
          <w:sz w:val="17"/>
          <w:szCs w:val="17"/>
          <w:color w:val="auto"/>
        </w:rPr>
        <w:t xml:space="preserve"> that (i) no Acquisition Period may become effective if the Borrower fails to timely elect such Acquisition Period pursuant to the terms of </w:t>
      </w:r>
      <w:r>
        <w:rPr>
          <w:rFonts w:ascii="Arial" w:cs="Arial" w:eastAsia="Arial" w:hAnsi="Arial"/>
          <w:sz w:val="17"/>
          <w:szCs w:val="17"/>
          <w:u w:val="single" w:color="auto"/>
          <w:color w:val="auto"/>
        </w:rPr>
        <w:t>Section 6.02(f)</w:t>
      </w:r>
      <w:r>
        <w:rPr>
          <w:rFonts w:ascii="Arial" w:cs="Arial" w:eastAsia="Arial" w:hAnsi="Arial"/>
          <w:sz w:val="17"/>
          <w:szCs w:val="17"/>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182"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left="98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Permitted Guarantees</w:t>
      </w:r>
      <w:r>
        <w:rPr>
          <w:rFonts w:ascii="Arial" w:cs="Arial" w:eastAsia="Arial" w:hAnsi="Arial"/>
          <w:sz w:val="17"/>
          <w:szCs w:val="17"/>
          <w:color w:val="auto"/>
        </w:rPr>
        <w:t xml:space="preserve">” means unsecured guarantees and/or other unsecured credit support by Holdings, the Borrower or any Company Group Party of (a) obligations of Project Companies (including obligations of Project Companies in respect of Swap Contracts that were not entered into for speculative purposes) that do not constitute Permitted Operating Guarantees, which obligations were incurred in the ordinary course of business of the Project Companies, and (b) any indemnification obligations (or similar obligations and guarantees) made by a Project Company or a Company Group Party that is a direct or indirect parent company of such Project Company that has entered into a Permitted Tax Equity Financing in favor of (i) its Tax Equity Partner or (ii) the Equity Investor or an Affiliate of the Equity Investor that has itself indemnified or provided other credit support to such Tax Equity Partner in respect of such Project Company or Company Group Party, in the case of each of clauses (i) and (ii), in respect of representations and warranties and/or other obligations not covered by clause (B) of the definition of “Permitted Operating Guarantees”;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guaranteed pursuant to Other Permitted Guarantees shall not, at any one time, exceed the sum of, solely in the case of Other Permitted Guarantees entered into after the A&amp;R Credit Agreement First Amendment Effective Date, (a) $110,000,000 and (b) the amount of unrestricted cash that is held by the Borrower (which cash shall be held by the Borrower for so long as such guarantee is in place) and subject to a Lien in favor of the Administrative Agent for the benefit of the Secured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Unencumbered Total Assets</w:t>
      </w:r>
      <w:r>
        <w:rPr>
          <w:rFonts w:ascii="Arial" w:cs="Arial" w:eastAsia="Arial" w:hAnsi="Arial"/>
          <w:sz w:val="16"/>
          <w:szCs w:val="16"/>
          <w:color w:val="auto"/>
        </w:rPr>
        <w:t xml:space="preserve">” means, as at any date of determination, the assets of the Loan Parties which are not subject to Liens (other than, for the avoidance of doubt, Liens granted in favor of the Administrative Agent for the benefit of the Secured Parties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7.01(a)</w:t>
      </w:r>
      <w:r>
        <w:rPr>
          <w:rFonts w:ascii="Arial" w:cs="Arial" w:eastAsia="Arial" w:hAnsi="Arial"/>
          <w:sz w:val="16"/>
          <w:szCs w:val="16"/>
          <w:color w:val="auto"/>
        </w:rPr>
        <w:t xml:space="preserve"> and Liens permitted by </w:t>
      </w:r>
      <w:r>
        <w:rPr>
          <w:rFonts w:ascii="Arial" w:cs="Arial" w:eastAsia="Arial" w:hAnsi="Arial"/>
          <w:sz w:val="16"/>
          <w:szCs w:val="16"/>
          <w:u w:val="single" w:color="auto"/>
          <w:color w:val="auto"/>
        </w:rPr>
        <w:t>Sections 7.01(c)</w:t>
      </w:r>
      <w:r>
        <w:rPr>
          <w:rFonts w:ascii="Arial" w:cs="Arial" w:eastAsia="Arial" w:hAnsi="Arial"/>
          <w:sz w:val="16"/>
          <w:szCs w:val="16"/>
          <w:color w:val="auto"/>
        </w:rPr>
        <w:t>, (g), (j), (l), (o) and (q)), determined on a consolidated basis and without duplication.</w:t>
      </w:r>
    </w:p>
    <w:p>
      <w:pPr>
        <w:spacing w:after="0" w:line="149" w:lineRule="exact"/>
        <w:rPr>
          <w:sz w:val="20"/>
          <w:szCs w:val="20"/>
          <w:color w:val="auto"/>
        </w:rPr>
      </w:pPr>
    </w:p>
    <w:p>
      <w:pPr>
        <w:jc w:val="both"/>
        <w:ind w:left="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2" w:lineRule="exact"/>
        <w:rPr>
          <w:sz w:val="20"/>
          <w:szCs w:val="20"/>
          <w:color w:val="auto"/>
        </w:rPr>
      </w:pPr>
    </w:p>
    <w:p>
      <w:pPr>
        <w:ind w:left="704" w:hanging="704"/>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adding the following definitions in alphabetical order:</w:t>
      </w:r>
    </w:p>
    <w:p>
      <w:pPr>
        <w:spacing w:after="0" w:line="22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Bridge Facility</w:t>
      </w:r>
      <w:r>
        <w:rPr>
          <w:rFonts w:ascii="Arial" w:cs="Arial" w:eastAsia="Arial" w:hAnsi="Arial"/>
          <w:sz w:val="18"/>
          <w:szCs w:val="18"/>
          <w:color w:val="auto"/>
        </w:rPr>
        <w:t>” means the term loan facility in an aggregate principal amount equal to $335,000,000.00 incurred pursuant to that certain Credit Agreement, dated as of the Sixth Amendment Effective Date, among the Borrower, Holdings, Bank of America, N.A., as administrative agent, and the lenders party thereto.</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ind w:left="4"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Period Termination Date</w:t>
      </w:r>
      <w:r>
        <w:rPr>
          <w:rFonts w:ascii="Arial" w:cs="Arial" w:eastAsia="Arial" w:hAnsi="Arial"/>
          <w:sz w:val="16"/>
          <w:szCs w:val="16"/>
          <w:color w:val="auto"/>
        </w:rPr>
        <w:t>” means the earliest to occur of (a) two Business Days following the consummation of the disposition contemplated by the Thor PSA, (b) the 120th day following the termination or expiration of the Thor PSA and (c) November 29, 2022.</w:t>
      </w:r>
    </w:p>
    <w:p>
      <w:pPr>
        <w:spacing w:after="0" w:line="124"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Sixth Amendment</w:t>
      </w:r>
      <w:r>
        <w:rPr>
          <w:rFonts w:ascii="Arial" w:cs="Arial" w:eastAsia="Arial" w:hAnsi="Arial"/>
          <w:sz w:val="18"/>
          <w:szCs w:val="18"/>
          <w:color w:val="auto"/>
        </w:rPr>
        <w:t>” means that certain Sixth Amendment to this Agreement, dated as of November 30, 2021.</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Sixth Amendment Effective Date</w:t>
      </w:r>
      <w:r>
        <w:rPr>
          <w:rFonts w:ascii="Arial" w:cs="Arial" w:eastAsia="Arial" w:hAnsi="Arial"/>
          <w:sz w:val="18"/>
          <w:szCs w:val="18"/>
          <w:color w:val="auto"/>
        </w:rPr>
        <w:t>” has the meaning given to such term in the Sixth Amendment.</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Thor PSA</w:t>
      </w:r>
      <w:r>
        <w:rPr>
          <w:rFonts w:ascii="Arial" w:cs="Arial" w:eastAsia="Arial" w:hAnsi="Arial"/>
          <w:sz w:val="18"/>
          <w:szCs w:val="18"/>
          <w:color w:val="auto"/>
        </w:rPr>
        <w:t>” means the Membership Interest Purchase Agreement, dated as of October 22, 2021, between the Borrower and KKR Thor Bidco, LLC.</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24" w:hanging="924"/>
        <w:spacing w:after="0"/>
        <w:tabs>
          <w:tab w:leader="none" w:pos="9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2.13(a) of the Credit Agreement is hereby amended and restated in its entirety as follows:</w:t>
      </w:r>
    </w:p>
    <w:p>
      <w:pPr>
        <w:spacing w:after="0" w:line="225"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“(a) Provided there exists no Event of Default at such time, upon written notice to the Administrative Agent, the Borrower may from time to time elect to request, prior to the Maturity Date, an increase in the existing Revolving Credit Facility or the establishment of a new Revolving Credit Facility (provided that there shall be no more than two Revolving Credit Facilities in effect at any time) (the “</w:t>
      </w:r>
      <w:r>
        <w:rPr>
          <w:rFonts w:ascii="Arial" w:cs="Arial" w:eastAsia="Arial" w:hAnsi="Arial"/>
          <w:sz w:val="18"/>
          <w:szCs w:val="18"/>
          <w:u w:val="single" w:color="auto"/>
          <w:color w:val="auto"/>
        </w:rPr>
        <w:t>Incremental Revolving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and/or to incur new term loan commitments (the “</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and, together with the Increment Revolving Credit Commitments, the “</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by an aggregate principal amount determined by the Borrower (for all such requests taken together) not exceeding $1,000,000,000 (the “</w:t>
      </w:r>
      <w:r>
        <w:rPr>
          <w:rFonts w:ascii="Arial" w:cs="Arial" w:eastAsia="Arial" w:hAnsi="Arial"/>
          <w:sz w:val="18"/>
          <w:szCs w:val="18"/>
          <w:u w:val="single" w:color="auto"/>
          <w:color w:val="auto"/>
        </w:rPr>
        <w:t>Incremental Facility Amount</w:t>
      </w:r>
      <w:r>
        <w:rPr>
          <w:rFonts w:ascii="Arial" w:cs="Arial" w:eastAsia="Arial" w:hAnsi="Arial"/>
          <w:sz w:val="18"/>
          <w:szCs w:val="18"/>
          <w:color w:val="auto"/>
        </w:rPr>
        <w:t xml:space="preserv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aggregate outstanding principal amount and/or commitments, as applicable, of any Incremental Equivalent Debt incurred pursuant to </w:t>
      </w:r>
      <w:r>
        <w:rPr>
          <w:rFonts w:ascii="Arial" w:cs="Arial" w:eastAsia="Arial" w:hAnsi="Arial"/>
          <w:sz w:val="18"/>
          <w:szCs w:val="18"/>
          <w:u w:val="single" w:color="auto"/>
          <w:color w:val="auto"/>
        </w:rPr>
        <w:t>Section 7.02(p)</w:t>
      </w:r>
      <w:r>
        <w:rPr>
          <w:rFonts w:ascii="Arial" w:cs="Arial" w:eastAsia="Arial" w:hAnsi="Arial"/>
          <w:sz w:val="18"/>
          <w:szCs w:val="18"/>
          <w:color w:val="auto"/>
        </w:rPr>
        <w:t xml:space="preserve"> on or prior to the date of the incurrence of such Incremental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request for Incremental Commitments shall be in a minimum amount of $10,000,000.”</w:t>
      </w:r>
    </w:p>
    <w:p>
      <w:pPr>
        <w:spacing w:after="0" w:line="196" w:lineRule="exact"/>
        <w:rPr>
          <w:sz w:val="20"/>
          <w:szCs w:val="20"/>
          <w:color w:val="auto"/>
        </w:rPr>
      </w:pPr>
    </w:p>
    <w:p>
      <w:pPr>
        <w:ind w:left="904" w:hanging="904"/>
        <w:spacing w:after="0"/>
        <w:tabs>
          <w:tab w:leader="none" w:pos="90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5.13 of the Credit Agreement is hereby amended and restated in its entirety as follows:</w:t>
      </w:r>
    </w:p>
    <w:p>
      <w:pPr>
        <w:spacing w:after="0" w:line="225" w:lineRule="exact"/>
        <w:rPr>
          <w:sz w:val="20"/>
          <w:szCs w:val="20"/>
          <w:color w:val="auto"/>
        </w:rPr>
      </w:pPr>
    </w:p>
    <w:p>
      <w:pPr>
        <w:jc w:val="both"/>
        <w:ind w:left="4"/>
        <w:spacing w:after="0" w:line="268"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Subsidiaries; Equity Interests; Loan Parties; Project Companies</w:t>
      </w:r>
      <w:r>
        <w:rPr>
          <w:rFonts w:ascii="Arial" w:cs="Arial" w:eastAsia="Arial" w:hAnsi="Arial"/>
          <w:sz w:val="17"/>
          <w:szCs w:val="17"/>
          <w:color w:val="auto"/>
        </w:rPr>
        <w:t xml:space="preserve">. As of the A&amp;R Credit Agreement Third Amendment Effective Date, no Loan Party has any Subsidiaries other than those specifically disclosed in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in the case of Pledged Equity, free and clear of all Liens except Liens set forth in Sections 7.01(a), (c) and (q). As of the A&amp;R Credit Agreement Third Amendment Effective Date, no Loan Party has any equity investments in any other Person other than those specifically disclosed in Part (b)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All of the outstanding Equity Interests in the Borrower have been validly issued, are fully paid and are owned by Holdings in the amounts specified on Part (c)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free and clear of all Liens (other than Liens set forth in Sections 7.01(a), (c) and (q)) except those created under the Collateral Documents. Set forth on Part (d)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all Loan Parties, showing as of the A&amp;R Credit Agreement Third Amendment Effective Date its jurisdiction of its incorporation, the address of its principal place of business and its U.S. taxpayer identification number. Set forth on Part (e)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Project Company as of the A&amp;R Credit Agreement Third Amendment Effective Date. Set forth on Part (f)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Company Group Party that is not a Loan Party as of the A&amp;R Credit Agreement Third Amendment Effective Date.”</w:t>
      </w: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 w:name="page9"/>
    <w:bookmarkEnd w:id="8"/>
    <w:p>
      <w:pPr>
        <w:ind w:left="924" w:hanging="924"/>
        <w:spacing w:after="0"/>
        <w:tabs>
          <w:tab w:leader="none" w:pos="9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7.01(p) of the Credit Agreement is hereby amended and restated in its entirety as follows:</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“(p) Liens on cash or Cash Equivalents in an aggregate principal amount not to exceed $40,000,000.00 at any time pledged by a Company Group Party or the Borrower to secure Swap Contracts permitted under </w:t>
      </w:r>
      <w:r>
        <w:rPr>
          <w:rFonts w:ascii="Arial" w:cs="Arial" w:eastAsia="Arial" w:hAnsi="Arial"/>
          <w:sz w:val="18"/>
          <w:szCs w:val="18"/>
          <w:u w:val="single" w:color="auto"/>
          <w:color w:val="auto"/>
        </w:rPr>
        <w:t>Section 7.02(a)</w:t>
      </w:r>
      <w:r>
        <w:rPr>
          <w:rFonts w:ascii="Arial" w:cs="Arial" w:eastAsia="Arial" w:hAnsi="Arial"/>
          <w:sz w:val="18"/>
          <w:szCs w:val="18"/>
          <w:color w:val="auto"/>
        </w:rPr>
        <w:t>; and”</w:t>
      </w:r>
    </w:p>
    <w:p>
      <w:pPr>
        <w:spacing w:after="0" w:line="170" w:lineRule="exact"/>
        <w:rPr>
          <w:sz w:val="20"/>
          <w:szCs w:val="20"/>
          <w:color w:val="auto"/>
        </w:rPr>
      </w:pPr>
    </w:p>
    <w:p>
      <w:pPr>
        <w:ind w:left="944" w:hanging="944"/>
        <w:spacing w:after="0"/>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7.02(a) of the Credit Agreement is hereby amended and restated in its entirety as follows:</w:t>
      </w:r>
    </w:p>
    <w:p>
      <w:pPr>
        <w:spacing w:after="0" w:line="225" w:lineRule="exact"/>
        <w:rPr>
          <w:sz w:val="20"/>
          <w:szCs w:val="20"/>
          <w:color w:val="auto"/>
        </w:rPr>
      </w:pPr>
    </w:p>
    <w:p>
      <w:pPr>
        <w:jc w:val="both"/>
        <w:ind w:left="4"/>
        <w:spacing w:after="0" w:line="275" w:lineRule="auto"/>
        <w:rPr>
          <w:sz w:val="20"/>
          <w:szCs w:val="20"/>
          <w:color w:val="auto"/>
        </w:rPr>
      </w:pPr>
      <w:r>
        <w:rPr>
          <w:rFonts w:ascii="Arial" w:cs="Arial" w:eastAsia="Arial" w:hAnsi="Arial"/>
          <w:sz w:val="17"/>
          <w:szCs w:val="17"/>
          <w:color w:val="auto"/>
        </w:rPr>
        <w:t xml:space="preserve">“(a) obligations (contingent or otherwise) (i) of the Borrower existing or arising under any Swap Contract in respect of interest rates on Incremental Term Loans or the 2021 Bridge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obligations are (or were) entered into by such Person in the ordinary course of business for the purpose of directly mitigating risks associated with fluctuations in interest rates and (y) such Swap Contract is not for speculative purposes and (ii) of the Borrower or any Company Group Party existing or arising under any other Swap Contract entered into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Swap Contract is not for speculative purposes;”</w:t>
      </w:r>
    </w:p>
    <w:p>
      <w:pPr>
        <w:spacing w:after="0" w:line="176" w:lineRule="exact"/>
        <w:rPr>
          <w:sz w:val="20"/>
          <w:szCs w:val="20"/>
          <w:color w:val="auto"/>
        </w:rPr>
      </w:pPr>
    </w:p>
    <w:p>
      <w:pPr>
        <w:ind w:left="904" w:hanging="904"/>
        <w:spacing w:after="0"/>
        <w:tabs>
          <w:tab w:leader="none" w:pos="90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7.02(p) of the Credit Agreement is hereby amended and restated in its entirety as follows:</w:t>
      </w:r>
    </w:p>
    <w:p>
      <w:pPr>
        <w:spacing w:after="0" w:line="225" w:lineRule="exact"/>
        <w:rPr>
          <w:sz w:val="20"/>
          <w:szCs w:val="20"/>
          <w:color w:val="auto"/>
        </w:rPr>
      </w:pPr>
    </w:p>
    <w:p>
      <w:pPr>
        <w:jc w:val="both"/>
        <w:ind w:left="404"/>
        <w:spacing w:after="0" w:line="283" w:lineRule="auto"/>
        <w:rPr>
          <w:sz w:val="20"/>
          <w:szCs w:val="20"/>
          <w:color w:val="auto"/>
        </w:rPr>
      </w:pPr>
      <w:r>
        <w:rPr>
          <w:rFonts w:ascii="Arial" w:cs="Arial" w:eastAsia="Arial" w:hAnsi="Arial"/>
          <w:sz w:val="16"/>
          <w:szCs w:val="16"/>
          <w:color w:val="auto"/>
        </w:rPr>
        <w:t>“(p) senior secured first lien or junior lien debt securities or term loans, senior unsecured debt securities or term loans or subordinated debt securities or term loans, in each case borrowed by the Borrower or issued by the Borrower in a public offering, Rule 144A or other private placement or bridge financing in an amount not to exceed the Incremental Facility Amount minus the outstanding principal amount and/or commitments, as applicable, of any Incremental Facility incurred on or prior to the date of the incurrence of any such Indebtedness pursuant to this clause (p) (such debt securities or term loans, as applicable, “</w:t>
      </w: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xml:space="preserve">”); provided that (i) no Event of Default shall exist before or after giving effect to the incurrence of such Incremental Equivalent Debt; (ii) the representations and warranties contained in Article V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date of incurrence of such Incremental Equivalent Debt, except to the extent that such representations and warranties specifically refer to an earlier date, in which case they are true and correct as of such earlier date, and except that for purposes of this Section 7.02(p), the representations and warranties contained in subsections (a) and (b) of Section 5.05 shall be deemed to refer to the most recent statements furnished pursuant to clauses (a) and (b), respectively, of Section 6.01; provided that to the extent that such Incremental Equivalent Debt will be used concurrently with the initial provision of such Incremental Equivalent Debt to finance any Investment permitted pursuant to Section 7.03(g),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(iii) such Incremental Equivalent Debt shall not be Guaranteed by any Person that is not a Guarantor; (iv) subject to the limitations in clauses (v) and (vi) below, the terms and provisions of such Incremental Equivalent Debt shall not be more restrictive, taken as a whole, to the Borrower and the other Loan Parties than those applicable to any Facility at the time of incurrence of such Incremental Equivalent Debt, unless such other terms (1) apply only after the Latest Maturity Date of each Facility at the time of incurrence of such Incremental Equivalent Debt, (2) shall also apply to the existing Facilities (which such application shall not require the consent of the Lenders or the Administrative Agent if so reasonably determined by the Borrower) or (3) relate only to mandatory prepayments customary for such type of debt securities or term loans, premiums (including make-whole provisions), interest, fees or (subject to the foregoing) maturity or amortization; (v) with respect to Incremental Equivalent Debt other than Indebtedness incurred pursuant to the 2021 Bridge Facility, the Weighted Average Life to Maturity of such Incremental Equivalent Debt shall be no shorter than that of any Facility in effect at the time of incurrence of such Incremental Equivalent Debt; (vi) with respect to Incremental Equivalent Debt other than Indebtedness incurred pursuant to the 2021 Bridge Facility, the Stated Maturity of such Incremental Equivalent Debt shall be no shorter than the Latest Maturity Date at the time of incurrence of such Incremental Equivalent Debt; and (vii) if such Incremental Equivalent Debt is in the form of secured debt securities or term loans, a representative acting on behalf of the holders of such Incremental Equivalent Debt shall have executed and delivered a joinder to the Pari Passu Intercreditor Agreement or the Second Lien Intercreditor Agreement, as applicable, to the Administrative Agent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issuance of Indebtedness designated as “Other First Lien Obligations” or “Second Lien Obligations” thereunder, then the Borrower, the Guarantors, the Administrative Agent and the representative for such Other First Lien Obligations shall have executed and delivered the Pari Passu Intercreditor Agreement or the Second Lien Intercreditor Agreement, as applicable;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 w:name="page10"/>
    <w:bookmarkEnd w:id="9"/>
    <w:p>
      <w:pPr>
        <w:ind w:left="904" w:hanging="904"/>
        <w:spacing w:after="0"/>
        <w:tabs>
          <w:tab w:leader="none" w:pos="9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7.11(a) of the Credit Agreement is hereby amended and restated in its entirety as follows:</w:t>
      </w:r>
    </w:p>
    <w:p>
      <w:pPr>
        <w:spacing w:after="0" w:line="225" w:lineRule="exact"/>
        <w:rPr>
          <w:sz w:val="20"/>
          <w:szCs w:val="20"/>
          <w:color w:val="auto"/>
        </w:rPr>
      </w:pPr>
    </w:p>
    <w:p>
      <w:pPr>
        <w:ind w:left="324"/>
        <w:spacing w:after="0"/>
        <w:tabs>
          <w:tab w:leader="none" w:pos="1004"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Borrower Leverage Ratio</w:t>
      </w:r>
      <w:r>
        <w:rPr>
          <w:rFonts w:ascii="Arial" w:cs="Arial" w:eastAsia="Arial" w:hAnsi="Arial"/>
          <w:sz w:val="16"/>
          <w:szCs w:val="16"/>
          <w:color w:val="auto"/>
        </w:rPr>
        <w:t>. Commencing with the fiscal quarter ending June 30, 2014 and as of the last day of each fiscal quarter</w:t>
      </w:r>
    </w:p>
    <w:p>
      <w:pPr>
        <w:spacing w:after="0" w:line="46" w:lineRule="exact"/>
        <w:rPr>
          <w:sz w:val="20"/>
          <w:szCs w:val="20"/>
          <w:color w:val="auto"/>
        </w:rPr>
      </w:pPr>
    </w:p>
    <w:p>
      <w:pPr>
        <w:ind w:left="324"/>
        <w:spacing w:after="0"/>
        <w:rPr>
          <w:sz w:val="20"/>
          <w:szCs w:val="20"/>
          <w:color w:val="auto"/>
        </w:rPr>
      </w:pPr>
      <w:r>
        <w:rPr>
          <w:rFonts w:ascii="Arial" w:cs="Arial" w:eastAsia="Arial" w:hAnsi="Arial"/>
          <w:sz w:val="16"/>
          <w:szCs w:val="16"/>
          <w:color w:val="auto"/>
        </w:rPr>
        <w:t>thereafter, permit the Borrower Leverage Ratio for the most recently completed Measurement Period to be greater than (i) on any date of</w:t>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6"/>
          <w:szCs w:val="16"/>
          <w:color w:val="auto"/>
        </w:rPr>
        <w:t>determination other than during an Acquisition Period, 5.50:1.00 or, with respect to any such date of determination (x) during the period from</w:t>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6"/>
          <w:szCs w:val="16"/>
          <w:color w:val="auto"/>
        </w:rPr>
        <w:t>July 1, 2020 through and including December 31, 2020, 6.00:1.00 and (y) during the period from Sixth Amendment Effective Date through</w:t>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6"/>
          <w:szCs w:val="16"/>
          <w:color w:val="auto"/>
        </w:rPr>
        <w:t>and including the Leverage Period Termination Date, 6.00:1.00 and (ii) on any date of determination during an Acquisition Period, 6.00:1.00</w:t>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7"/>
          <w:szCs w:val="17"/>
          <w:color w:val="auto"/>
        </w:rPr>
        <w:t>or, with respect to any such date of determination (x) during the period from July 1, 2020 through and including December 31, 2020,</w:t>
      </w:r>
    </w:p>
    <w:p>
      <w:pPr>
        <w:spacing w:after="0" w:line="21" w:lineRule="exact"/>
        <w:rPr>
          <w:sz w:val="20"/>
          <w:szCs w:val="20"/>
          <w:color w:val="auto"/>
        </w:rPr>
      </w:pPr>
    </w:p>
    <w:p>
      <w:pPr>
        <w:ind w:left="324"/>
        <w:spacing w:after="0"/>
        <w:rPr>
          <w:sz w:val="20"/>
          <w:szCs w:val="20"/>
          <w:color w:val="auto"/>
        </w:rPr>
      </w:pPr>
      <w:r>
        <w:rPr>
          <w:rFonts w:ascii="Arial" w:cs="Arial" w:eastAsia="Arial" w:hAnsi="Arial"/>
          <w:sz w:val="17"/>
          <w:szCs w:val="17"/>
          <w:color w:val="auto"/>
        </w:rPr>
        <w:t>6.50:1.00 and (y) during the period from Sixth Amendment Effective Date through and including the Leverage Period Termination Date,</w:t>
      </w:r>
    </w:p>
    <w:p>
      <w:pPr>
        <w:spacing w:after="0" w:line="21" w:lineRule="exact"/>
        <w:rPr>
          <w:sz w:val="20"/>
          <w:szCs w:val="20"/>
          <w:color w:val="auto"/>
        </w:rPr>
      </w:pPr>
    </w:p>
    <w:p>
      <w:pPr>
        <w:ind w:left="324"/>
        <w:spacing w:after="0"/>
        <w:rPr>
          <w:sz w:val="20"/>
          <w:szCs w:val="20"/>
          <w:color w:val="auto"/>
        </w:rPr>
      </w:pPr>
      <w:r>
        <w:rPr>
          <w:rFonts w:ascii="Arial" w:cs="Arial" w:eastAsia="Arial" w:hAnsi="Arial"/>
          <w:sz w:val="18"/>
          <w:szCs w:val="18"/>
          <w:color w:val="auto"/>
        </w:rPr>
        <w:t>6.50:1.00; and”</w:t>
      </w:r>
    </w:p>
    <w:p>
      <w:pPr>
        <w:spacing w:after="0" w:line="211" w:lineRule="exact"/>
        <w:rPr>
          <w:sz w:val="20"/>
          <w:szCs w:val="20"/>
          <w:color w:val="auto"/>
        </w:rPr>
      </w:pPr>
    </w:p>
    <w:p>
      <w:pPr>
        <w:ind w:left="1004" w:hanging="1004"/>
        <w:spacing w:after="0"/>
        <w:tabs>
          <w:tab w:leader="none" w:pos="10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7.15 of the Credit Agreement is hereby amended and restated in its entirety as follows:</w:t>
      </w:r>
    </w:p>
    <w:p>
      <w:pPr>
        <w:spacing w:after="0" w:line="225" w:lineRule="exact"/>
        <w:rPr>
          <w:sz w:val="20"/>
          <w:szCs w:val="20"/>
          <w:color w:val="auto"/>
        </w:rPr>
      </w:pPr>
    </w:p>
    <w:p>
      <w:pPr>
        <w:jc w:val="both"/>
        <w:ind w:left="4"/>
        <w:spacing w:after="0" w:line="284" w:lineRule="auto"/>
        <w:rPr>
          <w:sz w:val="20"/>
          <w:szCs w:val="20"/>
          <w:color w:val="auto"/>
        </w:rPr>
      </w:pPr>
      <w:r>
        <w:rPr>
          <w:rFonts w:ascii="Arial" w:cs="Arial" w:eastAsia="Arial" w:hAnsi="Arial"/>
          <w:sz w:val="16"/>
          <w:szCs w:val="16"/>
          <w:color w:val="auto"/>
        </w:rPr>
        <w:t xml:space="preserve">“Section 7.15 Prepayments, Etc. of Indebtedness. Prepay, redeem, purchase, defease or otherwise satisfy prior to the scheduled maturity thereof in any manner, or make any payment in violation of any subordination terms of, any unsecured Indebtedness, junior Lien Indebtedness or any Indebtedness which is contractually subordinated to the Obligations, except (a) regularly scheduled payments of principal and interest in respect of such Indebtedness in accordance with the terms of, and only to the extent required by, and subject to any subordination provisions contained in, the indenture or other agreement pursuant to which such Indebtedness was issued or incurred or any subordination agreement (including any subordination agreement entered into pursuant to </w:t>
      </w:r>
      <w:r>
        <w:rPr>
          <w:rFonts w:ascii="Arial" w:cs="Arial" w:eastAsia="Arial" w:hAnsi="Arial"/>
          <w:sz w:val="16"/>
          <w:szCs w:val="16"/>
          <w:u w:val="single" w:color="auto"/>
          <w:color w:val="auto"/>
        </w:rPr>
        <w:t>Section 7.02(n)</w:t>
      </w:r>
      <w:r>
        <w:rPr>
          <w:rFonts w:ascii="Arial" w:cs="Arial" w:eastAsia="Arial" w:hAnsi="Arial"/>
          <w:sz w:val="16"/>
          <w:szCs w:val="16"/>
          <w:color w:val="auto"/>
        </w:rPr>
        <w:t>) in respect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regularly scheduled payments of principal shall not exceed 1.00% per annum of the aggregate principal amount of such Indebtedness), (b) prepayments and repayments of such Indebtedness made from cash of the Borrower that at such time would be permitted to be distributed to Holdings pursuant to </w:t>
      </w:r>
      <w:r>
        <w:rPr>
          <w:rFonts w:ascii="Arial" w:cs="Arial" w:eastAsia="Arial" w:hAnsi="Arial"/>
          <w:sz w:val="16"/>
          <w:szCs w:val="16"/>
          <w:u w:val="single" w:color="auto"/>
          <w:color w:val="auto"/>
        </w:rPr>
        <w:t>Section 7.06(f)</w:t>
      </w:r>
      <w:r>
        <w:rPr>
          <w:rFonts w:ascii="Arial" w:cs="Arial" w:eastAsia="Arial" w:hAnsi="Arial"/>
          <w:sz w:val="16"/>
          <w:szCs w:val="16"/>
          <w:color w:val="auto"/>
        </w:rPr>
        <w:t>, (c) prepayments and repayments of such Indebtedness made with the proceeds of Permitted Refinancing Indebtedness in respect thereof, (d) following the Leverage Period Termination Date, prepayments and repayments of such Indebtedness, unless (i) as result thereof and giving pro forma effect thereto and to any Indebtedness incurred in connection therewith (as though such Indebtedness had been incurred as of the first day of the most recently completed Measurement Period and remained outstanding), the Borrower Leverage Ratio for the most recently completed Measurement Period would be greater than 5.50:1.00, (ii) as result thereof and giving pro forma effect thereto and to any Indebtedness incurred in connection therewith (as though such Indebtedness had been incurred as of the first day of the most recently completed Measurement Period and remained outstanding), the Borrower Interest Coverage Ratio for the most recently completed Measurement Period would be less than 1.75:1.00 or (iii) an Event of Default has occurred and is continuing or would result from such prepayment or repayment, (e) other prepayments, repayments, redemptions or similar transactions in an amount not to exceed the greater of (i) $50,000,000 and (ii) 1.00% of Total Assets (which shall be measured as of the date such transaction is consummated and shall take into account any transaction previously or concurrently consummated pursuant to this clause (e)) and (f) prepayments and repayments of the Convertible Senior Notes or the Existing Senior Notes with the proceeds of the Bridge Financing or any Permitted Refinancing Indebtedness in respect of the Bridge Financing.”</w:t>
      </w:r>
    </w:p>
    <w:p>
      <w:pPr>
        <w:spacing w:after="0" w:line="182" w:lineRule="exact"/>
        <w:rPr>
          <w:sz w:val="20"/>
          <w:szCs w:val="20"/>
          <w:color w:val="auto"/>
        </w:rPr>
      </w:pPr>
    </w:p>
    <w:p>
      <w:pPr>
        <w:ind w:left="964" w:hanging="964"/>
        <w:spacing w:after="0"/>
        <w:tabs>
          <w:tab w:leader="none" w:pos="9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proviso at the end of Section 8.01(e) of the Credit Agreement is hereby amended and restated in its entirety as follows:</w:t>
      </w:r>
    </w:p>
    <w:p>
      <w:pPr>
        <w:spacing w:after="0" w:line="237"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result under this clause (e) from an event or circumstance limited to a Material Project Company unless, as result thereof and giving pro forma effect thereto, the Borrower would be in violation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calculation to be done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49" w:lineRule="exact"/>
        <w:rPr>
          <w:sz w:val="20"/>
          <w:szCs w:val="20"/>
          <w:color w:val="auto"/>
        </w:rPr>
      </w:pPr>
    </w:p>
    <w:p>
      <w:pPr>
        <w:ind w:left="904" w:hanging="904"/>
        <w:spacing w:after="0"/>
        <w:tabs>
          <w:tab w:leader="none" w:pos="9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proviso at the end of Section 8.01(f) of the Credit Agreement is hereby amended and restated in its entirety as follows:</w:t>
      </w:r>
    </w:p>
    <w:p>
      <w:pPr>
        <w:spacing w:after="0" w:line="237"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result under this clause (f) from an event or circumstance limited to a Material Project Company unless, as result thereof and giving pro forma effect thereto, the Borrower would be in violation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calculation to be done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49" w:lineRule="exact"/>
        <w:rPr>
          <w:sz w:val="20"/>
          <w:szCs w:val="20"/>
          <w:color w:val="auto"/>
        </w:rPr>
      </w:pPr>
    </w:p>
    <w:p>
      <w:pPr>
        <w:ind w:left="924" w:hanging="924"/>
        <w:spacing w:after="0"/>
        <w:tabs>
          <w:tab w:leader="none" w:pos="9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proviso at the end of Section 8.01(g) of the Credit Agreement is hereby amended and restated in its entirety as follows:</w:t>
      </w:r>
    </w:p>
    <w:p>
      <w:pPr>
        <w:spacing w:after="0" w:line="237"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result under this clause (g) from an event or circumstance limited to a Material Project Company unless, as result thereof and giving pro forma effect thereto, the Borrower would be in violation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calculation to be done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36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ind w:left="4" w:right="2780" w:hanging="4"/>
        <w:spacing w:after="0" w:line="500" w:lineRule="auto"/>
        <w:tabs>
          <w:tab w:leader="none" w:pos="8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Article IX of the Credit Agreement is hereby amended by adding a new Section 9.13 as follows: “Section 9.13. Acknowledgments of Lenders and L/C Issuers.</w:t>
      </w:r>
    </w:p>
    <w:p>
      <w:pPr>
        <w:spacing w:after="0" w:line="2" w:lineRule="exact"/>
        <w:rPr>
          <w:sz w:val="20"/>
          <w:szCs w:val="20"/>
          <w:color w:val="auto"/>
        </w:rPr>
      </w:pPr>
    </w:p>
    <w:p>
      <w:pPr>
        <w:jc w:val="both"/>
        <w:ind w:left="324" w:hanging="324"/>
        <w:spacing w:after="0" w:line="268" w:lineRule="auto"/>
        <w:tabs>
          <w:tab w:leader="none" w:pos="3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Lender and L/C Issuer hereby agrees that (i) if the Administrative Agent notifies such Lender or L/C Issuer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were erroneously transmitted to such Lender or L/C Issuer (whether or not known to such Lender or L/C Issuer), and demands the return of such Payment (or a portion thereof),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Federal Funds Rate and a rate determined by the Administrative Agent in accordance with banking industry rules on interbank compensation from time to time in effect, and (ii) to the extent permitted by applicable law, such Lender or L/C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9.13(a) shall be conclusive, absent manifest error.</w:t>
      </w:r>
    </w:p>
    <w:p>
      <w:pPr>
        <w:spacing w:after="0" w:line="184" w:lineRule="exact"/>
        <w:rPr>
          <w:rFonts w:ascii="Arial" w:cs="Arial" w:eastAsia="Arial" w:hAnsi="Arial"/>
          <w:sz w:val="17"/>
          <w:szCs w:val="17"/>
          <w:color w:val="auto"/>
        </w:rPr>
      </w:pPr>
    </w:p>
    <w:p>
      <w:pPr>
        <w:jc w:val="both"/>
        <w:ind w:left="324" w:hanging="324"/>
        <w:spacing w:after="0" w:line="269" w:lineRule="auto"/>
        <w:tabs>
          <w:tab w:leader="none" w:pos="3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Lender and L/C Issuer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(ii) that was not preceded or accompanied by a Payment Notice, it shall be on notice, in each such case, that an error has been made with respect to such Payment. Each Lender and L/C Issuer agrees that, in each such case, or if it otherwise becomes aware a Payment (or portion thereof) may have been sent in error, such Lender or L/C Issuer shall promptly notify the Administrative Agent of such occurrence and, upon demand from the Administrative Agent,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39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jc w:val="both"/>
        <w:ind w:left="324" w:hanging="324"/>
        <w:spacing w:after="0" w:line="273" w:lineRule="auto"/>
        <w:tabs>
          <w:tab w:leader="none" w:pos="3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Borrower and each other Loan Party hereby agrees that (i) in the event an erroneous Payment (or portion thereof) is not recovered from any Lender or L/C Issuer that has received such Payment (or portion thereof) for any reason, the Administrative Agent shall be subrogated to all the rights of such Lender or L/C Issuer with respect to such amount and (ii)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Payment.</w:t>
      </w:r>
    </w:p>
    <w:p>
      <w:pPr>
        <w:spacing w:after="0" w:line="177" w:lineRule="exact"/>
        <w:rPr>
          <w:rFonts w:ascii="Arial" w:cs="Arial" w:eastAsia="Arial" w:hAnsi="Arial"/>
          <w:sz w:val="17"/>
          <w:szCs w:val="17"/>
          <w:color w:val="auto"/>
        </w:rPr>
      </w:pPr>
    </w:p>
    <w:p>
      <w:pPr>
        <w:jc w:val="both"/>
        <w:ind w:left="324" w:hanging="324"/>
        <w:spacing w:after="0" w:line="263" w:lineRule="auto"/>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party’s obligations under this Section 9.13 shall survive the resignation or replacement of the Administrative Agent or any transfer of rights or obligations by, or the replacement of, a Lender or L/C Issuer, the termination of the Commitments or the repayment, satisfaction or discharge of all Obligations under any Loan Document.</w:t>
      </w:r>
    </w:p>
    <w:p>
      <w:pPr>
        <w:spacing w:after="0" w:line="184" w:lineRule="exact"/>
        <w:rPr>
          <w:sz w:val="20"/>
          <w:szCs w:val="20"/>
          <w:color w:val="auto"/>
        </w:rPr>
      </w:pPr>
    </w:p>
    <w:p>
      <w:pPr>
        <w:ind w:left="904" w:hanging="904"/>
        <w:spacing w:after="0"/>
        <w:tabs>
          <w:tab w:leader="none" w:pos="9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11.21 of the Credit Agreement is hereby amended and restated in its entirety as follows:</w:t>
      </w:r>
    </w:p>
    <w:p>
      <w:pPr>
        <w:spacing w:after="0" w:line="225"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 xml:space="preserve">“Section 11.21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8" w:lineRule="exact"/>
        <w:rPr>
          <w:sz w:val="20"/>
          <w:szCs w:val="20"/>
          <w:color w:val="auto"/>
        </w:rPr>
      </w:pPr>
    </w:p>
    <w:p>
      <w:pPr>
        <w:ind w:left="4" w:firstLine="563"/>
        <w:spacing w:after="0" w:line="277" w:lineRule="auto"/>
        <w:tabs>
          <w:tab w:leader="none" w:pos="17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624" w:hanging="1057"/>
        <w:spacing w:after="0"/>
        <w:tabs>
          <w:tab w:leader="none" w:pos="1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364" w:hanging="1068"/>
        <w:spacing w:after="0"/>
        <w:tabs>
          <w:tab w:leader="none" w:pos="23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4" w:firstLine="1292"/>
        <w:spacing w:after="0" w:line="259" w:lineRule="auto"/>
        <w:tabs>
          <w:tab w:leader="none" w:pos="24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84" w:firstLine="1293"/>
        <w:spacing w:after="0" w:line="277" w:lineRule="auto"/>
        <w:tabs>
          <w:tab w:leader="none" w:pos="2248"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spacing w:after="0"/>
        <w:tabs>
          <w:tab w:leader="none" w:pos="1340" w:val="left"/>
        </w:tabs>
        <w:rPr>
          <w:sz w:val="20"/>
          <w:szCs w:val="20"/>
          <w:color w:val="auto"/>
        </w:rPr>
      </w:pPr>
      <w:r>
        <w:rPr>
          <w:rFonts w:ascii="Arial" w:cs="Arial" w:eastAsia="Arial" w:hAnsi="Arial"/>
          <w:sz w:val="18"/>
          <w:szCs w:val="18"/>
          <w:b w:val="1"/>
          <w:bCs w:val="1"/>
          <w:color w:val="auto"/>
        </w:rPr>
        <w:t>SECTION II.</w:t>
      </w:r>
      <w:r>
        <w:rPr>
          <w:sz w:val="20"/>
          <w:szCs w:val="20"/>
          <w:color w:val="auto"/>
        </w:rPr>
        <w:tab/>
      </w:r>
      <w:r>
        <w:rPr>
          <w:rFonts w:ascii="Arial" w:cs="Arial" w:eastAsia="Arial" w:hAnsi="Arial"/>
          <w:sz w:val="18"/>
          <w:szCs w:val="18"/>
          <w:b w:val="1"/>
          <w:bCs w:val="1"/>
          <w:color w:val="auto"/>
        </w:rPr>
        <w:t>AMENDMENT TO SECURITY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has been satisfied (or waived by the party or parties entitled to the benefit thereof):</w:t>
      </w:r>
    </w:p>
    <w:p>
      <w:pPr>
        <w:spacing w:after="0" w:line="17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3.1 of the Security Agreement is hereby amended and restated in its entirety as follows:</w:t>
      </w:r>
    </w:p>
    <w:p>
      <w:pPr>
        <w:spacing w:after="0" w:line="225"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Title; No Other Liens</w:t>
      </w:r>
      <w:r>
        <w:rPr>
          <w:rFonts w:ascii="Arial" w:cs="Arial" w:eastAsia="Arial" w:hAnsi="Arial"/>
          <w:sz w:val="16"/>
          <w:szCs w:val="16"/>
          <w:color w:val="auto"/>
        </w:rPr>
        <w:t xml:space="preserve">. Such Grantor has the rights to each item of the Collateral free and clear of all Liens other than, except with respect to any Collateral other than Pledged Equity Interests, Permitted Liens and, in the case of Pledged Equity Interests , free and clear of all Liens except Liens set forth in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(q)</w:t>
      </w:r>
      <w:r>
        <w:rPr>
          <w:rFonts w:ascii="Arial" w:cs="Arial" w:eastAsia="Arial" w:hAnsi="Arial"/>
          <w:sz w:val="16"/>
          <w:szCs w:val="16"/>
          <w:color w:val="auto"/>
        </w:rPr>
        <w:t xml:space="preserve"> of the Credit Agreement. As of the Closing Date, no financing statement, mortgage or other public notice (other than, with respect to Intellectual Property filings with the United States Patent and Trademark Office, the United States Copyright Office, or any similar office or agency in any other country or in any political subdivision of any of the foregoing) with respect to all or any part of the Collateral is on file or of record in any public office, except such as have been filed in favor of the Administrative Agent, for the benefit of the Secured Parties, pursuant to this Agreement or as are permitted by the Credit Agreement.”</w:t>
      </w:r>
    </w:p>
    <w:p>
      <w:pPr>
        <w:spacing w:after="0" w:line="16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3.4(f) of the Security Agreement is hereby amended and restated in its entirety as follows:</w:t>
      </w:r>
    </w:p>
    <w:p>
      <w:pPr>
        <w:spacing w:after="0" w:line="225"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 xml:space="preserve">“(f) Such Grantor is the record and beneficial owner of, and has good and marketable title to, the Investment Property and Deposit Accounts pledged by it hereunder, free of any and all Liens or options in favor of, or claims of, any other Person, except for, in the case of any of the foregoing Collateral other than Pledged Equity Interests, Permitted Liens and, in the case of Pledged Equity Interests, free and clear of all Liens except Liens set forth in </w:t>
      </w:r>
      <w:r>
        <w:rPr>
          <w:rFonts w:ascii="Arial" w:cs="Arial" w:eastAsia="Arial" w:hAnsi="Arial"/>
          <w:sz w:val="17"/>
          <w:szCs w:val="17"/>
          <w:u w:val="single" w:color="auto"/>
          <w:color w:val="auto"/>
        </w:rPr>
        <w:t>Sections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(q)</w:t>
      </w:r>
      <w:r>
        <w:rPr>
          <w:rFonts w:ascii="Arial" w:cs="Arial" w:eastAsia="Arial" w:hAnsi="Arial"/>
          <w:sz w:val="17"/>
          <w:szCs w:val="17"/>
          <w:color w:val="auto"/>
        </w:rPr>
        <w:t xml:space="preserve"> of the Credit Agreement, and there are no outstanding warrants, options or other rights to purchase, or shareholder, voting trust or similar agreements outstanding with respect to, or property that is convertible into, or that requires the issuance or sale of, any Pledged Equity Interests.”</w:t>
      </w:r>
    </w:p>
    <w:p>
      <w:pPr>
        <w:spacing w:after="0" w:line="17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8"/>
          <w:szCs w:val="18"/>
          <w:b w:val="1"/>
          <w:bCs w:val="1"/>
          <w:color w:val="auto"/>
        </w:rPr>
        <w:t>CONDITIONS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This Amendment shall become effective as of the first date on which each of the following conditions in this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have been satisfied (the date of satisfaction of such conditions being referred to herein as the </w:t>
      </w:r>
      <w:r>
        <w:rPr>
          <w:rFonts w:ascii="Arial" w:cs="Arial" w:eastAsia="Arial" w:hAnsi="Arial"/>
          <w:sz w:val="18"/>
          <w:szCs w:val="18"/>
          <w:b w:val="1"/>
          <w:bCs w:val="1"/>
          <w:color w:val="auto"/>
        </w:rPr>
        <w:t>“Sixth Amendment Effective Date”</w:t>
      </w:r>
      <w:r>
        <w:rPr>
          <w:rFonts w:ascii="Arial" w:cs="Arial" w:eastAsia="Arial" w:hAnsi="Arial"/>
          <w:sz w:val="18"/>
          <w:szCs w:val="18"/>
          <w:color w:val="auto"/>
        </w:rPr>
        <w:t>):</w:t>
      </w:r>
    </w:p>
    <w:p>
      <w:pPr>
        <w:spacing w:after="0" w:line="166" w:lineRule="exact"/>
        <w:rPr>
          <w:sz w:val="20"/>
          <w:szCs w:val="20"/>
          <w:color w:val="auto"/>
        </w:rPr>
      </w:pPr>
    </w:p>
    <w:p>
      <w:pPr>
        <w:jc w:val="both"/>
        <w:ind w:firstLine="656"/>
        <w:spacing w:after="0" w:line="261" w:lineRule="auto"/>
        <w:tabs>
          <w:tab w:leader="none" w:pos="174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Deliverables to Administrative Agent</w:t>
      </w:r>
      <w:r>
        <w:rPr>
          <w:rFonts w:ascii="Arial" w:cs="Arial" w:eastAsia="Arial" w:hAnsi="Arial"/>
          <w:sz w:val="18"/>
          <w:szCs w:val="18"/>
          <w:color w:val="auto"/>
        </w:rPr>
        <w:t>. The Administrative Agent’s receipt of the following, each of which shall be originals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copies of originals (followed as soon as reasonably practicable by originals) unless otherwise specified, each properly executed by a Responsible Officer of the signing Loan Party, each dated the Sixth Amendment Effective Date and each in form and substance reasonably satisfactory to the Administrative Agent and each of the Lenders:</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i. (a) a counterpart signature page of this Amendment duly executed by each of the Loan Parties, (b) a counterpart signature page of this Amendment duly executed by the Administrative Agent and (c) a counterpart signature page of this Amendment duly executed by the Required Lenders;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2600" w:hanging="1296"/>
        <w:spacing w:after="0"/>
        <w:tabs>
          <w:tab w:leader="none" w:pos="26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certificate signed by a Responsible Officer of the Borrower certifying that as of the Sixth Amendment Effective Date,</w:t>
      </w:r>
    </w:p>
    <w:p>
      <w:pPr>
        <w:spacing w:after="0" w:line="46" w:lineRule="exact"/>
        <w:rPr>
          <w:rFonts w:ascii="Arial" w:cs="Arial" w:eastAsia="Arial" w:hAnsi="Arial"/>
          <w:sz w:val="16"/>
          <w:szCs w:val="16"/>
          <w:color w:val="auto"/>
        </w:rPr>
      </w:pPr>
    </w:p>
    <w:p>
      <w:pPr>
        <w:ind w:left="660" w:hanging="4"/>
        <w:spacing w:after="0" w:line="290" w:lineRule="auto"/>
        <w:tabs>
          <w:tab w:leader="none" w:pos="9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has been no event or circumstance that has had or could be reasonably expected to have, either individually or in the aggregate, a Material Adverse Effect since December 31, 2017 and (b) no Default or Event of Default has occurred and is continuing; and</w:t>
      </w:r>
    </w:p>
    <w:p>
      <w:pPr>
        <w:spacing w:after="0" w:line="161" w:lineRule="exact"/>
        <w:rPr>
          <w:rFonts w:ascii="Arial" w:cs="Arial" w:eastAsia="Arial" w:hAnsi="Arial"/>
          <w:sz w:val="17"/>
          <w:szCs w:val="17"/>
          <w:color w:val="auto"/>
        </w:rPr>
      </w:pPr>
    </w:p>
    <w:p>
      <w:pPr>
        <w:jc w:val="both"/>
        <w:ind w:left="660" w:firstLine="644"/>
        <w:spacing w:after="0" w:line="263" w:lineRule="auto"/>
        <w:tabs>
          <w:tab w:leader="none" w:pos="258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executed copy of the Intercreditor Agreement under and as defined in the 2021 Bridge Facility, and confirmation that the Closing Date under and as defined in the 2021 Bridge Facility shall have occurred or shall occur substantially contemporaneously with the occurrence of the Sixth Amendment Effective Date.</w:t>
      </w:r>
    </w:p>
    <w:p>
      <w:pPr>
        <w:spacing w:after="0" w:line="180" w:lineRule="exact"/>
        <w:rPr>
          <w:sz w:val="20"/>
          <w:szCs w:val="20"/>
          <w:color w:val="auto"/>
        </w:rPr>
      </w:pPr>
    </w:p>
    <w:p>
      <w:pPr>
        <w:ind w:left="1580" w:hanging="924"/>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80" w:firstLine="481"/>
        <w:spacing w:after="0" w:line="259" w:lineRule="auto"/>
        <w:tabs>
          <w:tab w:leader="none" w:pos="15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Administrative Agent shall have received all reasonable and documented out-of-pocket fees and expenses incurred in connection with this Amendment on or prior to the Sixth Amendment Effective Date, including, to the extent invoiced at least three (3) Business Days prior to the Sixth Amendment Effective Date, reimbursement or other payment of all out-of-pocket fees and expenses in each case required to be reimbursed or paid by the Borrower under the Credit Agreement.</w:t>
      </w:r>
    </w:p>
    <w:p>
      <w:pPr>
        <w:spacing w:after="0" w:line="186" w:lineRule="exact"/>
        <w:rPr>
          <w:rFonts w:ascii="Arial" w:cs="Arial" w:eastAsia="Arial" w:hAnsi="Arial"/>
          <w:sz w:val="18"/>
          <w:szCs w:val="18"/>
          <w:color w:val="auto"/>
        </w:rPr>
      </w:pPr>
    </w:p>
    <w:p>
      <w:pPr>
        <w:jc w:val="both"/>
        <w:ind w:left="580" w:firstLine="481"/>
        <w:spacing w:after="0" w:line="263" w:lineRule="auto"/>
        <w:tabs>
          <w:tab w:leader="none" w:pos="16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Borrower a non-refundable payment, for the account of each Lender that has delivered an executed signature page hereto by 5:00 P.M. New York time on the Business Day immediately preceding the Sixth Amendment Effective Date, in an amount equal to $10,000 per each Lender.</w:t>
      </w:r>
    </w:p>
    <w:p>
      <w:pPr>
        <w:spacing w:after="0" w:line="179" w:lineRule="exact"/>
        <w:rPr>
          <w:rFonts w:ascii="Arial" w:cs="Arial" w:eastAsia="Arial" w:hAnsi="Arial"/>
          <w:sz w:val="18"/>
          <w:szCs w:val="18"/>
          <w:color w:val="auto"/>
        </w:rPr>
      </w:pPr>
    </w:p>
    <w:p>
      <w:pPr>
        <w:jc w:val="both"/>
        <w:ind w:firstLine="656"/>
        <w:spacing w:after="0" w:line="261" w:lineRule="auto"/>
        <w:tabs>
          <w:tab w:leader="none" w:pos="1767"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A</w:t>
      </w:r>
      <w:r>
        <w:rPr>
          <w:rFonts w:ascii="Arial" w:cs="Arial" w:eastAsia="Arial" w:hAnsi="Arial"/>
          <w:sz w:val="18"/>
          <w:szCs w:val="18"/>
          <w:b w:val="1"/>
          <w:bCs w:val="1"/>
          <w:color w:val="auto"/>
        </w:rPr>
        <w:t xml:space="preserve">s </w:t>
      </w:r>
      <w:r>
        <w:rPr>
          <w:rFonts w:ascii="Arial" w:cs="Arial" w:eastAsia="Arial" w:hAnsi="Arial"/>
          <w:sz w:val="18"/>
          <w:szCs w:val="18"/>
          <w:color w:val="auto"/>
        </w:rPr>
        <w:t>of the Sixth Amendment Effective Date, no event, circumstance or change shall have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31, 2017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79" w:lineRule="exact"/>
        <w:rPr>
          <w:rFonts w:ascii="Arial" w:cs="Arial" w:eastAsia="Arial" w:hAnsi="Arial"/>
          <w:sz w:val="18"/>
          <w:szCs w:val="18"/>
          <w:color w:val="auto"/>
        </w:rPr>
      </w:pPr>
    </w:p>
    <w:p>
      <w:pPr>
        <w:jc w:val="both"/>
        <w:ind w:firstLine="656"/>
        <w:spacing w:after="0" w:line="266" w:lineRule="auto"/>
        <w:tabs>
          <w:tab w:leader="none" w:pos="165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Each of the representations and warranties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IV</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true and correct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on the Sixth Amendment Effective Date (unless made solely as of a prior date, in which case such representation and warranty was true and correct in all material respects as of such date).</w:t>
      </w:r>
    </w:p>
    <w:p>
      <w:pPr>
        <w:spacing w:after="0" w:line="17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IV.</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Loan Party which is a party hereto represents and warrants to each Lender that the following statements are true and correct in all material respects as of the Sixth Amendment Effective Date:</w:t>
      </w:r>
    </w:p>
    <w:p>
      <w:pPr>
        <w:spacing w:after="0" w:line="166" w:lineRule="exact"/>
        <w:rPr>
          <w:sz w:val="20"/>
          <w:szCs w:val="20"/>
          <w:color w:val="auto"/>
        </w:rPr>
      </w:pPr>
    </w:p>
    <w:p>
      <w:pPr>
        <w:jc w:val="both"/>
        <w:ind w:firstLine="656"/>
        <w:spacing w:after="0" w:line="289" w:lineRule="auto"/>
        <w:tabs>
          <w:tab w:leader="none" w:pos="171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Corporate Power and Authority. </w:t>
      </w:r>
      <w:r>
        <w:rPr>
          <w:rFonts w:ascii="Arial" w:cs="Arial" w:eastAsia="Arial" w:hAnsi="Arial"/>
          <w:sz w:val="17"/>
          <w:szCs w:val="17"/>
          <w:color w:val="auto"/>
        </w:rPr>
        <w:t>Each Loan Party has all requisite power and authority and all requisite governmental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57" w:lineRule="exact"/>
        <w:rPr>
          <w:rFonts w:ascii="Arial" w:cs="Arial" w:eastAsia="Arial" w:hAnsi="Arial"/>
          <w:sz w:val="17"/>
          <w:szCs w:val="17"/>
          <w:color w:val="auto"/>
        </w:rPr>
      </w:pPr>
    </w:p>
    <w:p>
      <w:pPr>
        <w:ind w:firstLine="656"/>
        <w:spacing w:after="0" w:line="282" w:lineRule="auto"/>
        <w:tabs>
          <w:tab w:leader="none" w:pos="17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Authorization of Amendment. </w:t>
      </w:r>
      <w:r>
        <w:rPr>
          <w:rFonts w:ascii="Arial" w:cs="Arial" w:eastAsia="Arial" w:hAnsi="Arial"/>
          <w:sz w:val="18"/>
          <w:szCs w:val="18"/>
          <w:color w:val="auto"/>
        </w:rPr>
        <w:t>The execution, delivery and performance by each Loan Party of this Amendment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all necessary corporate or other organizational 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56"/>
        <w:spacing w:after="0" w:line="274" w:lineRule="auto"/>
        <w:tabs>
          <w:tab w:leader="none" w:pos="1632"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No Conflict. </w:t>
      </w:r>
      <w:r>
        <w:rPr>
          <w:rFonts w:ascii="Arial" w:cs="Arial" w:eastAsia="Arial" w:hAnsi="Arial"/>
          <w:sz w:val="17"/>
          <w:szCs w:val="17"/>
          <w:color w:val="auto"/>
        </w:rPr>
        <w:t>The execution, delivery and performance by each Loan Party of this Amendment do not and will not (i) contravene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173" w:lineRule="exact"/>
        <w:rPr>
          <w:rFonts w:ascii="Arial" w:cs="Arial" w:eastAsia="Arial" w:hAnsi="Arial"/>
          <w:sz w:val="17"/>
          <w:szCs w:val="17"/>
          <w:color w:val="auto"/>
        </w:rPr>
      </w:pPr>
    </w:p>
    <w:p>
      <w:pPr>
        <w:jc w:val="both"/>
        <w:ind w:firstLine="656"/>
        <w:spacing w:after="0" w:line="256" w:lineRule="auto"/>
        <w:tabs>
          <w:tab w:leader="none" w:pos="185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Amendment has been duly executed and delivered by each Loan Party that is party hereto. Each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87" w:lineRule="exact"/>
        <w:rPr>
          <w:rFonts w:ascii="Arial" w:cs="Arial" w:eastAsia="Arial" w:hAnsi="Arial"/>
          <w:sz w:val="18"/>
          <w:szCs w:val="18"/>
          <w:color w:val="auto"/>
        </w:rPr>
      </w:pPr>
    </w:p>
    <w:p>
      <w:pPr>
        <w:jc w:val="both"/>
        <w:ind w:firstLine="656"/>
        <w:spacing w:after="0" w:line="272" w:lineRule="auto"/>
        <w:tabs>
          <w:tab w:leader="none" w:pos="1716"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 Etc</w:t>
      </w:r>
      <w:r>
        <w:rPr>
          <w:rFonts w:ascii="Arial" w:cs="Arial" w:eastAsia="Arial" w:hAnsi="Arial"/>
          <w:sz w:val="17"/>
          <w:szCs w:val="17"/>
          <w:color w:val="auto"/>
        </w:rPr>
        <w:t>. (x) All representations and warranties contained in Article V of the Credit Agreement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true and 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except that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respectively, and the representations and warranties contained in </w:t>
      </w:r>
      <w:r>
        <w:rPr>
          <w:rFonts w:ascii="Arial" w:cs="Arial" w:eastAsia="Arial" w:hAnsi="Arial"/>
          <w:sz w:val="17"/>
          <w:szCs w:val="17"/>
          <w:u w:val="single" w:color="auto"/>
          <w:color w:val="auto"/>
        </w:rPr>
        <w:t>Section 5.05(c)</w:t>
      </w:r>
      <w:r>
        <w:rPr>
          <w:rFonts w:ascii="Arial" w:cs="Arial" w:eastAsia="Arial" w:hAnsi="Arial"/>
          <w:sz w:val="17"/>
          <w:szCs w:val="17"/>
          <w:color w:val="auto"/>
        </w:rPr>
        <w:t xml:space="preserve"> of the Credit Agreement shall be deemed to refer to the statements furnished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of the Credit Agreement with respect to the fiscal year ended December 31, 2017, and (y) no Default has occurred and is continuing.</w:t>
      </w:r>
    </w:p>
    <w:p>
      <w:pPr>
        <w:spacing w:after="0" w:line="17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V.</w:t>
      </w:r>
      <w:r>
        <w:rPr>
          <w:sz w:val="20"/>
          <w:szCs w:val="20"/>
          <w:color w:val="auto"/>
        </w:rPr>
        <w:tab/>
      </w:r>
      <w:r>
        <w:rPr>
          <w:rFonts w:ascii="Arial" w:cs="Arial" w:eastAsia="Arial" w:hAnsi="Arial"/>
          <w:sz w:val="18"/>
          <w:szCs w:val="18"/>
          <w:b w:val="1"/>
          <w:bCs w:val="1"/>
          <w:color w:val="auto"/>
        </w:rPr>
        <w:t>ACKNOWLEDGMENT AND CONSENT OF LOAN PARTIES; REAFFIRMATION OF GUARANTIES AND LIENS</w:t>
      </w:r>
    </w:p>
    <w:p>
      <w:pPr>
        <w:spacing w:after="0" w:line="225" w:lineRule="exact"/>
        <w:rPr>
          <w:sz w:val="20"/>
          <w:szCs w:val="20"/>
          <w:color w:val="auto"/>
        </w:rPr>
      </w:pPr>
    </w:p>
    <w:p>
      <w:pPr>
        <w:ind w:right="20" w:firstLine="656"/>
        <w:spacing w:after="0" w:line="312" w:lineRule="auto"/>
        <w:tabs>
          <w:tab w:leader="none" w:pos="1651" w:val="left"/>
        </w:tabs>
        <w:numPr>
          <w:ilvl w:val="1"/>
          <w:numId w:val="28"/>
        </w:numPr>
        <w:rPr>
          <w:rFonts w:ascii="Arial" w:cs="Arial" w:eastAsia="Arial" w:hAnsi="Arial"/>
          <w:sz w:val="17"/>
          <w:szCs w:val="17"/>
          <w:color w:val="auto"/>
        </w:rPr>
      </w:pPr>
      <w:r>
        <w:rPr>
          <w:rFonts w:ascii="Arial" w:cs="Arial" w:eastAsia="Arial" w:hAnsi="Arial"/>
          <w:sz w:val="17"/>
          <w:szCs w:val="17"/>
          <w:b w:val="1"/>
          <w:bCs w:val="1"/>
          <w:color w:val="auto"/>
        </w:rPr>
        <w:t>Acknowledgment and Consent</w:t>
      </w:r>
      <w:r>
        <w:rPr>
          <w:rFonts w:ascii="Arial" w:cs="Arial" w:eastAsia="Arial" w:hAnsi="Arial"/>
          <w:sz w:val="17"/>
          <w:szCs w:val="17"/>
          <w:color w:val="auto"/>
        </w:rPr>
        <w:t>. Each Loan Party hereby acknowledges that it has reviewed the terms and provisions of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this Amendment and consents to the amendments of the Credit Agreement effected pursuant to this Amendment.</w:t>
      </w:r>
    </w:p>
    <w:p>
      <w:pPr>
        <w:spacing w:after="0" w:line="139" w:lineRule="exact"/>
        <w:rPr>
          <w:rFonts w:ascii="Arial" w:cs="Arial" w:eastAsia="Arial" w:hAnsi="Arial"/>
          <w:sz w:val="17"/>
          <w:szCs w:val="17"/>
          <w:color w:val="auto"/>
        </w:rPr>
      </w:pPr>
    </w:p>
    <w:p>
      <w:pPr>
        <w:jc w:val="both"/>
        <w:ind w:firstLine="656"/>
        <w:spacing w:after="0" w:line="258" w:lineRule="auto"/>
        <w:tabs>
          <w:tab w:leader="none" w:pos="1659"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Guaranty and Lien Reaffirmation. </w:t>
      </w:r>
      <w:r>
        <w:rPr>
          <w:rFonts w:ascii="Arial" w:cs="Arial" w:eastAsia="Arial" w:hAnsi="Arial"/>
          <w:sz w:val="18"/>
          <w:szCs w:val="18"/>
          <w:color w:val="auto"/>
        </w:rPr>
        <w:t>Each Loan Party hereby (i) confirms that each Loan Document (including the Guaranty), both</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726" w:val="left"/>
        </w:tabs>
        <w:numPr>
          <w:ilvl w:val="1"/>
          <w:numId w:val="28"/>
        </w:numPr>
        <w:rPr>
          <w:rFonts w:ascii="Arial" w:cs="Arial" w:eastAsia="Arial" w:hAnsi="Arial"/>
          <w:sz w:val="16"/>
          <w:szCs w:val="16"/>
          <w:color w:val="auto"/>
        </w:rPr>
      </w:pPr>
      <w:r>
        <w:rPr>
          <w:rFonts w:ascii="Arial" w:cs="Arial" w:eastAsia="Arial" w:hAnsi="Arial"/>
          <w:sz w:val="16"/>
          <w:szCs w:val="16"/>
          <w:b w:val="1"/>
          <w:bCs w:val="1"/>
          <w:color w:val="auto"/>
        </w:rPr>
        <w:t>Continuing Effect</w:t>
      </w:r>
      <w:r>
        <w:rPr>
          <w:rFonts w:ascii="Arial" w:cs="Arial" w:eastAsia="Arial" w:hAnsi="Arial"/>
          <w:sz w:val="16"/>
          <w:szCs w:val="16"/>
          <w:color w:val="auto"/>
        </w:rPr>
        <w:t>. Each Loan Party hereby acknowledges and agrees that (i) each Loan Document, both before and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after giving effect to and, if applicable, as amended by this Amendment, to which it is a party or otherwise bound shall continue in full force and effect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of its obligations thereunder shall be valid and enforceable and shall not be impaired or limited by the execution or effectiveness of this Amendment.</w:t>
      </w:r>
    </w:p>
    <w:p>
      <w:pPr>
        <w:spacing w:after="0" w:line="229" w:lineRule="exact"/>
        <w:rPr>
          <w:rFonts w:ascii="Arial" w:cs="Arial" w:eastAsia="Arial" w:hAnsi="Arial"/>
          <w:sz w:val="16"/>
          <w:szCs w:val="16"/>
          <w:color w:val="auto"/>
        </w:rPr>
      </w:pPr>
    </w:p>
    <w:p>
      <w:pPr>
        <w:jc w:val="both"/>
        <w:ind w:firstLine="656"/>
        <w:spacing w:after="0" w:line="266" w:lineRule="auto"/>
        <w:tabs>
          <w:tab w:leader="none" w:pos="1597"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No Filings Necessary</w:t>
      </w:r>
      <w:r>
        <w:rPr>
          <w:rFonts w:ascii="Arial" w:cs="Arial" w:eastAsia="Arial" w:hAnsi="Arial"/>
          <w:sz w:val="18"/>
          <w:szCs w:val="18"/>
          <w:color w:val="auto"/>
        </w:rPr>
        <w:t>. Except as otherwise required herein, each Loan Party hereby confirms that no additional filings or recordings</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be made, and no other actions need to be taken, by such Loan Party in order to maintain the perfection, enforceability or validity of the security interests created pursuant to the Collateral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tabs>
          <w:tab w:leader="none" w:pos="1400" w:val="left"/>
        </w:tabs>
        <w:rPr>
          <w:sz w:val="20"/>
          <w:szCs w:val="20"/>
          <w:color w:val="auto"/>
        </w:rPr>
      </w:pPr>
      <w:r>
        <w:rPr>
          <w:rFonts w:ascii="Arial" w:cs="Arial" w:eastAsia="Arial" w:hAnsi="Arial"/>
          <w:sz w:val="18"/>
          <w:szCs w:val="18"/>
          <w:b w:val="1"/>
          <w:bCs w:val="1"/>
          <w:color w:val="auto"/>
        </w:rPr>
        <w:t>SECTION VI.</w:t>
      </w:r>
      <w:r>
        <w:rPr>
          <w:sz w:val="20"/>
          <w:szCs w:val="20"/>
          <w:color w:val="auto"/>
        </w:rPr>
        <w:tab/>
      </w: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060" w:hanging="404"/>
        <w:spacing w:after="0"/>
        <w:tabs>
          <w:tab w:leader="none" w:pos="10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Credit Agreement and Other Loan Documents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1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and after the Sixth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86" w:lineRule="exact"/>
        <w:rPr>
          <w:rFonts w:ascii="Arial" w:cs="Arial" w:eastAsia="Arial" w:hAnsi="Arial"/>
          <w:sz w:val="18"/>
          <w:szCs w:val="18"/>
          <w:color w:val="auto"/>
        </w:rPr>
      </w:pPr>
    </w:p>
    <w:p>
      <w:pPr>
        <w:ind w:firstLine="656"/>
        <w:spacing w:after="0" w:line="277" w:lineRule="auto"/>
        <w:tabs>
          <w:tab w:leader="none" w:pos="12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the Security Agreement and the other Loan Documents shall remain in full force and effect and are hereby ratified and confirmed.</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1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shall not constitute either (x) a novation of the Credit Agreement, the Security Agreement or any of the other Loan Documents or any obligations thereunder or (y) a waiver of any provision of, or operate as a waiver of any right, power or remedy of any Agent, Lender or L/C Issuer under, the Credit Agreement, the Security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the Security Agreement or any other Loan Document.</w:t>
      </w:r>
    </w:p>
    <w:p>
      <w:pPr>
        <w:spacing w:after="0" w:line="188" w:lineRule="exact"/>
        <w:rPr>
          <w:sz w:val="20"/>
          <w:szCs w:val="20"/>
          <w:color w:val="auto"/>
        </w:rPr>
      </w:pPr>
    </w:p>
    <w:p>
      <w:pPr>
        <w:ind w:left="1100" w:hanging="444"/>
        <w:spacing w:after="0"/>
        <w:tabs>
          <w:tab w:leader="none" w:pos="11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25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this Amendment for any other purpose or be given any substantive effect.</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1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1" w:lineRule="exact"/>
        <w:rPr>
          <w:rFonts w:ascii="Arial" w:cs="Arial" w:eastAsia="Arial" w:hAnsi="Arial"/>
          <w:sz w:val="18"/>
          <w:szCs w:val="18"/>
          <w:b w:val="1"/>
          <w:bCs w:val="1"/>
          <w:color w:val="auto"/>
        </w:rPr>
      </w:pPr>
    </w:p>
    <w:p>
      <w:pPr>
        <w:ind w:right="20" w:firstLine="656"/>
        <w:spacing w:after="0" w:line="312" w:lineRule="auto"/>
        <w:tabs>
          <w:tab w:leader="none" w:pos="108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Submission to Jurisdiction; Waiver of Venue; Service of Process; 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Sections 11.14(b), (c) and (d)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Section 11.15 of the Amended Credit Agreement are hereby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 as if set forth in full herein.</w:t>
      </w:r>
    </w:p>
    <w:p>
      <w:pPr>
        <w:spacing w:after="0" w:line="139" w:lineRule="exact"/>
        <w:rPr>
          <w:rFonts w:ascii="Arial" w:cs="Arial" w:eastAsia="Arial" w:hAnsi="Arial"/>
          <w:sz w:val="17"/>
          <w:szCs w:val="17"/>
          <w:b w:val="1"/>
          <w:bCs w:val="1"/>
          <w:color w:val="auto"/>
        </w:rPr>
      </w:pPr>
    </w:p>
    <w:p>
      <w:pPr>
        <w:jc w:val="both"/>
        <w:ind w:firstLine="656"/>
        <w:spacing w:after="0" w:line="253" w:lineRule="auto"/>
        <w:tabs>
          <w:tab w:leader="none" w:pos="1218"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counterparts (and by different parties hereto in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6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8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CLEARWAY ENERGY OPERATING LLC</w:t>
            </w:r>
          </w:p>
        </w:tc>
      </w:tr>
      <w:tr>
        <w:trPr>
          <w:trHeight w:val="648"/>
        </w:trPr>
        <w:tc>
          <w:tcPr>
            <w:tcW w:w="342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420" w:type="dxa"/>
            <w:vAlign w:val="bottom"/>
          </w:tcPr>
          <w:p>
            <w:pPr>
              <w:spacing w:after="0"/>
              <w:rPr>
                <w:sz w:val="16"/>
                <w:szCs w:val="16"/>
                <w:color w:val="auto"/>
              </w:rPr>
            </w:pPr>
          </w:p>
        </w:tc>
        <w:tc>
          <w:tcPr>
            <w:tcW w:w="26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42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r>
        <w:trPr>
          <w:trHeight w:val="414"/>
        </w:trPr>
        <w:tc>
          <w:tcPr>
            <w:tcW w:w="342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8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2080"/>
              <w:spacing w:after="0"/>
              <w:rPr>
                <w:sz w:val="20"/>
                <w:szCs w:val="20"/>
                <w:color w:val="auto"/>
              </w:rPr>
            </w:pPr>
            <w:r>
              <w:rPr>
                <w:rFonts w:ascii="Arial" w:cs="Arial" w:eastAsia="Arial" w:hAnsi="Arial"/>
                <w:sz w:val="18"/>
                <w:szCs w:val="18"/>
                <w:b w:val="1"/>
                <w:bCs w:val="1"/>
                <w:color w:val="auto"/>
              </w:rPr>
              <w:t>DGPV HOLDING LLC</w:t>
            </w:r>
          </w:p>
        </w:tc>
      </w:tr>
      <w:tr>
        <w:trPr>
          <w:trHeight w:val="648"/>
        </w:trPr>
        <w:tc>
          <w:tcPr>
            <w:tcW w:w="342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420" w:type="dxa"/>
            <w:vAlign w:val="bottom"/>
          </w:tcPr>
          <w:p>
            <w:pPr>
              <w:spacing w:after="0"/>
              <w:rPr>
                <w:sz w:val="16"/>
                <w:szCs w:val="16"/>
                <w:color w:val="auto"/>
              </w:rPr>
            </w:pPr>
          </w:p>
        </w:tc>
        <w:tc>
          <w:tcPr>
            <w:tcW w:w="26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42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450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MARSH LANDING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THERMAL INFRASTRUCTURE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UTAH SOLAR MASTER HOLDCO LLC</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904" w:right="41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WV WIND HOLDINGS LLC</w:t>
      </w: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jc w:val="right"/>
        <w:ind w:right="2119"/>
        <w:spacing w:after="0"/>
        <w:rPr>
          <w:sz w:val="20"/>
          <w:szCs w:val="20"/>
          <w:color w:val="auto"/>
        </w:rPr>
      </w:pPr>
      <w:r>
        <w:rPr>
          <w:rFonts w:ascii="Arial" w:cs="Arial" w:eastAsia="Arial" w:hAnsi="Arial"/>
          <w:sz w:val="18"/>
          <w:szCs w:val="18"/>
          <w:color w:val="auto"/>
        </w:rPr>
        <w:t>Title: Vice President &amp; Treasurer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9" w:name="page20"/>
    <w:bookmarkEnd w:id="19"/>
    <w:p>
      <w:pPr>
        <w:ind w:left="4520"/>
        <w:spacing w:after="0"/>
        <w:rPr>
          <w:sz w:val="20"/>
          <w:szCs w:val="20"/>
          <w:color w:val="auto"/>
        </w:rPr>
      </w:pPr>
      <w:r>
        <w:rPr>
          <w:rFonts w:ascii="Arial" w:cs="Arial" w:eastAsia="Arial" w:hAnsi="Arial"/>
          <w:sz w:val="17"/>
          <w:szCs w:val="17"/>
          <w:b w:val="1"/>
          <w:bCs w:val="1"/>
          <w:color w:val="auto"/>
        </w:rPr>
        <w:t>JPMORGAN CHASE BANK, N.A.,</w:t>
      </w:r>
    </w:p>
    <w:p>
      <w:pPr>
        <w:spacing w:after="0" w:line="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Arina Mavilian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Executive Director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7"/>
          <w:szCs w:val="17"/>
          <w:b w:val="1"/>
          <w:bCs w:val="1"/>
          <w:color w:val="auto"/>
        </w:rPr>
        <w:t>JPMORGAN CHASE BANK, N.A.,</w:t>
      </w:r>
    </w:p>
    <w:p>
      <w:pPr>
        <w:spacing w:after="0" w:line="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Arina Mavilian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Executive Director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Holli Balzer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Holli Balzer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Sydney G. Dennis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Ashwani Khubani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Title: Managing Director / Vice President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 w:name="page25"/>
    <w:bookmarkEnd w:id="24"/>
    <w:p>
      <w:pPr>
        <w:ind w:left="4520"/>
        <w:spacing w:after="0"/>
        <w:rPr>
          <w:sz w:val="20"/>
          <w:szCs w:val="20"/>
          <w:color w:val="auto"/>
        </w:rPr>
      </w:pPr>
      <w:r>
        <w:rPr>
          <w:rFonts w:ascii="Arial" w:cs="Arial" w:eastAsia="Arial" w:hAnsi="Arial"/>
          <w:sz w:val="17"/>
          <w:szCs w:val="17"/>
          <w:b w:val="1"/>
          <w:bCs w:val="1"/>
          <w:color w:val="auto"/>
        </w:rPr>
        <w:t>GOLDMAN SACHS BANK USA,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Dan Martis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5" w:name="page26"/>
    <w:bookmarkEnd w:id="25"/>
    <w:p>
      <w:pPr>
        <w:ind w:left="4500"/>
        <w:spacing w:after="0"/>
        <w:rPr>
          <w:sz w:val="20"/>
          <w:szCs w:val="20"/>
          <w:color w:val="auto"/>
        </w:rPr>
      </w:pPr>
      <w:r>
        <w:rPr>
          <w:rFonts w:ascii="Arial" w:cs="Arial" w:eastAsia="Arial" w:hAnsi="Arial"/>
          <w:sz w:val="17"/>
          <w:szCs w:val="17"/>
          <w:b w:val="1"/>
          <w:bCs w:val="1"/>
          <w:color w:val="auto"/>
        </w:rPr>
        <w:t>CREDIT SUISSE AG, CAYMAN ISLANDS BRANCH,</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Mikhail Faybusovich</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Nawshaer Safi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Nawshaer Safi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6" w:name="page27"/>
    <w:bookmarkEnd w:id="26"/>
    <w:p>
      <w:pPr>
        <w:ind w:left="4520"/>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Renee M. Bonnell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7" w:name="page28"/>
    <w:bookmarkEnd w:id="27"/>
    <w:p>
      <w:pPr>
        <w:ind w:left="45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Rikin Pandya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8" w:name="page29"/>
    <w:bookmarkEnd w:id="28"/>
    <w:p>
      <w:pPr>
        <w:ind w:left="4520"/>
        <w:spacing w:after="0"/>
        <w:rPr>
          <w:sz w:val="20"/>
          <w:szCs w:val="20"/>
          <w:color w:val="auto"/>
        </w:rPr>
      </w:pPr>
      <w:r>
        <w:rPr>
          <w:rFonts w:ascii="Arial" w:cs="Arial" w:eastAsia="Arial" w:hAnsi="Arial"/>
          <w:sz w:val="17"/>
          <w:szCs w:val="17"/>
          <w:b w:val="1"/>
          <w:bCs w:val="1"/>
          <w:color w:val="auto"/>
        </w:rPr>
        <w:t>MUFG UNION BANK, N.A. f/k/a UNION BANK, N.A.,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Hazuki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Hazuki Watanabe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9" w:name="page30"/>
    <w:bookmarkEnd w:id="29"/>
    <w:p>
      <w:pPr>
        <w:ind w:left="4520"/>
        <w:spacing w:after="0"/>
        <w:rPr>
          <w:sz w:val="20"/>
          <w:szCs w:val="20"/>
          <w:color w:val="auto"/>
        </w:rPr>
      </w:pPr>
      <w:r>
        <w:rPr>
          <w:rFonts w:ascii="Arial" w:cs="Arial" w:eastAsia="Arial" w:hAnsi="Arial"/>
          <w:sz w:val="17"/>
          <w:szCs w:val="17"/>
          <w:b w:val="1"/>
          <w:bCs w:val="1"/>
          <w:color w:val="auto"/>
        </w:rPr>
        <w:t>ROYAL BANK OF CANADA,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Lambrinos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10.2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178435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SENIOR SECURED BRIDGE CREDIT AGREEMENT</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November 30, 2021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Borrower,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CLEARWAY ENERGY LLC,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Holdings,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Sole Lead Arranger and Sole Book 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194310</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631825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78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778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38"/>
        </w:trPr>
        <w:tc>
          <w:tcPr>
            <w:tcW w:w="8740" w:type="dxa"/>
            <w:vAlign w:val="bottom"/>
            <w:gridSpan w:val="3"/>
          </w:tcPr>
          <w:p>
            <w:pPr>
              <w:spacing w:after="0"/>
              <w:rPr>
                <w:sz w:val="20"/>
                <w:szCs w:val="20"/>
                <w:color w:val="auto"/>
              </w:rPr>
            </w:pPr>
            <w:r>
              <w:rPr>
                <w:rFonts w:ascii="Arial" w:cs="Arial" w:eastAsia="Arial" w:hAnsi="Arial"/>
                <w:sz w:val="18"/>
                <w:szCs w:val="18"/>
                <w:color w:val="auto"/>
              </w:rPr>
              <w:t>ARTICLE I DEFINITIONS AND 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778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7780" w:type="dxa"/>
            <w:vAlign w:val="bottom"/>
          </w:tcPr>
          <w:p>
            <w:pPr>
              <w:ind w:left="160"/>
              <w:spacing w:after="0"/>
              <w:rPr>
                <w:sz w:val="20"/>
                <w:szCs w:val="20"/>
                <w:color w:val="auto"/>
              </w:rPr>
            </w:pPr>
            <w:r>
              <w:rPr>
                <w:rFonts w:ascii="Arial" w:cs="Arial" w:eastAsia="Arial" w:hAnsi="Arial"/>
                <w:sz w:val="18"/>
                <w:szCs w:val="18"/>
                <w:color w:val="auto"/>
              </w:rPr>
              <w:t>Other Interpretive Provisions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7780" w:type="dxa"/>
            <w:vAlign w:val="bottom"/>
          </w:tcPr>
          <w:p>
            <w:pPr>
              <w:ind w:left="160"/>
              <w:spacing w:after="0"/>
              <w:rPr>
                <w:sz w:val="20"/>
                <w:szCs w:val="20"/>
                <w:color w:val="auto"/>
              </w:rPr>
            </w:pPr>
            <w:r>
              <w:rPr>
                <w:rFonts w:ascii="Arial" w:cs="Arial" w:eastAsia="Arial" w:hAnsi="Arial"/>
                <w:sz w:val="18"/>
                <w:szCs w:val="18"/>
                <w:color w:val="auto"/>
              </w:rPr>
              <w:t>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7780" w:type="dxa"/>
            <w:vAlign w:val="bottom"/>
          </w:tcPr>
          <w:p>
            <w:pPr>
              <w:ind w:left="160"/>
              <w:spacing w:after="0"/>
              <w:rPr>
                <w:sz w:val="20"/>
                <w:szCs w:val="20"/>
                <w:color w:val="auto"/>
              </w:rPr>
            </w:pPr>
            <w:r>
              <w:rPr>
                <w:rFonts w:ascii="Arial" w:cs="Arial" w:eastAsia="Arial" w:hAnsi="Arial"/>
                <w:sz w:val="18"/>
                <w:szCs w:val="18"/>
                <w:color w:val="auto"/>
              </w:rPr>
              <w:t>Rounding</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7780" w:type="dxa"/>
            <w:vAlign w:val="bottom"/>
          </w:tcPr>
          <w:p>
            <w:pPr>
              <w:ind w:left="160"/>
              <w:spacing w:after="0"/>
              <w:rPr>
                <w:sz w:val="20"/>
                <w:szCs w:val="20"/>
                <w:color w:val="auto"/>
              </w:rPr>
            </w:pPr>
            <w:r>
              <w:rPr>
                <w:rFonts w:ascii="Arial" w:cs="Arial" w:eastAsia="Arial" w:hAnsi="Arial"/>
                <w:sz w:val="18"/>
                <w:szCs w:val="18"/>
                <w:color w:val="auto"/>
              </w:rPr>
              <w:t>Times of Day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77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7780" w:type="dxa"/>
            <w:vAlign w:val="bottom"/>
          </w:tcPr>
          <w:p>
            <w:pPr>
              <w:ind w:left="160"/>
              <w:spacing w:after="0"/>
              <w:rPr>
                <w:sz w:val="20"/>
                <w:szCs w:val="20"/>
                <w:color w:val="auto"/>
              </w:rPr>
            </w:pPr>
            <w:r>
              <w:rPr>
                <w:rFonts w:ascii="Arial" w:cs="Arial" w:eastAsia="Arial" w:hAnsi="Arial"/>
                <w:sz w:val="18"/>
                <w:szCs w:val="18"/>
                <w:color w:val="auto"/>
              </w:rPr>
              <w:t>Currency Equivalents Generally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7780" w:type="dxa"/>
            <w:vAlign w:val="bottom"/>
          </w:tcPr>
          <w:p>
            <w:pPr>
              <w:ind w:left="160"/>
              <w:spacing w:after="0"/>
              <w:rPr>
                <w:sz w:val="20"/>
                <w:szCs w:val="20"/>
                <w:color w:val="auto"/>
              </w:rPr>
            </w:pPr>
            <w:r>
              <w:rPr>
                <w:rFonts w:ascii="Arial" w:cs="Arial" w:eastAsia="Arial" w:hAnsi="Arial"/>
                <w:sz w:val="18"/>
                <w:szCs w:val="18"/>
                <w:color w:val="auto"/>
              </w:rPr>
              <w:t>Limited Condition Transaction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8740" w:type="dxa"/>
            <w:vAlign w:val="bottom"/>
            <w:gridSpan w:val="3"/>
          </w:tcPr>
          <w:p>
            <w:pPr>
              <w:spacing w:after="0"/>
              <w:rPr>
                <w:sz w:val="20"/>
                <w:szCs w:val="20"/>
                <w:color w:val="auto"/>
              </w:rPr>
            </w:pPr>
            <w:r>
              <w:rPr>
                <w:rFonts w:ascii="Arial" w:cs="Arial" w:eastAsia="Arial" w:hAnsi="Arial"/>
                <w:sz w:val="18"/>
                <w:szCs w:val="18"/>
                <w:color w:val="auto"/>
              </w:rPr>
              <w:t>ARTICLE II THE COMMITMENTS AND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7780" w:type="dxa"/>
            <w:vAlign w:val="bottom"/>
          </w:tcPr>
          <w:p>
            <w:pPr>
              <w:ind w:left="160"/>
              <w:spacing w:after="0"/>
              <w:rPr>
                <w:sz w:val="20"/>
                <w:szCs w:val="20"/>
                <w:color w:val="auto"/>
              </w:rPr>
            </w:pPr>
            <w:r>
              <w:rPr>
                <w:rFonts w:ascii="Arial" w:cs="Arial" w:eastAsia="Arial" w:hAnsi="Arial"/>
                <w:sz w:val="18"/>
                <w:szCs w:val="18"/>
                <w:color w:val="auto"/>
              </w:rPr>
              <w:t>The Borrowing</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7780" w:type="dxa"/>
            <w:vAlign w:val="bottom"/>
          </w:tcPr>
          <w:p>
            <w:pPr>
              <w:ind w:left="160"/>
              <w:spacing w:after="0"/>
              <w:rPr>
                <w:sz w:val="20"/>
                <w:szCs w:val="20"/>
                <w:color w:val="auto"/>
              </w:rPr>
            </w:pPr>
            <w:r>
              <w:rPr>
                <w:rFonts w:ascii="Arial" w:cs="Arial" w:eastAsia="Arial" w:hAnsi="Arial"/>
                <w:sz w:val="18"/>
                <w:szCs w:val="18"/>
                <w:color w:val="auto"/>
              </w:rPr>
              <w:t>Borrowings, Conversions and Continuations of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77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7780" w:type="dxa"/>
            <w:vAlign w:val="bottom"/>
          </w:tcPr>
          <w:p>
            <w:pPr>
              <w:ind w:left="160"/>
              <w:spacing w:after="0"/>
              <w:rPr>
                <w:sz w:val="20"/>
                <w:szCs w:val="20"/>
                <w:color w:val="auto"/>
              </w:rPr>
            </w:pPr>
            <w:r>
              <w:rPr>
                <w:rFonts w:ascii="Arial" w:cs="Arial" w:eastAsia="Arial" w:hAnsi="Arial"/>
                <w:sz w:val="18"/>
                <w:szCs w:val="18"/>
                <w:color w:val="auto"/>
              </w:rPr>
              <w:t>Prepayments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77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7780" w:type="dxa"/>
            <w:vAlign w:val="bottom"/>
          </w:tcPr>
          <w:p>
            <w:pPr>
              <w:ind w:left="160"/>
              <w:spacing w:after="0"/>
              <w:rPr>
                <w:sz w:val="20"/>
                <w:szCs w:val="20"/>
                <w:color w:val="auto"/>
              </w:rPr>
            </w:pPr>
            <w:r>
              <w:rPr>
                <w:rFonts w:ascii="Arial" w:cs="Arial" w:eastAsia="Arial" w:hAnsi="Arial"/>
                <w:sz w:val="18"/>
                <w:szCs w:val="18"/>
                <w:color w:val="auto"/>
              </w:rPr>
              <w:t>Repayment of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77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7780" w:type="dxa"/>
            <w:vAlign w:val="bottom"/>
          </w:tcPr>
          <w:p>
            <w:pPr>
              <w:ind w:left="160"/>
              <w:spacing w:after="0"/>
              <w:rPr>
                <w:sz w:val="20"/>
                <w:szCs w:val="20"/>
                <w:color w:val="auto"/>
              </w:rPr>
            </w:pPr>
            <w:r>
              <w:rPr>
                <w:rFonts w:ascii="Arial" w:cs="Arial" w:eastAsia="Arial" w:hAnsi="Arial"/>
                <w:sz w:val="18"/>
                <w:szCs w:val="18"/>
                <w:color w:val="auto"/>
              </w:rPr>
              <w:t>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7780" w:type="dxa"/>
            <w:vAlign w:val="bottom"/>
          </w:tcPr>
          <w:p>
            <w:pPr>
              <w:ind w:left="160"/>
              <w:spacing w:after="0"/>
              <w:rPr>
                <w:sz w:val="20"/>
                <w:szCs w:val="20"/>
                <w:color w:val="auto"/>
              </w:rPr>
            </w:pPr>
            <w:r>
              <w:rPr>
                <w:rFonts w:ascii="Arial" w:cs="Arial" w:eastAsia="Arial" w:hAnsi="Arial"/>
                <w:sz w:val="18"/>
                <w:szCs w:val="18"/>
                <w:color w:val="auto"/>
              </w:rPr>
              <w:t>Computation of Interest and 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7780" w:type="dxa"/>
            <w:vAlign w:val="bottom"/>
          </w:tcPr>
          <w:p>
            <w:pPr>
              <w:ind w:left="160"/>
              <w:spacing w:after="0"/>
              <w:rPr>
                <w:sz w:val="20"/>
                <w:szCs w:val="20"/>
                <w:color w:val="auto"/>
              </w:rPr>
            </w:pPr>
            <w:r>
              <w:rPr>
                <w:rFonts w:ascii="Arial" w:cs="Arial" w:eastAsia="Arial" w:hAnsi="Arial"/>
                <w:sz w:val="18"/>
                <w:szCs w:val="18"/>
                <w:color w:val="auto"/>
              </w:rPr>
              <w:t>Evidence of Debt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7780" w:type="dxa"/>
            <w:vAlign w:val="bottom"/>
          </w:tcPr>
          <w:p>
            <w:pPr>
              <w:ind w:left="160"/>
              <w:spacing w:after="0"/>
              <w:rPr>
                <w:sz w:val="20"/>
                <w:szCs w:val="20"/>
                <w:color w:val="auto"/>
              </w:rPr>
            </w:pPr>
            <w:r>
              <w:rPr>
                <w:rFonts w:ascii="Arial" w:cs="Arial" w:eastAsia="Arial" w:hAnsi="Arial"/>
                <w:sz w:val="18"/>
                <w:szCs w:val="18"/>
                <w:color w:val="auto"/>
              </w:rPr>
              <w:t>Payments Generally; Administrative Agent’s Clawback</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7780" w:type="dxa"/>
            <w:vAlign w:val="bottom"/>
          </w:tcPr>
          <w:p>
            <w:pPr>
              <w:ind w:left="160"/>
              <w:spacing w:after="0"/>
              <w:rPr>
                <w:sz w:val="20"/>
                <w:szCs w:val="20"/>
                <w:color w:val="auto"/>
              </w:rPr>
            </w:pPr>
            <w:r>
              <w:rPr>
                <w:rFonts w:ascii="Arial" w:cs="Arial" w:eastAsia="Arial" w:hAnsi="Arial"/>
                <w:sz w:val="18"/>
                <w:szCs w:val="18"/>
                <w:color w:val="auto"/>
              </w:rPr>
              <w:t>Sharing of Payments by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77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7780" w:type="dxa"/>
            <w:vAlign w:val="bottom"/>
          </w:tcPr>
          <w:p>
            <w:pPr>
              <w:ind w:left="160"/>
              <w:spacing w:after="0"/>
              <w:rPr>
                <w:sz w:val="20"/>
                <w:szCs w:val="20"/>
                <w:color w:val="auto"/>
              </w:rPr>
            </w:pPr>
            <w:r>
              <w:rPr>
                <w:rFonts w:ascii="Arial" w:cs="Arial" w:eastAsia="Arial" w:hAnsi="Arial"/>
                <w:sz w:val="18"/>
                <w:szCs w:val="18"/>
                <w:color w:val="auto"/>
              </w:rPr>
              <w:t>Defaulting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8740" w:type="dxa"/>
            <w:vAlign w:val="bottom"/>
            <w:gridSpan w:val="3"/>
          </w:tcPr>
          <w:p>
            <w:pPr>
              <w:spacing w:after="0"/>
              <w:rPr>
                <w:sz w:val="20"/>
                <w:szCs w:val="20"/>
                <w:color w:val="auto"/>
              </w:rPr>
            </w:pPr>
            <w:r>
              <w:rPr>
                <w:rFonts w:ascii="Arial" w:cs="Arial" w:eastAsia="Arial" w:hAnsi="Arial"/>
                <w:sz w:val="18"/>
                <w:szCs w:val="18"/>
                <w:color w:val="auto"/>
              </w:rPr>
              <w:t>ARTICLE III TAXES, YIELD PROTECTION AND 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7780" w:type="dxa"/>
            <w:vAlign w:val="bottom"/>
          </w:tcPr>
          <w:p>
            <w:pPr>
              <w:ind w:left="160"/>
              <w:spacing w:after="0"/>
              <w:rPr>
                <w:sz w:val="20"/>
                <w:szCs w:val="20"/>
                <w:color w:val="auto"/>
              </w:rPr>
            </w:pPr>
            <w:r>
              <w:rPr>
                <w:rFonts w:ascii="Arial" w:cs="Arial" w:eastAsia="Arial" w:hAnsi="Arial"/>
                <w:sz w:val="18"/>
                <w:szCs w:val="18"/>
                <w:color w:val="auto"/>
              </w:rPr>
              <w:t>Taxes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7780" w:type="dxa"/>
            <w:vAlign w:val="bottom"/>
          </w:tcPr>
          <w:p>
            <w:pPr>
              <w:ind w:left="160"/>
              <w:spacing w:after="0"/>
              <w:rPr>
                <w:sz w:val="20"/>
                <w:szCs w:val="20"/>
                <w:color w:val="auto"/>
              </w:rPr>
            </w:pPr>
            <w:r>
              <w:rPr>
                <w:rFonts w:ascii="Arial" w:cs="Arial" w:eastAsia="Arial" w:hAnsi="Arial"/>
                <w:sz w:val="18"/>
                <w:szCs w:val="18"/>
                <w:color w:val="auto"/>
              </w:rPr>
              <w:t>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7780" w:type="dxa"/>
            <w:vAlign w:val="bottom"/>
          </w:tcPr>
          <w:p>
            <w:pPr>
              <w:ind w:left="160"/>
              <w:spacing w:after="0"/>
              <w:rPr>
                <w:sz w:val="20"/>
                <w:szCs w:val="20"/>
                <w:color w:val="auto"/>
              </w:rPr>
            </w:pPr>
            <w:r>
              <w:rPr>
                <w:rFonts w:ascii="Arial" w:cs="Arial" w:eastAsia="Arial" w:hAnsi="Arial"/>
                <w:sz w:val="18"/>
                <w:szCs w:val="18"/>
                <w:color w:val="auto"/>
              </w:rPr>
              <w:t>Inability to Determine Rates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7780" w:type="dxa"/>
            <w:vAlign w:val="bottom"/>
          </w:tcPr>
          <w:p>
            <w:pPr>
              <w:ind w:left="160"/>
              <w:spacing w:after="0"/>
              <w:rPr>
                <w:sz w:val="20"/>
                <w:szCs w:val="20"/>
                <w:color w:val="auto"/>
              </w:rPr>
            </w:pPr>
            <w:r>
              <w:rPr>
                <w:rFonts w:ascii="Arial" w:cs="Arial" w:eastAsia="Arial" w:hAnsi="Arial"/>
                <w:sz w:val="18"/>
                <w:szCs w:val="18"/>
                <w:color w:val="auto"/>
              </w:rPr>
              <w:t>Increased Costs; Reserves on Term SOFR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7780" w:type="dxa"/>
            <w:vAlign w:val="bottom"/>
          </w:tcPr>
          <w:p>
            <w:pPr>
              <w:ind w:left="160"/>
              <w:spacing w:after="0"/>
              <w:rPr>
                <w:sz w:val="20"/>
                <w:szCs w:val="20"/>
                <w:color w:val="auto"/>
              </w:rPr>
            </w:pPr>
            <w:r>
              <w:rPr>
                <w:rFonts w:ascii="Arial" w:cs="Arial" w:eastAsia="Arial" w:hAnsi="Arial"/>
                <w:sz w:val="18"/>
                <w:szCs w:val="18"/>
                <w:color w:val="auto"/>
              </w:rPr>
              <w:t>Compensation for Losses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7780" w:type="dxa"/>
            <w:vAlign w:val="bottom"/>
          </w:tcPr>
          <w:p>
            <w:pPr>
              <w:ind w:left="160"/>
              <w:spacing w:after="0"/>
              <w:rPr>
                <w:sz w:val="20"/>
                <w:szCs w:val="20"/>
                <w:color w:val="auto"/>
              </w:rPr>
            </w:pPr>
            <w:r>
              <w:rPr>
                <w:rFonts w:ascii="Arial" w:cs="Arial" w:eastAsia="Arial" w:hAnsi="Arial"/>
                <w:sz w:val="18"/>
                <w:szCs w:val="18"/>
                <w:color w:val="auto"/>
              </w:rPr>
              <w:t>Mitigation Obligations; Replacement of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7780" w:type="dxa"/>
            <w:vAlign w:val="bottom"/>
          </w:tcPr>
          <w:p>
            <w:pPr>
              <w:ind w:left="160"/>
              <w:spacing w:after="0"/>
              <w:rPr>
                <w:sz w:val="20"/>
                <w:szCs w:val="20"/>
                <w:color w:val="auto"/>
              </w:rPr>
            </w:pPr>
            <w:r>
              <w:rPr>
                <w:rFonts w:ascii="Arial" w:cs="Arial" w:eastAsia="Arial" w:hAnsi="Arial"/>
                <w:sz w:val="18"/>
                <w:szCs w:val="18"/>
                <w:color w:val="auto"/>
              </w:rPr>
              <w:t>Survival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8740" w:type="dxa"/>
            <w:vAlign w:val="bottom"/>
            <w:gridSpan w:val="3"/>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8740" w:type="dxa"/>
            <w:vAlign w:val="bottom"/>
            <w:gridSpan w:val="3"/>
          </w:tcPr>
          <w:p>
            <w:pPr>
              <w:spacing w:after="0"/>
              <w:rPr>
                <w:sz w:val="20"/>
                <w:szCs w:val="20"/>
                <w:color w:val="auto"/>
              </w:rPr>
            </w:pPr>
            <w:r>
              <w:rPr>
                <w:rFonts w:ascii="Arial" w:cs="Arial" w:eastAsia="Arial" w:hAnsi="Arial"/>
                <w:sz w:val="18"/>
                <w:szCs w:val="18"/>
                <w:color w:val="auto"/>
              </w:rPr>
              <w:t>ARTICLE V REPRESENTATIONS AND WARRANTIES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7780" w:type="dxa"/>
            <w:vAlign w:val="bottom"/>
          </w:tcPr>
          <w:p>
            <w:pPr>
              <w:ind w:left="160"/>
              <w:spacing w:after="0"/>
              <w:rPr>
                <w:sz w:val="20"/>
                <w:szCs w:val="20"/>
                <w:color w:val="auto"/>
              </w:rPr>
            </w:pPr>
            <w:r>
              <w:rPr>
                <w:rFonts w:ascii="Arial" w:cs="Arial" w:eastAsia="Arial" w:hAnsi="Arial"/>
                <w:sz w:val="18"/>
                <w:szCs w:val="18"/>
                <w:color w:val="auto"/>
              </w:rPr>
              <w:t>Existence, Qualification and Power</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7780" w:type="dxa"/>
            <w:vAlign w:val="bottom"/>
          </w:tcPr>
          <w:p>
            <w:pPr>
              <w:ind w:left="160"/>
              <w:spacing w:after="0"/>
              <w:rPr>
                <w:sz w:val="20"/>
                <w:szCs w:val="20"/>
                <w:color w:val="auto"/>
              </w:rPr>
            </w:pPr>
            <w:r>
              <w:rPr>
                <w:rFonts w:ascii="Arial" w:cs="Arial" w:eastAsia="Arial" w:hAnsi="Arial"/>
                <w:sz w:val="18"/>
                <w:szCs w:val="18"/>
                <w:color w:val="auto"/>
              </w:rPr>
              <w:t>Authorization; No Contravention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7780" w:type="dxa"/>
            <w:vAlign w:val="bottom"/>
          </w:tcPr>
          <w:p>
            <w:pPr>
              <w:ind w:left="160"/>
              <w:spacing w:after="0"/>
              <w:rPr>
                <w:sz w:val="20"/>
                <w:szCs w:val="20"/>
                <w:color w:val="auto"/>
              </w:rPr>
            </w:pPr>
            <w:r>
              <w:rPr>
                <w:rFonts w:ascii="Arial" w:cs="Arial" w:eastAsia="Arial" w:hAnsi="Arial"/>
                <w:sz w:val="18"/>
                <w:szCs w:val="18"/>
                <w:color w:val="auto"/>
              </w:rPr>
              <w:t>Governmental Authorization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7780" w:type="dxa"/>
            <w:vAlign w:val="bottom"/>
          </w:tcPr>
          <w:p>
            <w:pPr>
              <w:ind w:left="160"/>
              <w:spacing w:after="0"/>
              <w:rPr>
                <w:sz w:val="20"/>
                <w:szCs w:val="20"/>
                <w:color w:val="auto"/>
              </w:rPr>
            </w:pPr>
            <w:r>
              <w:rPr>
                <w:rFonts w:ascii="Arial" w:cs="Arial" w:eastAsia="Arial" w:hAnsi="Arial"/>
                <w:sz w:val="18"/>
                <w:szCs w:val="18"/>
                <w:color w:val="auto"/>
              </w:rPr>
              <w:t>Binding Effect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7780" w:type="dxa"/>
            <w:vAlign w:val="bottom"/>
          </w:tcPr>
          <w:p>
            <w:pPr>
              <w:ind w:left="160"/>
              <w:spacing w:after="0"/>
              <w:rPr>
                <w:sz w:val="20"/>
                <w:szCs w:val="20"/>
                <w:color w:val="auto"/>
              </w:rPr>
            </w:pPr>
            <w:r>
              <w:rPr>
                <w:rFonts w:ascii="Arial" w:cs="Arial" w:eastAsia="Arial" w:hAnsi="Arial"/>
                <w:sz w:val="18"/>
                <w:szCs w:val="18"/>
                <w:color w:val="auto"/>
              </w:rPr>
              <w:t>Financial Statements; No Material Adverse Effect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5.06</w:t>
            </w:r>
          </w:p>
        </w:tc>
        <w:tc>
          <w:tcPr>
            <w:tcW w:w="736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5.07</w:t>
            </w:r>
          </w:p>
        </w:tc>
        <w:tc>
          <w:tcPr>
            <w:tcW w:w="7360" w:type="dxa"/>
            <w:vAlign w:val="bottom"/>
          </w:tcPr>
          <w:p>
            <w:pPr>
              <w:ind w:left="160"/>
              <w:spacing w:after="0"/>
              <w:rPr>
                <w:sz w:val="20"/>
                <w:szCs w:val="20"/>
                <w:color w:val="auto"/>
              </w:rPr>
            </w:pPr>
            <w:r>
              <w:rPr>
                <w:rFonts w:ascii="Arial" w:cs="Arial" w:eastAsia="Arial" w:hAnsi="Arial"/>
                <w:sz w:val="18"/>
                <w:szCs w:val="18"/>
                <w:color w:val="auto"/>
              </w:rPr>
              <w:t>No Default</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7360" w:type="dxa"/>
            <w:vAlign w:val="bottom"/>
          </w:tcPr>
          <w:p>
            <w:pPr>
              <w:ind w:left="160"/>
              <w:spacing w:after="0"/>
              <w:rPr>
                <w:sz w:val="20"/>
                <w:szCs w:val="20"/>
                <w:color w:val="auto"/>
              </w:rPr>
            </w:pPr>
            <w:r>
              <w:rPr>
                <w:rFonts w:ascii="Arial" w:cs="Arial" w:eastAsia="Arial" w:hAnsi="Arial"/>
                <w:sz w:val="18"/>
                <w:szCs w:val="18"/>
                <w:color w:val="auto"/>
              </w:rPr>
              <w:t>Ownership of Properties</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5.09</w:t>
            </w:r>
          </w:p>
        </w:tc>
        <w:tc>
          <w:tcPr>
            <w:tcW w:w="7360" w:type="dxa"/>
            <w:vAlign w:val="bottom"/>
          </w:tcPr>
          <w:p>
            <w:pPr>
              <w:ind w:left="160"/>
              <w:spacing w:after="0"/>
              <w:rPr>
                <w:sz w:val="20"/>
                <w:szCs w:val="20"/>
                <w:color w:val="auto"/>
              </w:rPr>
            </w:pPr>
            <w:r>
              <w:rPr>
                <w:rFonts w:ascii="Arial" w:cs="Arial" w:eastAsia="Arial" w:hAnsi="Arial"/>
                <w:sz w:val="18"/>
                <w:szCs w:val="18"/>
                <w:color w:val="auto"/>
              </w:rPr>
              <w:t>Environmental Compliance</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5.10</w:t>
            </w:r>
          </w:p>
        </w:tc>
        <w:tc>
          <w:tcPr>
            <w:tcW w:w="736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5.11</w:t>
            </w:r>
          </w:p>
        </w:tc>
        <w:tc>
          <w:tcPr>
            <w:tcW w:w="7360" w:type="dxa"/>
            <w:vAlign w:val="bottom"/>
          </w:tcPr>
          <w:p>
            <w:pPr>
              <w:ind w:left="160"/>
              <w:spacing w:after="0"/>
              <w:rPr>
                <w:sz w:val="20"/>
                <w:szCs w:val="20"/>
                <w:color w:val="auto"/>
              </w:rPr>
            </w:pPr>
            <w:r>
              <w:rPr>
                <w:rFonts w:ascii="Arial" w:cs="Arial" w:eastAsia="Arial" w:hAnsi="Arial"/>
                <w:sz w:val="18"/>
                <w:szCs w:val="18"/>
                <w:color w:val="auto"/>
              </w:rPr>
              <w:t>Taxes</w:t>
            </w:r>
          </w:p>
        </w:tc>
        <w:tc>
          <w:tcPr>
            <w:tcW w:w="2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5.12</w:t>
            </w:r>
          </w:p>
        </w:tc>
        <w:tc>
          <w:tcPr>
            <w:tcW w:w="7360" w:type="dxa"/>
            <w:vAlign w:val="bottom"/>
          </w:tcPr>
          <w:p>
            <w:pPr>
              <w:ind w:left="160"/>
              <w:spacing w:after="0"/>
              <w:rPr>
                <w:sz w:val="20"/>
                <w:szCs w:val="20"/>
                <w:color w:val="auto"/>
              </w:rPr>
            </w:pPr>
            <w:r>
              <w:rPr>
                <w:rFonts w:ascii="Arial" w:cs="Arial" w:eastAsia="Arial" w:hAnsi="Arial"/>
                <w:sz w:val="18"/>
                <w:szCs w:val="18"/>
                <w:color w:val="auto"/>
              </w:rPr>
              <w:t>ERISA Compliance</w:t>
            </w:r>
          </w:p>
        </w:tc>
        <w:tc>
          <w:tcPr>
            <w:tcW w:w="2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5.13</w:t>
            </w:r>
          </w:p>
        </w:tc>
        <w:tc>
          <w:tcPr>
            <w:tcW w:w="7360" w:type="dxa"/>
            <w:vAlign w:val="bottom"/>
          </w:tcPr>
          <w:p>
            <w:pPr>
              <w:ind w:left="160"/>
              <w:spacing w:after="0"/>
              <w:rPr>
                <w:sz w:val="20"/>
                <w:szCs w:val="20"/>
                <w:color w:val="auto"/>
              </w:rPr>
            </w:pPr>
            <w:r>
              <w:rPr>
                <w:rFonts w:ascii="Arial" w:cs="Arial" w:eastAsia="Arial" w:hAnsi="Arial"/>
                <w:sz w:val="18"/>
                <w:szCs w:val="18"/>
                <w:color w:val="auto"/>
              </w:rPr>
              <w:t>Subsidiaries; Equity Interests; Loan Parties</w:t>
            </w:r>
          </w:p>
        </w:tc>
        <w:tc>
          <w:tcPr>
            <w:tcW w:w="2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5.14</w:t>
            </w:r>
          </w:p>
        </w:tc>
        <w:tc>
          <w:tcPr>
            <w:tcW w:w="7360" w:type="dxa"/>
            <w:vAlign w:val="bottom"/>
          </w:tcPr>
          <w:p>
            <w:pPr>
              <w:ind w:left="160"/>
              <w:spacing w:after="0"/>
              <w:rPr>
                <w:sz w:val="20"/>
                <w:szCs w:val="20"/>
                <w:color w:val="auto"/>
              </w:rPr>
            </w:pPr>
            <w:r>
              <w:rPr>
                <w:rFonts w:ascii="Arial" w:cs="Arial" w:eastAsia="Arial" w:hAnsi="Arial"/>
                <w:sz w:val="18"/>
                <w:szCs w:val="18"/>
                <w:color w:val="auto"/>
              </w:rPr>
              <w:t>Margin Regulations; Investment Company Act</w:t>
            </w:r>
          </w:p>
        </w:tc>
        <w:tc>
          <w:tcPr>
            <w:tcW w:w="2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5.15</w:t>
            </w:r>
          </w:p>
        </w:tc>
        <w:tc>
          <w:tcPr>
            <w:tcW w:w="7360" w:type="dxa"/>
            <w:vAlign w:val="bottom"/>
          </w:tcPr>
          <w:p>
            <w:pPr>
              <w:ind w:left="160"/>
              <w:spacing w:after="0"/>
              <w:rPr>
                <w:sz w:val="20"/>
                <w:szCs w:val="20"/>
                <w:color w:val="auto"/>
              </w:rPr>
            </w:pPr>
            <w:r>
              <w:rPr>
                <w:rFonts w:ascii="Arial" w:cs="Arial" w:eastAsia="Arial" w:hAnsi="Arial"/>
                <w:sz w:val="18"/>
                <w:szCs w:val="18"/>
                <w:color w:val="auto"/>
              </w:rPr>
              <w:t>Disclosure</w:t>
            </w:r>
          </w:p>
        </w:tc>
        <w:tc>
          <w:tcPr>
            <w:tcW w:w="2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5.16</w:t>
            </w:r>
          </w:p>
        </w:tc>
        <w:tc>
          <w:tcPr>
            <w:tcW w:w="736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5.17</w:t>
            </w:r>
          </w:p>
        </w:tc>
        <w:tc>
          <w:tcPr>
            <w:tcW w:w="7360" w:type="dxa"/>
            <w:vAlign w:val="bottom"/>
          </w:tcPr>
          <w:p>
            <w:pPr>
              <w:ind w:left="160"/>
              <w:spacing w:after="0"/>
              <w:rPr>
                <w:sz w:val="20"/>
                <w:szCs w:val="20"/>
                <w:color w:val="auto"/>
              </w:rPr>
            </w:pPr>
            <w:r>
              <w:rPr>
                <w:rFonts w:ascii="Arial" w:cs="Arial" w:eastAsia="Arial" w:hAnsi="Arial"/>
                <w:sz w:val="18"/>
                <w:szCs w:val="18"/>
                <w:color w:val="auto"/>
              </w:rPr>
              <w:t>Energy Regulatory Matters</w:t>
            </w:r>
          </w:p>
        </w:tc>
        <w:tc>
          <w:tcPr>
            <w:tcW w:w="2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5.18</w:t>
            </w:r>
          </w:p>
        </w:tc>
        <w:tc>
          <w:tcPr>
            <w:tcW w:w="7360" w:type="dxa"/>
            <w:vAlign w:val="bottom"/>
          </w:tcPr>
          <w:p>
            <w:pPr>
              <w:ind w:left="160"/>
              <w:spacing w:after="0"/>
              <w:rPr>
                <w:sz w:val="20"/>
                <w:szCs w:val="20"/>
                <w:color w:val="auto"/>
              </w:rPr>
            </w:pPr>
            <w:r>
              <w:rPr>
                <w:rFonts w:ascii="Arial" w:cs="Arial" w:eastAsia="Arial" w:hAnsi="Arial"/>
                <w:sz w:val="18"/>
                <w:szCs w:val="18"/>
                <w:color w:val="auto"/>
              </w:rPr>
              <w:t>Intellectual Property; Licenses, Etc.</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5.19</w:t>
            </w:r>
          </w:p>
        </w:tc>
        <w:tc>
          <w:tcPr>
            <w:tcW w:w="7360" w:type="dxa"/>
            <w:vAlign w:val="bottom"/>
          </w:tcPr>
          <w:p>
            <w:pPr>
              <w:ind w:left="160"/>
              <w:spacing w:after="0"/>
              <w:rPr>
                <w:sz w:val="20"/>
                <w:szCs w:val="20"/>
                <w:color w:val="auto"/>
              </w:rPr>
            </w:pPr>
            <w:r>
              <w:rPr>
                <w:rFonts w:ascii="Arial" w:cs="Arial" w:eastAsia="Arial" w:hAnsi="Arial"/>
                <w:sz w:val="18"/>
                <w:szCs w:val="18"/>
                <w:color w:val="auto"/>
              </w:rPr>
              <w:t>Solvency</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5.20</w:t>
            </w:r>
          </w:p>
        </w:tc>
        <w:tc>
          <w:tcPr>
            <w:tcW w:w="7360" w:type="dxa"/>
            <w:vAlign w:val="bottom"/>
          </w:tcPr>
          <w:p>
            <w:pPr>
              <w:ind w:left="160"/>
              <w:spacing w:after="0"/>
              <w:rPr>
                <w:sz w:val="20"/>
                <w:szCs w:val="20"/>
                <w:color w:val="auto"/>
              </w:rPr>
            </w:pPr>
            <w:r>
              <w:rPr>
                <w:rFonts w:ascii="Arial" w:cs="Arial" w:eastAsia="Arial" w:hAnsi="Arial"/>
                <w:sz w:val="18"/>
                <w:szCs w:val="18"/>
                <w:color w:val="auto"/>
              </w:rPr>
              <w:t>Casualty, Etc.</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5.21</w:t>
            </w:r>
          </w:p>
        </w:tc>
        <w:tc>
          <w:tcPr>
            <w:tcW w:w="7360" w:type="dxa"/>
            <w:vAlign w:val="bottom"/>
          </w:tcPr>
          <w:p>
            <w:pPr>
              <w:ind w:left="160"/>
              <w:spacing w:after="0"/>
              <w:rPr>
                <w:sz w:val="20"/>
                <w:szCs w:val="20"/>
                <w:color w:val="auto"/>
              </w:rPr>
            </w:pPr>
            <w:r>
              <w:rPr>
                <w:rFonts w:ascii="Arial" w:cs="Arial" w:eastAsia="Arial" w:hAnsi="Arial"/>
                <w:sz w:val="18"/>
                <w:szCs w:val="18"/>
                <w:color w:val="auto"/>
              </w:rPr>
              <w:t>Labor Matters</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5.22</w:t>
            </w:r>
          </w:p>
        </w:tc>
        <w:tc>
          <w:tcPr>
            <w:tcW w:w="7360" w:type="dxa"/>
            <w:vAlign w:val="bottom"/>
          </w:tcPr>
          <w:p>
            <w:pPr>
              <w:ind w:left="160"/>
              <w:spacing w:after="0"/>
              <w:rPr>
                <w:sz w:val="20"/>
                <w:szCs w:val="20"/>
                <w:color w:val="auto"/>
              </w:rPr>
            </w:pPr>
            <w:r>
              <w:rPr>
                <w:rFonts w:ascii="Arial" w:cs="Arial" w:eastAsia="Arial" w:hAnsi="Arial"/>
                <w:sz w:val="18"/>
                <w:szCs w:val="18"/>
                <w:color w:val="auto"/>
              </w:rPr>
              <w:t>Collateral Documents</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5.23</w:t>
            </w:r>
          </w:p>
        </w:tc>
        <w:tc>
          <w:tcPr>
            <w:tcW w:w="7360" w:type="dxa"/>
            <w:vAlign w:val="bottom"/>
          </w:tcPr>
          <w:p>
            <w:pPr>
              <w:ind w:left="160"/>
              <w:spacing w:after="0"/>
              <w:rPr>
                <w:sz w:val="20"/>
                <w:szCs w:val="20"/>
                <w:color w:val="auto"/>
              </w:rPr>
            </w:pPr>
            <w:r>
              <w:rPr>
                <w:rFonts w:ascii="Arial" w:cs="Arial" w:eastAsia="Arial" w:hAnsi="Arial"/>
                <w:sz w:val="18"/>
                <w:szCs w:val="18"/>
                <w:color w:val="auto"/>
              </w:rPr>
              <w:t>Anti-Corruption Laws and Sanctions</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5.24</w:t>
            </w:r>
          </w:p>
        </w:tc>
        <w:tc>
          <w:tcPr>
            <w:tcW w:w="736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5.25</w:t>
            </w:r>
          </w:p>
        </w:tc>
        <w:tc>
          <w:tcPr>
            <w:tcW w:w="7360" w:type="dxa"/>
            <w:vAlign w:val="bottom"/>
          </w:tcPr>
          <w:p>
            <w:pPr>
              <w:ind w:left="160"/>
              <w:spacing w:after="0"/>
              <w:rPr>
                <w:sz w:val="20"/>
                <w:szCs w:val="20"/>
                <w:color w:val="auto"/>
              </w:rPr>
            </w:pPr>
            <w:r>
              <w:rPr>
                <w:rFonts w:ascii="Arial" w:cs="Arial" w:eastAsia="Arial" w:hAnsi="Arial"/>
                <w:sz w:val="18"/>
                <w:szCs w:val="18"/>
                <w:color w:val="auto"/>
              </w:rPr>
              <w:t>PATRIOT Act, Etc.</w:t>
            </w:r>
          </w:p>
        </w:tc>
        <w:tc>
          <w:tcPr>
            <w:tcW w:w="2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2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6.01</w:t>
            </w:r>
          </w:p>
        </w:tc>
        <w:tc>
          <w:tcPr>
            <w:tcW w:w="736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6.02</w:t>
            </w:r>
          </w:p>
        </w:tc>
        <w:tc>
          <w:tcPr>
            <w:tcW w:w="7360" w:type="dxa"/>
            <w:vAlign w:val="bottom"/>
          </w:tcPr>
          <w:p>
            <w:pPr>
              <w:ind w:left="160"/>
              <w:spacing w:after="0"/>
              <w:rPr>
                <w:sz w:val="20"/>
                <w:szCs w:val="20"/>
                <w:color w:val="auto"/>
              </w:rPr>
            </w:pPr>
            <w:r>
              <w:rPr>
                <w:rFonts w:ascii="Arial" w:cs="Arial" w:eastAsia="Arial" w:hAnsi="Arial"/>
                <w:sz w:val="18"/>
                <w:szCs w:val="18"/>
                <w:color w:val="auto"/>
              </w:rPr>
              <w:t>Certificates; Other Information</w:t>
            </w:r>
          </w:p>
        </w:tc>
        <w:tc>
          <w:tcPr>
            <w:tcW w:w="2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6.03</w:t>
            </w:r>
          </w:p>
        </w:tc>
        <w:tc>
          <w:tcPr>
            <w:tcW w:w="7360" w:type="dxa"/>
            <w:vAlign w:val="bottom"/>
          </w:tcPr>
          <w:p>
            <w:pPr>
              <w:ind w:left="160"/>
              <w:spacing w:after="0"/>
              <w:rPr>
                <w:sz w:val="20"/>
                <w:szCs w:val="20"/>
                <w:color w:val="auto"/>
              </w:rPr>
            </w:pPr>
            <w:r>
              <w:rPr>
                <w:rFonts w:ascii="Arial" w:cs="Arial" w:eastAsia="Arial" w:hAnsi="Arial"/>
                <w:sz w:val="18"/>
                <w:szCs w:val="18"/>
                <w:color w:val="auto"/>
              </w:rPr>
              <w:t>Notices</w:t>
            </w:r>
          </w:p>
        </w:tc>
        <w:tc>
          <w:tcPr>
            <w:tcW w:w="2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6.04</w:t>
            </w:r>
          </w:p>
        </w:tc>
        <w:tc>
          <w:tcPr>
            <w:tcW w:w="7360" w:type="dxa"/>
            <w:vAlign w:val="bottom"/>
          </w:tcPr>
          <w:p>
            <w:pPr>
              <w:ind w:left="160"/>
              <w:spacing w:after="0"/>
              <w:rPr>
                <w:sz w:val="20"/>
                <w:szCs w:val="20"/>
                <w:color w:val="auto"/>
              </w:rPr>
            </w:pPr>
            <w:r>
              <w:rPr>
                <w:rFonts w:ascii="Arial" w:cs="Arial" w:eastAsia="Arial" w:hAnsi="Arial"/>
                <w:sz w:val="18"/>
                <w:szCs w:val="18"/>
                <w:color w:val="auto"/>
              </w:rPr>
              <w:t>Payment of Obligations</w:t>
            </w:r>
          </w:p>
        </w:tc>
        <w:tc>
          <w:tcPr>
            <w:tcW w:w="2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6.05</w:t>
            </w:r>
          </w:p>
        </w:tc>
        <w:tc>
          <w:tcPr>
            <w:tcW w:w="7360" w:type="dxa"/>
            <w:vAlign w:val="bottom"/>
          </w:tcPr>
          <w:p>
            <w:pPr>
              <w:ind w:left="160"/>
              <w:spacing w:after="0"/>
              <w:rPr>
                <w:sz w:val="20"/>
                <w:szCs w:val="20"/>
                <w:color w:val="auto"/>
              </w:rPr>
            </w:pPr>
            <w:r>
              <w:rPr>
                <w:rFonts w:ascii="Arial" w:cs="Arial" w:eastAsia="Arial" w:hAnsi="Arial"/>
                <w:sz w:val="18"/>
                <w:szCs w:val="18"/>
                <w:color w:val="auto"/>
              </w:rPr>
              <w:t>Preservation of Existence, Etc.</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6.06</w:t>
            </w:r>
          </w:p>
        </w:tc>
        <w:tc>
          <w:tcPr>
            <w:tcW w:w="7360" w:type="dxa"/>
            <w:vAlign w:val="bottom"/>
          </w:tcPr>
          <w:p>
            <w:pPr>
              <w:ind w:left="160"/>
              <w:spacing w:after="0"/>
              <w:rPr>
                <w:sz w:val="20"/>
                <w:szCs w:val="20"/>
                <w:color w:val="auto"/>
              </w:rPr>
            </w:pPr>
            <w:r>
              <w:rPr>
                <w:rFonts w:ascii="Arial" w:cs="Arial" w:eastAsia="Arial" w:hAnsi="Arial"/>
                <w:sz w:val="18"/>
                <w:szCs w:val="18"/>
                <w:color w:val="auto"/>
              </w:rPr>
              <w:t>Maintenance of Properties</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6.07</w:t>
            </w:r>
          </w:p>
        </w:tc>
        <w:tc>
          <w:tcPr>
            <w:tcW w:w="7360" w:type="dxa"/>
            <w:vAlign w:val="bottom"/>
          </w:tcPr>
          <w:p>
            <w:pPr>
              <w:ind w:left="160"/>
              <w:spacing w:after="0"/>
              <w:rPr>
                <w:sz w:val="20"/>
                <w:szCs w:val="20"/>
                <w:color w:val="auto"/>
              </w:rPr>
            </w:pPr>
            <w:r>
              <w:rPr>
                <w:rFonts w:ascii="Arial" w:cs="Arial" w:eastAsia="Arial" w:hAnsi="Arial"/>
                <w:sz w:val="18"/>
                <w:szCs w:val="18"/>
                <w:color w:val="auto"/>
              </w:rPr>
              <w:t>Maintenance of Insurance</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6.08</w:t>
            </w:r>
          </w:p>
        </w:tc>
        <w:tc>
          <w:tcPr>
            <w:tcW w:w="736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6.09</w:t>
            </w:r>
          </w:p>
        </w:tc>
        <w:tc>
          <w:tcPr>
            <w:tcW w:w="736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7360" w:type="dxa"/>
            <w:vAlign w:val="bottom"/>
          </w:tcPr>
          <w:p>
            <w:pPr>
              <w:ind w:left="160"/>
              <w:spacing w:after="0"/>
              <w:rPr>
                <w:sz w:val="20"/>
                <w:szCs w:val="20"/>
                <w:color w:val="auto"/>
              </w:rPr>
            </w:pPr>
            <w:r>
              <w:rPr>
                <w:rFonts w:ascii="Arial" w:cs="Arial" w:eastAsia="Arial" w:hAnsi="Arial"/>
                <w:sz w:val="18"/>
                <w:szCs w:val="18"/>
                <w:color w:val="auto"/>
              </w:rPr>
              <w:t>Inspection Rights</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6.11</w:t>
            </w:r>
          </w:p>
        </w:tc>
        <w:tc>
          <w:tcPr>
            <w:tcW w:w="736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2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6.12</w:t>
            </w:r>
          </w:p>
        </w:tc>
        <w:tc>
          <w:tcPr>
            <w:tcW w:w="7360" w:type="dxa"/>
            <w:vAlign w:val="bottom"/>
          </w:tcPr>
          <w:p>
            <w:pPr>
              <w:ind w:left="160"/>
              <w:spacing w:after="0"/>
              <w:rPr>
                <w:sz w:val="20"/>
                <w:szCs w:val="20"/>
                <w:color w:val="auto"/>
              </w:rPr>
            </w:pPr>
            <w:r>
              <w:rPr>
                <w:rFonts w:ascii="Arial" w:cs="Arial" w:eastAsia="Arial" w:hAnsi="Arial"/>
                <w:sz w:val="18"/>
                <w:szCs w:val="18"/>
                <w:color w:val="auto"/>
              </w:rPr>
              <w:t>Covenant to Give Security</w:t>
            </w:r>
          </w:p>
        </w:tc>
        <w:tc>
          <w:tcPr>
            <w:tcW w:w="2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6.13</w:t>
            </w:r>
          </w:p>
        </w:tc>
        <w:tc>
          <w:tcPr>
            <w:tcW w:w="7360" w:type="dxa"/>
            <w:vAlign w:val="bottom"/>
          </w:tcPr>
          <w:p>
            <w:pPr>
              <w:ind w:left="160"/>
              <w:spacing w:after="0"/>
              <w:rPr>
                <w:sz w:val="20"/>
                <w:szCs w:val="20"/>
                <w:color w:val="auto"/>
              </w:rPr>
            </w:pPr>
            <w:r>
              <w:rPr>
                <w:rFonts w:ascii="Arial" w:cs="Arial" w:eastAsia="Arial" w:hAnsi="Arial"/>
                <w:sz w:val="18"/>
                <w:szCs w:val="18"/>
                <w:color w:val="auto"/>
              </w:rPr>
              <w:t>Compliance with Environmental Law</w:t>
            </w:r>
          </w:p>
        </w:tc>
        <w:tc>
          <w:tcPr>
            <w:tcW w:w="2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6.14</w:t>
            </w:r>
          </w:p>
        </w:tc>
        <w:tc>
          <w:tcPr>
            <w:tcW w:w="736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6.15</w:t>
            </w:r>
          </w:p>
        </w:tc>
        <w:tc>
          <w:tcPr>
            <w:tcW w:w="7360" w:type="dxa"/>
            <w:vAlign w:val="bottom"/>
          </w:tcPr>
          <w:p>
            <w:pPr>
              <w:ind w:left="160"/>
              <w:spacing w:after="0"/>
              <w:rPr>
                <w:sz w:val="20"/>
                <w:szCs w:val="20"/>
                <w:color w:val="auto"/>
              </w:rPr>
            </w:pPr>
            <w:r>
              <w:rPr>
                <w:rFonts w:ascii="Arial" w:cs="Arial" w:eastAsia="Arial" w:hAnsi="Arial"/>
                <w:sz w:val="18"/>
                <w:szCs w:val="18"/>
                <w:color w:val="auto"/>
              </w:rPr>
              <w:t>Maintenance of Energy Regulatory Authorizations and Status</w:t>
            </w:r>
          </w:p>
        </w:tc>
        <w:tc>
          <w:tcPr>
            <w:tcW w:w="2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2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7.01</w:t>
            </w:r>
          </w:p>
        </w:tc>
        <w:tc>
          <w:tcPr>
            <w:tcW w:w="7360" w:type="dxa"/>
            <w:vAlign w:val="bottom"/>
          </w:tcPr>
          <w:p>
            <w:pPr>
              <w:ind w:left="160"/>
              <w:spacing w:after="0"/>
              <w:rPr>
                <w:sz w:val="20"/>
                <w:szCs w:val="20"/>
                <w:color w:val="auto"/>
              </w:rPr>
            </w:pPr>
            <w:r>
              <w:rPr>
                <w:rFonts w:ascii="Arial" w:cs="Arial" w:eastAsia="Arial" w:hAnsi="Arial"/>
                <w:sz w:val="18"/>
                <w:szCs w:val="18"/>
                <w:color w:val="auto"/>
              </w:rPr>
              <w:t>Liens</w:t>
            </w:r>
          </w:p>
        </w:tc>
        <w:tc>
          <w:tcPr>
            <w:tcW w:w="2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7.02</w:t>
            </w:r>
          </w:p>
        </w:tc>
        <w:tc>
          <w:tcPr>
            <w:tcW w:w="7360" w:type="dxa"/>
            <w:vAlign w:val="bottom"/>
          </w:tcPr>
          <w:p>
            <w:pPr>
              <w:ind w:left="160"/>
              <w:spacing w:after="0"/>
              <w:rPr>
                <w:sz w:val="20"/>
                <w:szCs w:val="20"/>
                <w:color w:val="auto"/>
              </w:rPr>
            </w:pPr>
            <w:r>
              <w:rPr>
                <w:rFonts w:ascii="Arial" w:cs="Arial" w:eastAsia="Arial" w:hAnsi="Arial"/>
                <w:sz w:val="18"/>
                <w:szCs w:val="18"/>
                <w:color w:val="auto"/>
              </w:rPr>
              <w:t>Indebtedness</w:t>
            </w:r>
          </w:p>
        </w:tc>
        <w:tc>
          <w:tcPr>
            <w:tcW w:w="2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7.03</w:t>
            </w:r>
          </w:p>
        </w:tc>
        <w:tc>
          <w:tcPr>
            <w:tcW w:w="736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2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7.04</w:t>
            </w:r>
          </w:p>
        </w:tc>
        <w:tc>
          <w:tcPr>
            <w:tcW w:w="7360" w:type="dxa"/>
            <w:vAlign w:val="bottom"/>
          </w:tcPr>
          <w:p>
            <w:pPr>
              <w:ind w:left="160"/>
              <w:spacing w:after="0"/>
              <w:rPr>
                <w:sz w:val="20"/>
                <w:szCs w:val="20"/>
                <w:color w:val="auto"/>
              </w:rPr>
            </w:pPr>
            <w:r>
              <w:rPr>
                <w:rFonts w:ascii="Arial" w:cs="Arial" w:eastAsia="Arial" w:hAnsi="Arial"/>
                <w:sz w:val="18"/>
                <w:szCs w:val="18"/>
                <w:color w:val="auto"/>
              </w:rPr>
              <w:t>Fundamental Changes</w:t>
            </w:r>
          </w:p>
        </w:tc>
        <w:tc>
          <w:tcPr>
            <w:tcW w:w="2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7.05</w:t>
            </w:r>
          </w:p>
        </w:tc>
        <w:tc>
          <w:tcPr>
            <w:tcW w:w="736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2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7.06</w:t>
            </w:r>
          </w:p>
        </w:tc>
        <w:tc>
          <w:tcPr>
            <w:tcW w:w="736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2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7.07</w:t>
            </w:r>
          </w:p>
        </w:tc>
        <w:tc>
          <w:tcPr>
            <w:tcW w:w="7360" w:type="dxa"/>
            <w:vAlign w:val="bottom"/>
          </w:tcPr>
          <w:p>
            <w:pPr>
              <w:ind w:left="160"/>
              <w:spacing w:after="0"/>
              <w:rPr>
                <w:sz w:val="20"/>
                <w:szCs w:val="20"/>
                <w:color w:val="auto"/>
              </w:rPr>
            </w:pPr>
            <w:r>
              <w:rPr>
                <w:rFonts w:ascii="Arial" w:cs="Arial" w:eastAsia="Arial" w:hAnsi="Arial"/>
                <w:sz w:val="18"/>
                <w:szCs w:val="18"/>
                <w:color w:val="auto"/>
              </w:rPr>
              <w:t>Change in Nature of Business</w:t>
            </w:r>
          </w:p>
        </w:tc>
        <w:tc>
          <w:tcPr>
            <w:tcW w:w="29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7.08</w:t>
            </w:r>
          </w:p>
        </w:tc>
        <w:tc>
          <w:tcPr>
            <w:tcW w:w="736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296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7.09</w:t>
            </w:r>
          </w:p>
        </w:tc>
        <w:tc>
          <w:tcPr>
            <w:tcW w:w="7700" w:type="dxa"/>
            <w:vAlign w:val="bottom"/>
          </w:tcPr>
          <w:p>
            <w:pPr>
              <w:ind w:left="120"/>
              <w:spacing w:after="0"/>
              <w:rPr>
                <w:sz w:val="20"/>
                <w:szCs w:val="20"/>
                <w:color w:val="auto"/>
              </w:rPr>
            </w:pPr>
            <w:r>
              <w:rPr>
                <w:rFonts w:ascii="Arial" w:cs="Arial" w:eastAsia="Arial" w:hAnsi="Arial"/>
                <w:sz w:val="18"/>
                <w:szCs w:val="18"/>
                <w:color w:val="auto"/>
              </w:rPr>
              <w:t>Burdensome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7.10</w:t>
            </w:r>
          </w:p>
        </w:tc>
        <w:tc>
          <w:tcPr>
            <w:tcW w:w="77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7.11</w:t>
            </w:r>
          </w:p>
        </w:tc>
        <w:tc>
          <w:tcPr>
            <w:tcW w:w="7700" w:type="dxa"/>
            <w:vAlign w:val="bottom"/>
          </w:tcPr>
          <w:p>
            <w:pPr>
              <w:ind w:left="120"/>
              <w:spacing w:after="0"/>
              <w:rPr>
                <w:sz w:val="20"/>
                <w:szCs w:val="20"/>
                <w:color w:val="auto"/>
              </w:rPr>
            </w:pPr>
            <w:r>
              <w:rPr>
                <w:rFonts w:ascii="Arial" w:cs="Arial" w:eastAsia="Arial" w:hAnsi="Arial"/>
                <w:sz w:val="18"/>
                <w:szCs w:val="18"/>
                <w:color w:val="auto"/>
              </w:rPr>
              <w:t>Financial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7.12</w:t>
            </w:r>
          </w:p>
        </w:tc>
        <w:tc>
          <w:tcPr>
            <w:tcW w:w="7700" w:type="dxa"/>
            <w:vAlign w:val="bottom"/>
          </w:tcPr>
          <w:p>
            <w:pPr>
              <w:ind w:left="120"/>
              <w:spacing w:after="0"/>
              <w:rPr>
                <w:sz w:val="20"/>
                <w:szCs w:val="20"/>
                <w:color w:val="auto"/>
              </w:rPr>
            </w:pPr>
            <w:r>
              <w:rPr>
                <w:rFonts w:ascii="Arial" w:cs="Arial" w:eastAsia="Arial" w:hAnsi="Arial"/>
                <w:sz w:val="18"/>
                <w:szCs w:val="18"/>
                <w:color w:val="auto"/>
              </w:rPr>
              <w:t>Sanctions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7.13</w:t>
            </w:r>
          </w:p>
        </w:tc>
        <w:tc>
          <w:tcPr>
            <w:tcW w:w="7700" w:type="dxa"/>
            <w:vAlign w:val="bottom"/>
          </w:tcPr>
          <w:p>
            <w:pPr>
              <w:ind w:left="120"/>
              <w:spacing w:after="0"/>
              <w:rPr>
                <w:sz w:val="20"/>
                <w:szCs w:val="20"/>
                <w:color w:val="auto"/>
              </w:rPr>
            </w:pPr>
            <w:r>
              <w:rPr>
                <w:rFonts w:ascii="Arial" w:cs="Arial" w:eastAsia="Arial" w:hAnsi="Arial"/>
                <w:sz w:val="18"/>
                <w:szCs w:val="18"/>
                <w:color w:val="auto"/>
              </w:rPr>
              <w:t>Amendments of Organization Documents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7.14</w:t>
            </w:r>
          </w:p>
        </w:tc>
        <w:tc>
          <w:tcPr>
            <w:tcW w:w="7700" w:type="dxa"/>
            <w:vAlign w:val="bottom"/>
          </w:tcPr>
          <w:p>
            <w:pPr>
              <w:ind w:left="120"/>
              <w:spacing w:after="0"/>
              <w:rPr>
                <w:sz w:val="20"/>
                <w:szCs w:val="20"/>
                <w:color w:val="auto"/>
              </w:rPr>
            </w:pPr>
            <w:r>
              <w:rPr>
                <w:rFonts w:ascii="Arial" w:cs="Arial" w:eastAsia="Arial" w:hAnsi="Arial"/>
                <w:sz w:val="18"/>
                <w:szCs w:val="18"/>
                <w:color w:val="auto"/>
              </w:rPr>
              <w:t>Accounting Changes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7.15</w:t>
            </w:r>
          </w:p>
        </w:tc>
        <w:tc>
          <w:tcPr>
            <w:tcW w:w="7700" w:type="dxa"/>
            <w:vAlign w:val="bottom"/>
          </w:tcPr>
          <w:p>
            <w:pPr>
              <w:ind w:left="120"/>
              <w:spacing w:after="0"/>
              <w:rPr>
                <w:sz w:val="20"/>
                <w:szCs w:val="20"/>
                <w:color w:val="auto"/>
              </w:rPr>
            </w:pPr>
            <w:r>
              <w:rPr>
                <w:rFonts w:ascii="Arial" w:cs="Arial" w:eastAsia="Arial" w:hAnsi="Arial"/>
                <w:sz w:val="18"/>
                <w:szCs w:val="18"/>
                <w:color w:val="auto"/>
              </w:rPr>
              <w:t>Prepayments, Etc. of Indebtedness</w:t>
            </w:r>
          </w:p>
        </w:tc>
        <w:tc>
          <w:tcPr>
            <w:tcW w:w="2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7.16</w:t>
            </w:r>
          </w:p>
        </w:tc>
        <w:tc>
          <w:tcPr>
            <w:tcW w:w="770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7.17</w:t>
            </w:r>
          </w:p>
        </w:tc>
        <w:tc>
          <w:tcPr>
            <w:tcW w:w="7700" w:type="dxa"/>
            <w:vAlign w:val="bottom"/>
          </w:tcPr>
          <w:p>
            <w:pPr>
              <w:ind w:left="120"/>
              <w:spacing w:after="0"/>
              <w:rPr>
                <w:sz w:val="20"/>
                <w:szCs w:val="20"/>
                <w:color w:val="auto"/>
              </w:rPr>
            </w:pPr>
            <w:r>
              <w:rPr>
                <w:rFonts w:ascii="Arial" w:cs="Arial" w:eastAsia="Arial" w:hAnsi="Arial"/>
                <w:sz w:val="18"/>
                <w:szCs w:val="18"/>
                <w:color w:val="auto"/>
              </w:rPr>
              <w:t>Holding Company</w:t>
            </w:r>
          </w:p>
        </w:tc>
        <w:tc>
          <w:tcPr>
            <w:tcW w:w="2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7.18</w:t>
            </w:r>
          </w:p>
        </w:tc>
        <w:tc>
          <w:tcPr>
            <w:tcW w:w="7700" w:type="dxa"/>
            <w:vAlign w:val="bottom"/>
          </w:tcPr>
          <w:p>
            <w:pPr>
              <w:ind w:left="120"/>
              <w:spacing w:after="0"/>
              <w:rPr>
                <w:sz w:val="20"/>
                <w:szCs w:val="20"/>
                <w:color w:val="auto"/>
              </w:rPr>
            </w:pPr>
            <w:r>
              <w:rPr>
                <w:rFonts w:ascii="Arial" w:cs="Arial" w:eastAsia="Arial" w:hAnsi="Arial"/>
                <w:sz w:val="18"/>
                <w:szCs w:val="18"/>
                <w:color w:val="auto"/>
              </w:rPr>
              <w:t>Swap Contracts</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7.19</w:t>
            </w:r>
          </w:p>
        </w:tc>
        <w:tc>
          <w:tcPr>
            <w:tcW w:w="7700" w:type="dxa"/>
            <w:vAlign w:val="bottom"/>
          </w:tcPr>
          <w:p>
            <w:pPr>
              <w:ind w:left="120"/>
              <w:spacing w:after="0"/>
              <w:rPr>
                <w:sz w:val="20"/>
                <w:szCs w:val="20"/>
                <w:color w:val="auto"/>
              </w:rPr>
            </w:pPr>
            <w:r>
              <w:rPr>
                <w:rFonts w:ascii="Arial" w:cs="Arial" w:eastAsia="Arial" w:hAnsi="Arial"/>
                <w:sz w:val="18"/>
                <w:szCs w:val="18"/>
                <w:color w:val="auto"/>
              </w:rPr>
              <w:t>Sales and Lease-Backs</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7.20</w:t>
            </w:r>
          </w:p>
        </w:tc>
        <w:tc>
          <w:tcPr>
            <w:tcW w:w="7700" w:type="dxa"/>
            <w:vAlign w:val="bottom"/>
          </w:tcPr>
          <w:p>
            <w:pPr>
              <w:ind w:left="120"/>
              <w:spacing w:after="0"/>
              <w:rPr>
                <w:sz w:val="20"/>
                <w:szCs w:val="20"/>
                <w:color w:val="auto"/>
              </w:rPr>
            </w:pPr>
            <w:r>
              <w:rPr>
                <w:rFonts w:ascii="Arial" w:cs="Arial" w:eastAsia="Arial" w:hAnsi="Arial"/>
                <w:sz w:val="18"/>
                <w:szCs w:val="18"/>
                <w:color w:val="auto"/>
              </w:rPr>
              <w:t>Permitted Tax Equity Credit Support</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8.01</w:t>
            </w:r>
          </w:p>
        </w:tc>
        <w:tc>
          <w:tcPr>
            <w:tcW w:w="770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8.02</w:t>
            </w:r>
          </w:p>
        </w:tc>
        <w:tc>
          <w:tcPr>
            <w:tcW w:w="7700" w:type="dxa"/>
            <w:vAlign w:val="bottom"/>
          </w:tcPr>
          <w:p>
            <w:pPr>
              <w:ind w:left="120"/>
              <w:spacing w:after="0"/>
              <w:rPr>
                <w:sz w:val="20"/>
                <w:szCs w:val="20"/>
                <w:color w:val="auto"/>
              </w:rPr>
            </w:pPr>
            <w:r>
              <w:rPr>
                <w:rFonts w:ascii="Arial" w:cs="Arial" w:eastAsia="Arial" w:hAnsi="Arial"/>
                <w:sz w:val="18"/>
                <w:szCs w:val="18"/>
                <w:color w:val="auto"/>
              </w:rPr>
              <w:t>Remedies upon Event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8.03</w:t>
            </w:r>
          </w:p>
        </w:tc>
        <w:tc>
          <w:tcPr>
            <w:tcW w:w="7700" w:type="dxa"/>
            <w:vAlign w:val="bottom"/>
          </w:tcPr>
          <w:p>
            <w:pPr>
              <w:ind w:left="120"/>
              <w:spacing w:after="0"/>
              <w:rPr>
                <w:sz w:val="20"/>
                <w:szCs w:val="20"/>
                <w:color w:val="auto"/>
              </w:rPr>
            </w:pPr>
            <w:r>
              <w:rPr>
                <w:rFonts w:ascii="Arial" w:cs="Arial" w:eastAsia="Arial" w:hAnsi="Arial"/>
                <w:sz w:val="18"/>
                <w:szCs w:val="18"/>
                <w:color w:val="auto"/>
              </w:rPr>
              <w:t>Application of Funds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2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9.01</w:t>
            </w:r>
          </w:p>
        </w:tc>
        <w:tc>
          <w:tcPr>
            <w:tcW w:w="7700" w:type="dxa"/>
            <w:vAlign w:val="bottom"/>
          </w:tcPr>
          <w:p>
            <w:pPr>
              <w:ind w:left="120"/>
              <w:spacing w:after="0"/>
              <w:rPr>
                <w:sz w:val="20"/>
                <w:szCs w:val="20"/>
                <w:color w:val="auto"/>
              </w:rPr>
            </w:pPr>
            <w:r>
              <w:rPr>
                <w:rFonts w:ascii="Arial" w:cs="Arial" w:eastAsia="Arial" w:hAnsi="Arial"/>
                <w:sz w:val="18"/>
                <w:szCs w:val="18"/>
                <w:color w:val="auto"/>
              </w:rPr>
              <w:t>Appointment and Authority</w:t>
            </w:r>
          </w:p>
        </w:tc>
        <w:tc>
          <w:tcPr>
            <w:tcW w:w="2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9.02</w:t>
            </w:r>
          </w:p>
        </w:tc>
        <w:tc>
          <w:tcPr>
            <w:tcW w:w="7700" w:type="dxa"/>
            <w:vAlign w:val="bottom"/>
          </w:tcPr>
          <w:p>
            <w:pPr>
              <w:ind w:left="120"/>
              <w:spacing w:after="0"/>
              <w:rPr>
                <w:sz w:val="20"/>
                <w:szCs w:val="20"/>
                <w:color w:val="auto"/>
              </w:rPr>
            </w:pPr>
            <w:r>
              <w:rPr>
                <w:rFonts w:ascii="Arial" w:cs="Arial" w:eastAsia="Arial" w:hAnsi="Arial"/>
                <w:sz w:val="18"/>
                <w:szCs w:val="18"/>
                <w:color w:val="auto"/>
              </w:rPr>
              <w:t>Rights as a Lender</w:t>
            </w:r>
          </w:p>
        </w:tc>
        <w:tc>
          <w:tcPr>
            <w:tcW w:w="2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9.03</w:t>
            </w:r>
          </w:p>
        </w:tc>
        <w:tc>
          <w:tcPr>
            <w:tcW w:w="770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9.04</w:t>
            </w:r>
          </w:p>
        </w:tc>
        <w:tc>
          <w:tcPr>
            <w:tcW w:w="7700" w:type="dxa"/>
            <w:vAlign w:val="bottom"/>
          </w:tcPr>
          <w:p>
            <w:pPr>
              <w:ind w:left="120"/>
              <w:spacing w:after="0"/>
              <w:rPr>
                <w:sz w:val="20"/>
                <w:szCs w:val="20"/>
                <w:color w:val="auto"/>
              </w:rPr>
            </w:pPr>
            <w:r>
              <w:rPr>
                <w:rFonts w:ascii="Arial" w:cs="Arial" w:eastAsia="Arial" w:hAnsi="Arial"/>
                <w:sz w:val="18"/>
                <w:szCs w:val="18"/>
                <w:color w:val="auto"/>
              </w:rPr>
              <w:t>Reliance by Administrative Agent; Indemnification, Etc.</w:t>
            </w:r>
          </w:p>
        </w:tc>
        <w:tc>
          <w:tcPr>
            <w:tcW w:w="2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9.05</w:t>
            </w:r>
          </w:p>
        </w:tc>
        <w:tc>
          <w:tcPr>
            <w:tcW w:w="770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9.06</w:t>
            </w:r>
          </w:p>
        </w:tc>
        <w:tc>
          <w:tcPr>
            <w:tcW w:w="7700" w:type="dxa"/>
            <w:vAlign w:val="bottom"/>
          </w:tcPr>
          <w:p>
            <w:pPr>
              <w:ind w:left="120"/>
              <w:spacing w:after="0"/>
              <w:rPr>
                <w:sz w:val="20"/>
                <w:szCs w:val="20"/>
                <w:color w:val="auto"/>
              </w:rPr>
            </w:pPr>
            <w:r>
              <w:rPr>
                <w:rFonts w:ascii="Arial" w:cs="Arial" w:eastAsia="Arial" w:hAnsi="Arial"/>
                <w:sz w:val="18"/>
                <w:szCs w:val="18"/>
                <w:color w:val="auto"/>
              </w:rPr>
              <w:t>Resignation of Administrative Agent</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9.07</w:t>
            </w:r>
          </w:p>
        </w:tc>
        <w:tc>
          <w:tcPr>
            <w:tcW w:w="7700" w:type="dxa"/>
            <w:vAlign w:val="bottom"/>
          </w:tcPr>
          <w:p>
            <w:pPr>
              <w:ind w:left="120"/>
              <w:spacing w:after="0"/>
              <w:rPr>
                <w:sz w:val="20"/>
                <w:szCs w:val="20"/>
                <w:color w:val="auto"/>
              </w:rPr>
            </w:pPr>
            <w:r>
              <w:rPr>
                <w:rFonts w:ascii="Arial" w:cs="Arial" w:eastAsia="Arial" w:hAnsi="Arial"/>
                <w:sz w:val="18"/>
                <w:szCs w:val="18"/>
                <w:color w:val="auto"/>
              </w:rPr>
              <w:t>Non-Reliance on Administrative Agent and Other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9.08</w:t>
            </w:r>
          </w:p>
        </w:tc>
        <w:tc>
          <w:tcPr>
            <w:tcW w:w="7700" w:type="dxa"/>
            <w:vAlign w:val="bottom"/>
          </w:tcPr>
          <w:p>
            <w:pPr>
              <w:ind w:left="120"/>
              <w:spacing w:after="0"/>
              <w:rPr>
                <w:sz w:val="20"/>
                <w:szCs w:val="20"/>
                <w:color w:val="auto"/>
              </w:rPr>
            </w:pPr>
            <w:r>
              <w:rPr>
                <w:rFonts w:ascii="Arial" w:cs="Arial" w:eastAsia="Arial" w:hAnsi="Arial"/>
                <w:sz w:val="18"/>
                <w:szCs w:val="18"/>
                <w:color w:val="auto"/>
              </w:rPr>
              <w:t>No Other Duties,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9.09</w:t>
            </w:r>
          </w:p>
        </w:tc>
        <w:tc>
          <w:tcPr>
            <w:tcW w:w="7700" w:type="dxa"/>
            <w:vAlign w:val="bottom"/>
          </w:tcPr>
          <w:p>
            <w:pPr>
              <w:ind w:left="120"/>
              <w:spacing w:after="0"/>
              <w:rPr>
                <w:sz w:val="20"/>
                <w:szCs w:val="20"/>
                <w:color w:val="auto"/>
              </w:rPr>
            </w:pPr>
            <w:r>
              <w:rPr>
                <w:rFonts w:ascii="Arial" w:cs="Arial" w:eastAsia="Arial" w:hAnsi="Arial"/>
                <w:sz w:val="18"/>
                <w:szCs w:val="18"/>
                <w:color w:val="auto"/>
              </w:rPr>
              <w:t>Administrative Agent May File Proofs of Claim</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9.10</w:t>
            </w:r>
          </w:p>
        </w:tc>
        <w:tc>
          <w:tcPr>
            <w:tcW w:w="7700" w:type="dxa"/>
            <w:vAlign w:val="bottom"/>
          </w:tcPr>
          <w:p>
            <w:pPr>
              <w:ind w:left="120"/>
              <w:spacing w:after="0"/>
              <w:rPr>
                <w:sz w:val="20"/>
                <w:szCs w:val="20"/>
                <w:color w:val="auto"/>
              </w:rPr>
            </w:pPr>
            <w:r>
              <w:rPr>
                <w:rFonts w:ascii="Arial" w:cs="Arial" w:eastAsia="Arial" w:hAnsi="Arial"/>
                <w:sz w:val="18"/>
                <w:szCs w:val="18"/>
                <w:color w:val="auto"/>
              </w:rPr>
              <w:t>Collateral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9.11</w:t>
            </w:r>
          </w:p>
        </w:tc>
        <w:tc>
          <w:tcPr>
            <w:tcW w:w="7700" w:type="dxa"/>
            <w:vAlign w:val="bottom"/>
          </w:tcPr>
          <w:p>
            <w:pPr>
              <w:ind w:left="120"/>
              <w:spacing w:after="0"/>
              <w:rPr>
                <w:sz w:val="20"/>
                <w:szCs w:val="20"/>
                <w:color w:val="auto"/>
              </w:rPr>
            </w:pPr>
            <w:r>
              <w:rPr>
                <w:rFonts w:ascii="Arial" w:cs="Arial" w:eastAsia="Arial" w:hAnsi="Arial"/>
                <w:sz w:val="18"/>
                <w:szCs w:val="18"/>
                <w:color w:val="auto"/>
              </w:rPr>
              <w:t>Secured Cash Management Agreements and Secured Hedge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9.12</w:t>
            </w:r>
          </w:p>
        </w:tc>
        <w:tc>
          <w:tcPr>
            <w:tcW w:w="7700" w:type="dxa"/>
            <w:vAlign w:val="bottom"/>
          </w:tcPr>
          <w:p>
            <w:pPr>
              <w:ind w:left="120"/>
              <w:spacing w:after="0"/>
              <w:rPr>
                <w:sz w:val="20"/>
                <w:szCs w:val="20"/>
                <w:color w:val="auto"/>
              </w:rPr>
            </w:pPr>
            <w:r>
              <w:rPr>
                <w:rFonts w:ascii="Arial" w:cs="Arial" w:eastAsia="Arial" w:hAnsi="Arial"/>
                <w:sz w:val="18"/>
                <w:szCs w:val="18"/>
                <w:color w:val="auto"/>
              </w:rPr>
              <w:t>Certain ERISA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9.13</w:t>
            </w:r>
          </w:p>
        </w:tc>
        <w:tc>
          <w:tcPr>
            <w:tcW w:w="7700" w:type="dxa"/>
            <w:vAlign w:val="bottom"/>
          </w:tcPr>
          <w:p>
            <w:pPr>
              <w:ind w:left="120"/>
              <w:spacing w:after="0"/>
              <w:rPr>
                <w:sz w:val="20"/>
                <w:szCs w:val="20"/>
                <w:color w:val="auto"/>
              </w:rPr>
            </w:pPr>
            <w:r>
              <w:rPr>
                <w:rFonts w:ascii="Arial" w:cs="Arial" w:eastAsia="Arial" w:hAnsi="Arial"/>
                <w:sz w:val="18"/>
                <w:szCs w:val="18"/>
                <w:color w:val="auto"/>
              </w:rPr>
              <w:t>Erroneous 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color w:val="auto"/>
              </w:rPr>
              <w:t>ARTICLE X CONTINUING GUARANTY</w:t>
            </w:r>
          </w:p>
        </w:tc>
        <w:tc>
          <w:tcPr>
            <w:tcW w:w="2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10.01</w:t>
            </w:r>
          </w:p>
        </w:tc>
        <w:tc>
          <w:tcPr>
            <w:tcW w:w="7700" w:type="dxa"/>
            <w:vAlign w:val="bottom"/>
          </w:tcPr>
          <w:p>
            <w:pPr>
              <w:ind w:left="120"/>
              <w:spacing w:after="0"/>
              <w:rPr>
                <w:sz w:val="20"/>
                <w:szCs w:val="20"/>
                <w:color w:val="auto"/>
              </w:rPr>
            </w:pPr>
            <w:r>
              <w:rPr>
                <w:rFonts w:ascii="Arial" w:cs="Arial" w:eastAsia="Arial" w:hAnsi="Arial"/>
                <w:sz w:val="18"/>
                <w:szCs w:val="18"/>
                <w:color w:val="auto"/>
              </w:rPr>
              <w:t>Guarantee of Secured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10.02</w:t>
            </w:r>
          </w:p>
        </w:tc>
        <w:tc>
          <w:tcPr>
            <w:tcW w:w="7700" w:type="dxa"/>
            <w:vAlign w:val="bottom"/>
          </w:tcPr>
          <w:p>
            <w:pPr>
              <w:ind w:left="120"/>
              <w:spacing w:after="0"/>
              <w:rPr>
                <w:sz w:val="20"/>
                <w:szCs w:val="20"/>
                <w:color w:val="auto"/>
              </w:rPr>
            </w:pPr>
            <w:r>
              <w:rPr>
                <w:rFonts w:ascii="Arial" w:cs="Arial" w:eastAsia="Arial" w:hAnsi="Arial"/>
                <w:sz w:val="18"/>
                <w:szCs w:val="18"/>
                <w:color w:val="auto"/>
              </w:rPr>
              <w:t>Limitation on Obligations Guaranteed</w:t>
            </w:r>
          </w:p>
        </w:tc>
        <w:tc>
          <w:tcPr>
            <w:tcW w:w="26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10.03</w:t>
            </w:r>
          </w:p>
        </w:tc>
        <w:tc>
          <w:tcPr>
            <w:tcW w:w="7700" w:type="dxa"/>
            <w:vAlign w:val="bottom"/>
          </w:tcPr>
          <w:p>
            <w:pPr>
              <w:ind w:left="120"/>
              <w:spacing w:after="0"/>
              <w:rPr>
                <w:sz w:val="20"/>
                <w:szCs w:val="20"/>
                <w:color w:val="auto"/>
              </w:rPr>
            </w:pPr>
            <w:r>
              <w:rPr>
                <w:rFonts w:ascii="Arial" w:cs="Arial" w:eastAsia="Arial" w:hAnsi="Arial"/>
                <w:sz w:val="18"/>
                <w:szCs w:val="18"/>
                <w:color w:val="auto"/>
              </w:rPr>
              <w:t>Nature of Guarantee; Continuing Guarantee; Waivers of Defenses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10.04</w:t>
            </w:r>
          </w:p>
        </w:tc>
        <w:tc>
          <w:tcPr>
            <w:tcW w:w="7700" w:type="dxa"/>
            <w:vAlign w:val="bottom"/>
          </w:tcPr>
          <w:p>
            <w:pPr>
              <w:ind w:left="120"/>
              <w:spacing w:after="0"/>
              <w:rPr>
                <w:sz w:val="20"/>
                <w:szCs w:val="20"/>
                <w:color w:val="auto"/>
              </w:rPr>
            </w:pPr>
            <w:r>
              <w:rPr>
                <w:rFonts w:ascii="Arial" w:cs="Arial" w:eastAsia="Arial" w:hAnsi="Arial"/>
                <w:sz w:val="18"/>
                <w:szCs w:val="18"/>
                <w:color w:val="auto"/>
              </w:rPr>
              <w:t>Rights of Reimbursement, Contribution and Subrogation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10.05</w:t>
            </w:r>
          </w:p>
        </w:tc>
        <w:tc>
          <w:tcPr>
            <w:tcW w:w="770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10.06</w:t>
            </w:r>
          </w:p>
        </w:tc>
        <w:tc>
          <w:tcPr>
            <w:tcW w:w="7700" w:type="dxa"/>
            <w:vAlign w:val="bottom"/>
          </w:tcPr>
          <w:p>
            <w:pPr>
              <w:ind w:left="120"/>
              <w:spacing w:after="0"/>
              <w:rPr>
                <w:sz w:val="20"/>
                <w:szCs w:val="20"/>
                <w:color w:val="auto"/>
              </w:rPr>
            </w:pPr>
            <w:r>
              <w:rPr>
                <w:rFonts w:ascii="Arial" w:cs="Arial" w:eastAsia="Arial" w:hAnsi="Arial"/>
                <w:sz w:val="18"/>
                <w:szCs w:val="18"/>
                <w:color w:val="auto"/>
              </w:rPr>
              <w:t>Subordination of Other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10.07</w:t>
            </w:r>
          </w:p>
        </w:tc>
        <w:tc>
          <w:tcPr>
            <w:tcW w:w="7700" w:type="dxa"/>
            <w:vAlign w:val="bottom"/>
          </w:tcPr>
          <w:p>
            <w:pPr>
              <w:ind w:left="120"/>
              <w:spacing w:after="0"/>
              <w:rPr>
                <w:sz w:val="20"/>
                <w:szCs w:val="20"/>
                <w:color w:val="auto"/>
              </w:rPr>
            </w:pPr>
            <w:r>
              <w:rPr>
                <w:rFonts w:ascii="Arial" w:cs="Arial" w:eastAsia="Arial" w:hAnsi="Arial"/>
                <w:sz w:val="18"/>
                <w:szCs w:val="18"/>
                <w:color w:val="auto"/>
              </w:rPr>
              <w:t>Financial Condition of Borrower and Guarantors</w:t>
            </w:r>
          </w:p>
        </w:tc>
        <w:tc>
          <w:tcPr>
            <w:tcW w:w="2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10.08</w:t>
            </w:r>
          </w:p>
        </w:tc>
        <w:tc>
          <w:tcPr>
            <w:tcW w:w="7700" w:type="dxa"/>
            <w:vAlign w:val="bottom"/>
          </w:tcPr>
          <w:p>
            <w:pPr>
              <w:ind w:left="120"/>
              <w:spacing w:after="0"/>
              <w:rPr>
                <w:sz w:val="20"/>
                <w:szCs w:val="20"/>
                <w:color w:val="auto"/>
              </w:rPr>
            </w:pPr>
            <w:r>
              <w:rPr>
                <w:rFonts w:ascii="Arial" w:cs="Arial" w:eastAsia="Arial" w:hAnsi="Arial"/>
                <w:sz w:val="18"/>
                <w:szCs w:val="18"/>
                <w:color w:val="auto"/>
              </w:rPr>
              <w:t>Bankruptcy, Etc.</w:t>
            </w:r>
          </w:p>
        </w:tc>
        <w:tc>
          <w:tcPr>
            <w:tcW w:w="2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10.09</w:t>
            </w:r>
          </w:p>
        </w:tc>
        <w:tc>
          <w:tcPr>
            <w:tcW w:w="7700" w:type="dxa"/>
            <w:vAlign w:val="bottom"/>
          </w:tcPr>
          <w:p>
            <w:pPr>
              <w:ind w:left="120"/>
              <w:spacing w:after="0"/>
              <w:rPr>
                <w:sz w:val="20"/>
                <w:szCs w:val="20"/>
                <w:color w:val="auto"/>
              </w:rPr>
            </w:pPr>
            <w:r>
              <w:rPr>
                <w:rFonts w:ascii="Arial" w:cs="Arial" w:eastAsia="Arial" w:hAnsi="Arial"/>
                <w:sz w:val="18"/>
                <w:szCs w:val="18"/>
                <w:color w:val="auto"/>
              </w:rPr>
              <w:t>Duration of Guaranty</w:t>
            </w:r>
          </w:p>
        </w:tc>
        <w:tc>
          <w:tcPr>
            <w:tcW w:w="2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10.10</w:t>
            </w:r>
          </w:p>
        </w:tc>
        <w:tc>
          <w:tcPr>
            <w:tcW w:w="770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2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920" w:type="dxa"/>
            <w:vAlign w:val="bottom"/>
          </w:tcPr>
          <w:p>
            <w:pPr>
              <w:jc w:val="center"/>
              <w:ind w:left="190"/>
              <w:spacing w:after="0"/>
              <w:rPr>
                <w:sz w:val="20"/>
                <w:szCs w:val="20"/>
                <w:color w:val="auto"/>
              </w:rPr>
            </w:pPr>
            <w:r>
              <w:rPr>
                <w:rFonts w:ascii="Arial" w:cs="Arial" w:eastAsia="Arial" w:hAnsi="Arial"/>
                <w:sz w:val="18"/>
                <w:szCs w:val="18"/>
                <w:color w:val="auto"/>
                <w:w w:val="88"/>
              </w:rPr>
              <w:t>10.11</w:t>
            </w:r>
          </w:p>
        </w:tc>
        <w:tc>
          <w:tcPr>
            <w:tcW w:w="7700" w:type="dxa"/>
            <w:vAlign w:val="bottom"/>
          </w:tcPr>
          <w:p>
            <w:pPr>
              <w:ind w:left="120"/>
              <w:spacing w:after="0"/>
              <w:rPr>
                <w:sz w:val="20"/>
                <w:szCs w:val="20"/>
                <w:color w:val="auto"/>
              </w:rPr>
            </w:pPr>
            <w:r>
              <w:rPr>
                <w:rFonts w:ascii="Arial" w:cs="Arial" w:eastAsia="Arial" w:hAnsi="Arial"/>
                <w:sz w:val="18"/>
                <w:szCs w:val="18"/>
                <w:color w:val="auto"/>
              </w:rPr>
              <w:t>Keepwell</w:t>
            </w:r>
          </w:p>
        </w:tc>
        <w:tc>
          <w:tcPr>
            <w:tcW w:w="262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11.01</w:t>
            </w:r>
          </w:p>
        </w:tc>
        <w:tc>
          <w:tcPr>
            <w:tcW w:w="7820" w:type="dxa"/>
            <w:vAlign w:val="bottom"/>
          </w:tcPr>
          <w:p>
            <w:pPr>
              <w:ind w:left="100"/>
              <w:spacing w:after="0"/>
              <w:rPr>
                <w:sz w:val="20"/>
                <w:szCs w:val="20"/>
                <w:color w:val="auto"/>
              </w:rPr>
            </w:pPr>
            <w:r>
              <w:rPr>
                <w:rFonts w:ascii="Arial" w:cs="Arial" w:eastAsia="Arial" w:hAnsi="Arial"/>
                <w:sz w:val="18"/>
                <w:szCs w:val="18"/>
                <w:color w:val="auto"/>
              </w:rPr>
              <w:t>Amendments, Etc.</w:t>
            </w:r>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7820" w:type="dxa"/>
            <w:vAlign w:val="bottom"/>
          </w:tcPr>
          <w:p>
            <w:pPr>
              <w:ind w:left="100"/>
              <w:spacing w:after="0"/>
              <w:rPr>
                <w:sz w:val="20"/>
                <w:szCs w:val="20"/>
                <w:color w:val="auto"/>
              </w:rPr>
            </w:pPr>
            <w:r>
              <w:rPr>
                <w:rFonts w:ascii="Arial" w:cs="Arial" w:eastAsia="Arial" w:hAnsi="Arial"/>
                <w:sz w:val="18"/>
                <w:szCs w:val="18"/>
                <w:color w:val="auto"/>
              </w:rPr>
              <w:t>Notices; Effectiveness; Electronic Communications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11.03</w:t>
            </w:r>
          </w:p>
        </w:tc>
        <w:tc>
          <w:tcPr>
            <w:tcW w:w="7820" w:type="dxa"/>
            <w:vAlign w:val="bottom"/>
          </w:tcPr>
          <w:p>
            <w:pPr>
              <w:ind w:left="100"/>
              <w:spacing w:after="0"/>
              <w:rPr>
                <w:sz w:val="20"/>
                <w:szCs w:val="20"/>
                <w:color w:val="auto"/>
              </w:rPr>
            </w:pPr>
            <w:r>
              <w:rPr>
                <w:rFonts w:ascii="Arial" w:cs="Arial" w:eastAsia="Arial" w:hAnsi="Arial"/>
                <w:sz w:val="18"/>
                <w:szCs w:val="18"/>
                <w:color w:val="auto"/>
              </w:rPr>
              <w:t>No Waiver; Cumulative Remedies; Enforcement</w:t>
            </w:r>
          </w:p>
        </w:tc>
        <w:tc>
          <w:tcPr>
            <w:tcW w:w="2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11.04</w:t>
            </w:r>
          </w:p>
        </w:tc>
        <w:tc>
          <w:tcPr>
            <w:tcW w:w="7820" w:type="dxa"/>
            <w:vAlign w:val="bottom"/>
          </w:tcPr>
          <w:p>
            <w:pPr>
              <w:ind w:left="100"/>
              <w:spacing w:after="0"/>
              <w:rPr>
                <w:sz w:val="20"/>
                <w:szCs w:val="20"/>
                <w:color w:val="auto"/>
              </w:rPr>
            </w:pPr>
            <w:r>
              <w:rPr>
                <w:rFonts w:ascii="Arial" w:cs="Arial" w:eastAsia="Arial" w:hAnsi="Arial"/>
                <w:sz w:val="18"/>
                <w:szCs w:val="18"/>
                <w:color w:val="auto"/>
              </w:rPr>
              <w:t>Expenses; Indemnity; Damage 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7820" w:type="dxa"/>
            <w:vAlign w:val="bottom"/>
          </w:tcPr>
          <w:p>
            <w:pPr>
              <w:ind w:left="100"/>
              <w:spacing w:after="0"/>
              <w:rPr>
                <w:sz w:val="20"/>
                <w:szCs w:val="20"/>
                <w:color w:val="auto"/>
              </w:rPr>
            </w:pPr>
            <w:r>
              <w:rPr>
                <w:rFonts w:ascii="Arial" w:cs="Arial" w:eastAsia="Arial" w:hAnsi="Arial"/>
                <w:sz w:val="18"/>
                <w:szCs w:val="18"/>
                <w:color w:val="auto"/>
              </w:rPr>
              <w:t>Payments Set Aside</w:t>
            </w:r>
          </w:p>
        </w:tc>
        <w:tc>
          <w:tcPr>
            <w:tcW w:w="2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11.06</w:t>
            </w:r>
          </w:p>
        </w:tc>
        <w:tc>
          <w:tcPr>
            <w:tcW w:w="782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11.07</w:t>
            </w:r>
          </w:p>
        </w:tc>
        <w:tc>
          <w:tcPr>
            <w:tcW w:w="7820" w:type="dxa"/>
            <w:vAlign w:val="bottom"/>
          </w:tcPr>
          <w:p>
            <w:pPr>
              <w:ind w:left="100"/>
              <w:spacing w:after="0"/>
              <w:rPr>
                <w:sz w:val="20"/>
                <w:szCs w:val="20"/>
                <w:color w:val="auto"/>
              </w:rPr>
            </w:pPr>
            <w:r>
              <w:rPr>
                <w:rFonts w:ascii="Arial" w:cs="Arial" w:eastAsia="Arial" w:hAnsi="Arial"/>
                <w:sz w:val="18"/>
                <w:szCs w:val="18"/>
                <w:color w:val="auto"/>
              </w:rPr>
              <w:t>Treatment of Certain Information; Confidentiality</w:t>
            </w:r>
          </w:p>
        </w:tc>
        <w:tc>
          <w:tcPr>
            <w:tcW w:w="25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7820" w:type="dxa"/>
            <w:vAlign w:val="bottom"/>
          </w:tcPr>
          <w:p>
            <w:pPr>
              <w:ind w:left="100"/>
              <w:spacing w:after="0"/>
              <w:rPr>
                <w:sz w:val="20"/>
                <w:szCs w:val="20"/>
                <w:color w:val="auto"/>
              </w:rPr>
            </w:pPr>
            <w:r>
              <w:rPr>
                <w:rFonts w:ascii="Arial" w:cs="Arial" w:eastAsia="Arial" w:hAnsi="Arial"/>
                <w:sz w:val="18"/>
                <w:szCs w:val="18"/>
                <w:color w:val="auto"/>
              </w:rPr>
              <w:t>Right of Setoff</w:t>
            </w:r>
          </w:p>
        </w:tc>
        <w:tc>
          <w:tcPr>
            <w:tcW w:w="2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11.09</w:t>
            </w:r>
          </w:p>
        </w:tc>
        <w:tc>
          <w:tcPr>
            <w:tcW w:w="7820" w:type="dxa"/>
            <w:vAlign w:val="bottom"/>
          </w:tcPr>
          <w:p>
            <w:pPr>
              <w:ind w:left="100"/>
              <w:spacing w:after="0"/>
              <w:rPr>
                <w:sz w:val="20"/>
                <w:szCs w:val="20"/>
                <w:color w:val="auto"/>
              </w:rPr>
            </w:pPr>
            <w:r>
              <w:rPr>
                <w:rFonts w:ascii="Arial" w:cs="Arial" w:eastAsia="Arial" w:hAnsi="Arial"/>
                <w:sz w:val="18"/>
                <w:szCs w:val="18"/>
                <w:color w:val="auto"/>
              </w:rPr>
              <w:t>Interest Rate Limitation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7820" w:type="dxa"/>
            <w:vAlign w:val="bottom"/>
          </w:tcPr>
          <w:p>
            <w:pPr>
              <w:ind w:left="100"/>
              <w:spacing w:after="0"/>
              <w:rPr>
                <w:sz w:val="20"/>
                <w:szCs w:val="20"/>
                <w:color w:val="auto"/>
              </w:rPr>
            </w:pPr>
            <w:r>
              <w:rPr>
                <w:rFonts w:ascii="Arial" w:cs="Arial" w:eastAsia="Arial" w:hAnsi="Arial"/>
                <w:sz w:val="18"/>
                <w:szCs w:val="18"/>
                <w:color w:val="auto"/>
              </w:rPr>
              <w:t>Counterparts; Integration; Effectiveness</w:t>
            </w:r>
          </w:p>
        </w:tc>
        <w:tc>
          <w:tcPr>
            <w:tcW w:w="2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782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78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11.13</w:t>
            </w:r>
          </w:p>
        </w:tc>
        <w:tc>
          <w:tcPr>
            <w:tcW w:w="7820" w:type="dxa"/>
            <w:vAlign w:val="bottom"/>
          </w:tcPr>
          <w:p>
            <w:pPr>
              <w:ind w:left="100"/>
              <w:spacing w:after="0"/>
              <w:rPr>
                <w:sz w:val="20"/>
                <w:szCs w:val="20"/>
                <w:color w:val="auto"/>
              </w:rPr>
            </w:pPr>
            <w:r>
              <w:rPr>
                <w:rFonts w:ascii="Arial" w:cs="Arial" w:eastAsia="Arial" w:hAnsi="Arial"/>
                <w:sz w:val="18"/>
                <w:szCs w:val="18"/>
                <w:color w:val="auto"/>
              </w:rPr>
              <w:t>Replacement of Lenders</w:t>
            </w:r>
          </w:p>
        </w:tc>
        <w:tc>
          <w:tcPr>
            <w:tcW w:w="2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7820" w:type="dxa"/>
            <w:vAlign w:val="bottom"/>
          </w:tcPr>
          <w:p>
            <w:pPr>
              <w:ind w:left="100"/>
              <w:spacing w:after="0"/>
              <w:rPr>
                <w:sz w:val="20"/>
                <w:szCs w:val="20"/>
                <w:color w:val="auto"/>
              </w:rPr>
            </w:pPr>
            <w:r>
              <w:rPr>
                <w:rFonts w:ascii="Arial" w:cs="Arial" w:eastAsia="Arial" w:hAnsi="Arial"/>
                <w:sz w:val="18"/>
                <w:szCs w:val="18"/>
                <w:color w:val="auto"/>
              </w:rPr>
              <w:t>Governing Law; Jurisdiction; Etc.</w:t>
            </w:r>
          </w:p>
        </w:tc>
        <w:tc>
          <w:tcPr>
            <w:tcW w:w="2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11.15</w:t>
            </w:r>
          </w:p>
        </w:tc>
        <w:tc>
          <w:tcPr>
            <w:tcW w:w="78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7820" w:type="dxa"/>
            <w:vAlign w:val="bottom"/>
          </w:tcPr>
          <w:p>
            <w:pPr>
              <w:ind w:left="100"/>
              <w:spacing w:after="0"/>
              <w:rPr>
                <w:sz w:val="20"/>
                <w:szCs w:val="20"/>
                <w:color w:val="auto"/>
              </w:rPr>
            </w:pPr>
            <w:r>
              <w:rPr>
                <w:rFonts w:ascii="Arial" w:cs="Arial" w:eastAsia="Arial" w:hAnsi="Arial"/>
                <w:sz w:val="18"/>
                <w:szCs w:val="18"/>
                <w:color w:val="auto"/>
              </w:rPr>
              <w:t>No Advisory or Fiduciary Responsibility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11.17</w:t>
            </w:r>
          </w:p>
        </w:tc>
        <w:tc>
          <w:tcPr>
            <w:tcW w:w="7820" w:type="dxa"/>
            <w:vAlign w:val="bottom"/>
          </w:tcPr>
          <w:p>
            <w:pPr>
              <w:ind w:left="1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11.18</w:t>
            </w:r>
          </w:p>
        </w:tc>
        <w:tc>
          <w:tcPr>
            <w:tcW w:w="782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11.19</w:t>
            </w:r>
          </w:p>
        </w:tc>
        <w:tc>
          <w:tcPr>
            <w:tcW w:w="78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7820" w:type="dxa"/>
            <w:vAlign w:val="bottom"/>
          </w:tcPr>
          <w:p>
            <w:pPr>
              <w:ind w:left="100"/>
              <w:spacing w:after="0"/>
              <w:rPr>
                <w:sz w:val="20"/>
                <w:szCs w:val="20"/>
                <w:color w:val="auto"/>
              </w:rPr>
            </w:pPr>
            <w:r>
              <w:rPr>
                <w:rFonts w:ascii="Arial" w:cs="Arial" w:eastAsia="Arial" w:hAnsi="Arial"/>
                <w:sz w:val="18"/>
                <w:szCs w:val="18"/>
                <w:color w:val="auto"/>
              </w:rPr>
              <w:t>INTERCREDITOR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11.21</w:t>
            </w:r>
          </w:p>
        </w:tc>
        <w:tc>
          <w:tcPr>
            <w:tcW w:w="7820" w:type="dxa"/>
            <w:vAlign w:val="bottom"/>
          </w:tcPr>
          <w:p>
            <w:pPr>
              <w:ind w:left="1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7820" w:type="dxa"/>
            <w:vAlign w:val="bottom"/>
          </w:tcPr>
          <w:p>
            <w:pPr>
              <w:ind w:left="100"/>
              <w:spacing w:after="0"/>
              <w:rPr>
                <w:sz w:val="20"/>
                <w:szCs w:val="20"/>
                <w:color w:val="auto"/>
              </w:rPr>
            </w:pPr>
            <w:r>
              <w:rPr>
                <w:rFonts w:ascii="Arial" w:cs="Arial" w:eastAsia="Arial" w:hAnsi="Arial"/>
                <w:sz w:val="18"/>
                <w:szCs w:val="18"/>
                <w:color w:val="auto"/>
              </w:rPr>
              <w:t>Acknowledgement Regarding Any Supported QFCs</w:t>
            </w:r>
          </w:p>
        </w:tc>
        <w:tc>
          <w:tcPr>
            <w:tcW w:w="252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SCHEDULES</w:t>
            </w:r>
          </w:p>
        </w:tc>
        <w:tc>
          <w:tcPr>
            <w:tcW w:w="5800" w:type="dxa"/>
            <w:vAlign w:val="bottom"/>
          </w:tcPr>
          <w:p>
            <w:pPr>
              <w:spacing w:after="0"/>
              <w:rPr>
                <w:sz w:val="20"/>
                <w:szCs w:val="20"/>
                <w:color w:val="auto"/>
              </w:rPr>
            </w:pPr>
          </w:p>
        </w:tc>
      </w:tr>
      <w:tr>
        <w:trPr>
          <w:trHeight w:val="418"/>
        </w:trPr>
        <w:tc>
          <w:tcPr>
            <w:tcW w:w="1440" w:type="dxa"/>
            <w:vAlign w:val="bottom"/>
          </w:tcPr>
          <w:p>
            <w:pPr>
              <w:ind w:left="660"/>
              <w:spacing w:after="0"/>
              <w:rPr>
                <w:sz w:val="20"/>
                <w:szCs w:val="20"/>
                <w:color w:val="auto"/>
              </w:rPr>
            </w:pPr>
            <w:r>
              <w:rPr>
                <w:rFonts w:ascii="Arial" w:cs="Arial" w:eastAsia="Arial" w:hAnsi="Arial"/>
                <w:sz w:val="18"/>
                <w:szCs w:val="18"/>
                <w:color w:val="auto"/>
              </w:rPr>
              <w:t>1.01</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Equity Investor Subsidiaries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2.01</w:t>
            </w:r>
          </w:p>
        </w:tc>
        <w:tc>
          <w:tcPr>
            <w:tcW w:w="5800" w:type="dxa"/>
            <w:vAlign w:val="bottom"/>
          </w:tcPr>
          <w:p>
            <w:pPr>
              <w:ind w:left="260"/>
              <w:spacing w:after="0"/>
              <w:rPr>
                <w:sz w:val="20"/>
                <w:szCs w:val="20"/>
                <w:color w:val="auto"/>
              </w:rPr>
            </w:pPr>
            <w:r>
              <w:rPr>
                <w:rFonts w:ascii="Arial" w:cs="Arial" w:eastAsia="Arial" w:hAnsi="Arial"/>
                <w:sz w:val="18"/>
                <w:szCs w:val="18"/>
                <w:color w:val="auto"/>
              </w:rPr>
              <w:t>Term Loan Commitments and Applicable Percentages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5.03</w:t>
            </w:r>
          </w:p>
        </w:tc>
        <w:tc>
          <w:tcPr>
            <w:tcW w:w="5800" w:type="dxa"/>
            <w:vAlign w:val="bottom"/>
          </w:tcPr>
          <w:p>
            <w:pPr>
              <w:ind w:left="260"/>
              <w:spacing w:after="0"/>
              <w:rPr>
                <w:sz w:val="20"/>
                <w:szCs w:val="20"/>
                <w:color w:val="auto"/>
              </w:rPr>
            </w:pPr>
            <w:r>
              <w:rPr>
                <w:rFonts w:ascii="Arial" w:cs="Arial" w:eastAsia="Arial" w:hAnsi="Arial"/>
                <w:sz w:val="18"/>
                <w:szCs w:val="18"/>
                <w:color w:val="auto"/>
              </w:rPr>
              <w:t>Certain Authorizations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5.06</w:t>
            </w:r>
          </w:p>
        </w:tc>
        <w:tc>
          <w:tcPr>
            <w:tcW w:w="5800" w:type="dxa"/>
            <w:vAlign w:val="bottom"/>
          </w:tcPr>
          <w:p>
            <w:pPr>
              <w:ind w:left="260"/>
              <w:spacing w:after="0"/>
              <w:rPr>
                <w:sz w:val="20"/>
                <w:szCs w:val="20"/>
                <w:color w:val="auto"/>
              </w:rPr>
            </w:pPr>
            <w:r>
              <w:rPr>
                <w:rFonts w:ascii="Arial" w:cs="Arial" w:eastAsia="Arial" w:hAnsi="Arial"/>
                <w:sz w:val="18"/>
                <w:szCs w:val="18"/>
                <w:color w:val="auto"/>
              </w:rPr>
              <w:t>Litigation</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5.13</w:t>
            </w:r>
          </w:p>
        </w:tc>
        <w:tc>
          <w:tcPr>
            <w:tcW w:w="5800" w:type="dxa"/>
            <w:vAlign w:val="bottom"/>
          </w:tcPr>
          <w:p>
            <w:pPr>
              <w:ind w:left="260"/>
              <w:spacing w:after="0"/>
              <w:rPr>
                <w:sz w:val="20"/>
                <w:szCs w:val="20"/>
                <w:color w:val="auto"/>
              </w:rPr>
            </w:pPr>
            <w:r>
              <w:rPr>
                <w:rFonts w:ascii="Arial" w:cs="Arial" w:eastAsia="Arial" w:hAnsi="Arial"/>
                <w:sz w:val="18"/>
                <w:szCs w:val="18"/>
                <w:color w:val="auto"/>
                <w:w w:val="90"/>
              </w:rPr>
              <w:t>Subsidiaries and Other Equity Investments; Loan Parties; Project Companies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5.17(a)</w:t>
            </w:r>
          </w:p>
        </w:tc>
        <w:tc>
          <w:tcPr>
            <w:tcW w:w="5800" w:type="dxa"/>
            <w:vAlign w:val="bottom"/>
          </w:tcPr>
          <w:p>
            <w:pPr>
              <w:ind w:left="260"/>
              <w:spacing w:after="0"/>
              <w:rPr>
                <w:sz w:val="20"/>
                <w:szCs w:val="20"/>
                <w:color w:val="auto"/>
              </w:rPr>
            </w:pPr>
            <w:r>
              <w:rPr>
                <w:rFonts w:ascii="Arial" w:cs="Arial" w:eastAsia="Arial" w:hAnsi="Arial"/>
                <w:sz w:val="18"/>
                <w:szCs w:val="18"/>
                <w:color w:val="auto"/>
              </w:rPr>
              <w:t>Generation Portfolio Companies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5.24</w:t>
            </w:r>
          </w:p>
        </w:tc>
        <w:tc>
          <w:tcPr>
            <w:tcW w:w="5800" w:type="dxa"/>
            <w:vAlign w:val="bottom"/>
          </w:tcPr>
          <w:p>
            <w:pPr>
              <w:ind w:left="260"/>
              <w:spacing w:after="0"/>
              <w:rPr>
                <w:sz w:val="20"/>
                <w:szCs w:val="20"/>
                <w:color w:val="auto"/>
              </w:rPr>
            </w:pPr>
            <w:r>
              <w:rPr>
                <w:rFonts w:ascii="Arial" w:cs="Arial" w:eastAsia="Arial" w:hAnsi="Arial"/>
                <w:sz w:val="18"/>
                <w:szCs w:val="18"/>
                <w:color w:val="auto"/>
              </w:rPr>
              <w:t>Contractual Obligations Limiting Restricted Payments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7.01</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Liens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7.02(a)</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Project-Level Indebtedness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7.02(d)</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Indebtedness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7.03(f)</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Investments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7.09</w:t>
            </w:r>
          </w:p>
        </w:tc>
        <w:tc>
          <w:tcPr>
            <w:tcW w:w="5800" w:type="dxa"/>
            <w:vAlign w:val="bottom"/>
          </w:tcPr>
          <w:p>
            <w:pPr>
              <w:ind w:left="260"/>
              <w:spacing w:after="0"/>
              <w:rPr>
                <w:sz w:val="20"/>
                <w:szCs w:val="20"/>
                <w:color w:val="auto"/>
              </w:rPr>
            </w:pPr>
            <w:r>
              <w:rPr>
                <w:rFonts w:ascii="Arial" w:cs="Arial" w:eastAsia="Arial" w:hAnsi="Arial"/>
                <w:sz w:val="18"/>
                <w:szCs w:val="18"/>
                <w:color w:val="auto"/>
              </w:rPr>
              <w:t>Burdensome Agreements</w:t>
            </w:r>
          </w:p>
        </w:tc>
      </w:tr>
      <w:tr>
        <w:trPr>
          <w:trHeight w:val="230"/>
        </w:trPr>
        <w:tc>
          <w:tcPr>
            <w:tcW w:w="1440" w:type="dxa"/>
            <w:vAlign w:val="bottom"/>
          </w:tcPr>
          <w:p>
            <w:pPr>
              <w:ind w:left="660"/>
              <w:spacing w:after="0"/>
              <w:rPr>
                <w:sz w:val="20"/>
                <w:szCs w:val="20"/>
                <w:color w:val="auto"/>
              </w:rPr>
            </w:pPr>
            <w:r>
              <w:rPr>
                <w:rFonts w:ascii="Arial" w:cs="Arial" w:eastAsia="Arial" w:hAnsi="Arial"/>
                <w:sz w:val="18"/>
                <w:szCs w:val="18"/>
                <w:color w:val="auto"/>
              </w:rPr>
              <w:t>11.02</w:t>
            </w:r>
          </w:p>
        </w:tc>
        <w:tc>
          <w:tcPr>
            <w:tcW w:w="5800" w:type="dxa"/>
            <w:vAlign w:val="bottom"/>
          </w:tcPr>
          <w:p>
            <w:pPr>
              <w:ind w:left="260"/>
              <w:spacing w:after="0"/>
              <w:rPr>
                <w:sz w:val="20"/>
                <w:szCs w:val="20"/>
                <w:color w:val="auto"/>
              </w:rPr>
            </w:pPr>
            <w:r>
              <w:rPr>
                <w:rFonts w:ascii="Arial" w:cs="Arial" w:eastAsia="Arial" w:hAnsi="Arial"/>
                <w:sz w:val="18"/>
                <w:szCs w:val="18"/>
                <w:color w:val="auto"/>
              </w:rPr>
              <w:t>Administrative Agent’s Office, Certain Addresses for Notices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Form of</w:t>
      </w:r>
    </w:p>
    <w:p>
      <w:pPr>
        <w:spacing w:after="0" w:line="225" w:lineRule="exact"/>
        <w:rPr>
          <w:sz w:val="20"/>
          <w:szCs w:val="20"/>
          <w:color w:val="auto"/>
        </w:rPr>
      </w:pPr>
    </w:p>
    <w:p>
      <w:pPr>
        <w:ind w:left="1700" w:hanging="1044"/>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700" w:hanging="1044"/>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 Loan Note</w:t>
      </w:r>
    </w:p>
    <w:p>
      <w:pPr>
        <w:spacing w:after="0" w:line="9" w:lineRule="exact"/>
        <w:rPr>
          <w:sz w:val="20"/>
          <w:szCs w:val="20"/>
          <w:color w:val="auto"/>
        </w:rPr>
      </w:pPr>
    </w:p>
    <w:p>
      <w:pPr>
        <w:ind w:left="1700" w:hanging="1044"/>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D-1</w:t>
            </w:r>
          </w:p>
        </w:tc>
        <w:tc>
          <w:tcPr>
            <w:tcW w:w="2500" w:type="dxa"/>
            <w:vAlign w:val="bottom"/>
          </w:tcPr>
          <w:p>
            <w:pPr>
              <w:ind w:left="380"/>
              <w:spacing w:after="0"/>
              <w:rPr>
                <w:sz w:val="20"/>
                <w:szCs w:val="20"/>
                <w:color w:val="auto"/>
              </w:rPr>
            </w:pPr>
            <w:r>
              <w:rPr>
                <w:rFonts w:ascii="Arial" w:cs="Arial" w:eastAsia="Arial" w:hAnsi="Arial"/>
                <w:sz w:val="18"/>
                <w:szCs w:val="18"/>
                <w:color w:val="auto"/>
                <w:w w:val="92"/>
              </w:rPr>
              <w:t>Assignment and Assumption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D-2</w:t>
            </w:r>
          </w:p>
        </w:tc>
        <w:tc>
          <w:tcPr>
            <w:tcW w:w="2500" w:type="dxa"/>
            <w:vAlign w:val="bottom"/>
          </w:tcPr>
          <w:p>
            <w:pPr>
              <w:ind w:left="380"/>
              <w:spacing w:after="0"/>
              <w:rPr>
                <w:sz w:val="20"/>
                <w:szCs w:val="20"/>
                <w:color w:val="auto"/>
              </w:rPr>
            </w:pPr>
            <w:r>
              <w:rPr>
                <w:rFonts w:ascii="Arial" w:cs="Arial" w:eastAsia="Arial" w:hAnsi="Arial"/>
                <w:sz w:val="18"/>
                <w:szCs w:val="18"/>
                <w:color w:val="auto"/>
                <w:w w:val="91"/>
              </w:rPr>
              <w:t>Administrative Questionnaire</w:t>
            </w:r>
          </w:p>
        </w:tc>
      </w:tr>
    </w:tbl>
    <w:p>
      <w:pPr>
        <w:ind w:left="1700" w:hanging="1044"/>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Security Agreement</w:t>
      </w:r>
    </w:p>
    <w:p>
      <w:pPr>
        <w:spacing w:after="0" w:line="9" w:lineRule="exact"/>
        <w:rPr>
          <w:sz w:val="20"/>
          <w:szCs w:val="20"/>
          <w:color w:val="auto"/>
        </w:rPr>
      </w:pPr>
    </w:p>
    <w:p>
      <w:pPr>
        <w:ind w:left="1700" w:hanging="1044"/>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sz w:val="20"/>
          <w:szCs w:val="20"/>
          <w:color w:val="auto"/>
        </w:rPr>
      </w:pPr>
    </w:p>
    <w:p>
      <w:pPr>
        <w:ind w:left="1700" w:hanging="1044"/>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Collateral Questionnaire</w:t>
      </w:r>
    </w:p>
    <w:p>
      <w:pPr>
        <w:spacing w:after="0" w:line="9" w:lineRule="exact"/>
        <w:rPr>
          <w:sz w:val="20"/>
          <w:szCs w:val="20"/>
          <w:color w:val="auto"/>
        </w:rPr>
      </w:pPr>
    </w:p>
    <w:p>
      <w:pPr>
        <w:ind w:left="1700" w:hanging="1044"/>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Subordination Agreement</w:t>
      </w:r>
    </w:p>
    <w:p>
      <w:pPr>
        <w:spacing w:after="0" w:line="9" w:lineRule="exact"/>
        <w:rPr>
          <w:sz w:val="20"/>
          <w:szCs w:val="20"/>
          <w:color w:val="auto"/>
        </w:rPr>
      </w:pPr>
    </w:p>
    <w:p>
      <w:pPr>
        <w:ind w:left="1700" w:hanging="1044"/>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Counterpart Agreement</w:t>
      </w:r>
    </w:p>
    <w:p>
      <w:pPr>
        <w:spacing w:after="0" w:line="9" w:lineRule="exact"/>
        <w:rPr>
          <w:sz w:val="20"/>
          <w:szCs w:val="20"/>
          <w:color w:val="auto"/>
        </w:rPr>
      </w:pPr>
    </w:p>
    <w:p>
      <w:pPr>
        <w:ind w:left="1700" w:hanging="1044"/>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Pari Passu Intercreditor Agreement</w:t>
      </w:r>
    </w:p>
    <w:p>
      <w:pPr>
        <w:spacing w:after="0" w:line="9" w:lineRule="exact"/>
        <w:rPr>
          <w:sz w:val="20"/>
          <w:szCs w:val="20"/>
          <w:color w:val="auto"/>
        </w:rPr>
      </w:pPr>
    </w:p>
    <w:p>
      <w:pPr>
        <w:ind w:left="1700" w:hanging="1044"/>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Second Lien Intercreditor Agreement</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TERM LOAN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SENIOR SECURED BRIDGE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November 30, 2021, among Clearway Energy Operating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Clearway Energy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each other Guarantor (as defined herein) from time to time party hereto,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Bank of America, N.A., as Administrative Agent.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Borrower has requested that the Lenders party hereto agree, and the Lenders have agreed, subject to the terms and conditions hereof, to extend credit to the Borrower hereunder in the form of a term loan facility in an aggregate principal amount of $335,000,000, and the Lenders have indicated their willingness to lend such amount to the Borrower on the terms and subject to the conditions set forth herein.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the intent of the parties hereto that the Obligations under this Agreement will henceforth be guaranteed pursuant to the Guaranty and secured pursuant to the Collateral Documents by a legal, valid, binding and enforceable security interest and a fully perfected Lien in favor of the Administrative Agent, for the ratable benefit of the Secured Parties, in the Collateral and the proceeds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Agreements</w:t>
      </w:r>
      <w:r>
        <w:rPr>
          <w:rFonts w:ascii="Arial" w:cs="Arial" w:eastAsia="Arial" w:hAnsi="Arial"/>
          <w:sz w:val="18"/>
          <w:szCs w:val="18"/>
          <w:color w:val="auto"/>
        </w:rPr>
        <w:t>” means each account control agreement entered into by each applicable Loan Party, the Administrative Agent or the Revolving Administrative Agent and the applicable depositary bank party thereto.</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Period</w:t>
      </w:r>
      <w:r>
        <w:rPr>
          <w:rFonts w:ascii="Arial" w:cs="Arial" w:eastAsia="Arial" w:hAnsi="Arial"/>
          <w:sz w:val="17"/>
          <w:szCs w:val="17"/>
          <w:color w:val="auto"/>
        </w:rPr>
        <w:t xml:space="preserve">” means, upon the Borrower’s election pursuant to </w:t>
      </w:r>
      <w:r>
        <w:rPr>
          <w:rFonts w:ascii="Arial" w:cs="Arial" w:eastAsia="Arial" w:hAnsi="Arial"/>
          <w:sz w:val="17"/>
          <w:szCs w:val="17"/>
          <w:u w:val="single" w:color="auto"/>
          <w:color w:val="auto"/>
        </w:rPr>
        <w:t>Section 6.02(f)</w:t>
      </w:r>
      <w:r>
        <w:rPr>
          <w:rFonts w:ascii="Arial" w:cs="Arial" w:eastAsia="Arial" w:hAnsi="Arial"/>
          <w:sz w:val="17"/>
          <w:szCs w:val="17"/>
          <w:color w:val="auto"/>
        </w:rPr>
        <w:t>, the period beginning with the closing date for a Qualified Acquisition (a “</w:t>
      </w:r>
      <w:r>
        <w:rPr>
          <w:rFonts w:ascii="Arial" w:cs="Arial" w:eastAsia="Arial" w:hAnsi="Arial"/>
          <w:sz w:val="17"/>
          <w:szCs w:val="17"/>
          <w:u w:val="single" w:color="auto"/>
          <w:color w:val="auto"/>
        </w:rPr>
        <w:t>Qualified Acquisition Closing Date</w:t>
      </w:r>
      <w:r>
        <w:rPr>
          <w:rFonts w:ascii="Arial" w:cs="Arial" w:eastAsia="Arial" w:hAnsi="Arial"/>
          <w:sz w:val="17"/>
          <w:szCs w:val="17"/>
          <w:color w:val="auto"/>
        </w:rPr>
        <w:t xml:space="preserve">”) and ending on the earliest to occur of (x) the last day of the first full fiscal quarter following such Qualified Acquisition Closing Date in which the Borrower Leverage Ratio is equal to or less than 5.50:1.00, or, during the period from the Closing Date through and including the Leverage Period Termination Date, 6.00:1.00, (y) the last day of the third full fiscal quarter following such Qualified Acquisition Closing Date and (z) the date on which the Borrower notifies the Administrative Agent that it desires to end the Acquisition Period for such Qualified Acquisition;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w:t>
      </w:r>
      <w:r>
        <w:rPr>
          <w:rFonts w:ascii="Arial" w:cs="Arial" w:eastAsia="Arial" w:hAnsi="Arial"/>
          <w:sz w:val="17"/>
          <w:szCs w:val="17"/>
          <w:color w:val="auto"/>
        </w:rPr>
        <w:t xml:space="preserve"> that (i) no Acquisition Period may become effective if the Borrower fails to timely elect such Acquisition Period pursuant to the terms of </w:t>
      </w:r>
      <w:r>
        <w:rPr>
          <w:rFonts w:ascii="Arial" w:cs="Arial" w:eastAsia="Arial" w:hAnsi="Arial"/>
          <w:sz w:val="17"/>
          <w:szCs w:val="17"/>
          <w:u w:val="single" w:color="auto"/>
          <w:color w:val="auto"/>
        </w:rPr>
        <w:t>Section 6.02(f)</w:t>
      </w:r>
      <w:r>
        <w:rPr>
          <w:rFonts w:ascii="Arial" w:cs="Arial" w:eastAsia="Arial" w:hAnsi="Arial"/>
          <w:sz w:val="17"/>
          <w:szCs w:val="17"/>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another Person that directly, or indirectly through one or more intermediaries, Controls or is Controlled by or is under common Control with the Person specified. For purposes of </w:t>
      </w:r>
      <w:r>
        <w:rPr>
          <w:rFonts w:ascii="Arial" w:cs="Arial" w:eastAsia="Arial" w:hAnsi="Arial"/>
          <w:sz w:val="18"/>
          <w:szCs w:val="18"/>
          <w:u w:val="single" w:color="auto"/>
          <w:color w:val="auto"/>
        </w:rPr>
        <w:t>Section 7.08</w:t>
      </w:r>
      <w:r>
        <w:rPr>
          <w:rFonts w:ascii="Arial" w:cs="Arial" w:eastAsia="Arial" w:hAnsi="Arial"/>
          <w:sz w:val="18"/>
          <w:szCs w:val="18"/>
          <w:color w:val="auto"/>
        </w:rPr>
        <w:t>, “Affiliate” shall also include any Person that directly or indirectly owns 10% or more of any class of Equity Interests of the Person specified.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means each of (i) the Administrative Agent and (ii) any other Person appointed under the Loan Documents to serve in an agent or similar capacity.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Term Loan Commitments of all the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Projections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as amended, and, to the extent applicable to the Borrower or any of its Subsidiaries, other similar legislation in any other jurisdiction.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the percentage (carried out to the ninth decimal place) of the Term Loan Facility represented by each Lender’s outstanding Term Loan. The Applicable Percentage of each Lender in respect of the Term Loan Facility as of the Closing Date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(a) in respect of any Base Rate Loan, (i) from the Closing Date until the six-month anniversary of the Closing Date, 0.00% and</w:t>
      </w:r>
    </w:p>
    <w:p>
      <w:pPr>
        <w:spacing w:after="0" w:line="46"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thereafter, 0.25%, and (b) in respect of any Term SOFR Loan, (i) from the Closing Date until the six-month anniversary of the Closing Date, 1.00%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thereafter, 1.25%.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BofA Securities, Inc., in its capacity as sole lead arranger and sole book runner.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Parent and its Subsidiaries for the fiscal year ended December 31, 2020, and the related consolidated statements of income or operations, shareholders’ equity and cash flows for such fiscal year of Parent and its consolidated Subsidiaries, including the notes thereto.</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means, as of any date of determination, an amount equal to (i) the sum of (x) the Distributed Cash received by the Borrower after April 30, 2018, (y) the aggregate amount of contributions to the common capital of the Borrower received in cash after April 30, 2018 (other than as a result of the exercise of the Cure Right) and (z) $1,160,000,000,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any amounts thereof used to make Investments pursuant to </w:t>
      </w:r>
      <w:r>
        <w:rPr>
          <w:rFonts w:ascii="Arial" w:cs="Arial" w:eastAsia="Arial" w:hAnsi="Arial"/>
          <w:sz w:val="18"/>
          <w:szCs w:val="18"/>
          <w:u w:val="single" w:color="auto"/>
          <w:color w:val="auto"/>
        </w:rPr>
        <w:t>Section 7.03(c)(iii)(B)</w:t>
      </w:r>
      <w:r>
        <w:rPr>
          <w:rFonts w:ascii="Arial" w:cs="Arial" w:eastAsia="Arial" w:hAnsi="Arial"/>
          <w:sz w:val="18"/>
          <w:szCs w:val="18"/>
          <w:color w:val="auto"/>
        </w:rPr>
        <w:t xml:space="preserve"> (assuming for such purpose that such covenant and corresponding basket had been in effect since April 30, 2018) prior to such date and after April 30, 2018,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aggregate amount of Restricted Payments made by the Borrower prior to such date and after April 30, 2018 pursuant to </w:t>
      </w:r>
      <w:r>
        <w:rPr>
          <w:rFonts w:ascii="Arial" w:cs="Arial" w:eastAsia="Arial" w:hAnsi="Arial"/>
          <w:sz w:val="18"/>
          <w:szCs w:val="18"/>
          <w:u w:val="single" w:color="auto"/>
          <w:color w:val="auto"/>
        </w:rPr>
        <w:t>Section 7.06(f)</w:t>
      </w:r>
      <w:r>
        <w:rPr>
          <w:rFonts w:ascii="Arial" w:cs="Arial" w:eastAsia="Arial" w:hAnsi="Arial"/>
          <w:sz w:val="18"/>
          <w:szCs w:val="18"/>
          <w:color w:val="auto"/>
        </w:rPr>
        <w:t xml:space="preserve"> (assuming for such purpose that such covenant and corresponding basket had been in effect since April 30, 2018)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prepayments or repayments of Indebtedness pursuant to </w:t>
      </w:r>
      <w:r>
        <w:rPr>
          <w:rFonts w:ascii="Arial" w:cs="Arial" w:eastAsia="Arial" w:hAnsi="Arial"/>
          <w:sz w:val="18"/>
          <w:szCs w:val="18"/>
          <w:u w:val="single" w:color="auto"/>
          <w:color w:val="auto"/>
        </w:rPr>
        <w:t>Section 7.15(b)</w:t>
      </w:r>
      <w:r>
        <w:rPr>
          <w:rFonts w:ascii="Arial" w:cs="Arial" w:eastAsia="Arial" w:hAnsi="Arial"/>
          <w:sz w:val="18"/>
          <w:szCs w:val="18"/>
          <w:color w:val="auto"/>
        </w:rPr>
        <w: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fluctuating rate per annum equal to the highest of (a) the Federal Funds Rate plus 1/2 of 1%, (b) the rate of interest in effect for such day as publicly announced from time to time by Bank of America as its “prime rate,” (c) Term SOFR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hereof, then the Base Rate shall be the greater of </w:t>
      </w:r>
      <w:r>
        <w:rPr>
          <w:rFonts w:ascii="Arial" w:cs="Arial" w:eastAsia="Arial" w:hAnsi="Arial"/>
          <w:sz w:val="17"/>
          <w:szCs w:val="17"/>
          <w:u w:val="single" w:color="auto"/>
          <w:color w:val="auto"/>
        </w:rPr>
        <w:t>clauses (a),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shall be determined without reference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Term Loan that bears interest based on the Base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required by the Beneficial Ownership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United States Federal Reserve System, or any successor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Cash Flow</w:t>
      </w:r>
      <w:r>
        <w:rPr>
          <w:rFonts w:ascii="Arial" w:cs="Arial" w:eastAsia="Arial" w:hAnsi="Arial"/>
          <w:sz w:val="17"/>
          <w:szCs w:val="17"/>
          <w:color w:val="auto"/>
        </w:rPr>
        <w:t xml:space="preserve">” means, at any date of determination, an amount equal to the Distributed Cash received by the Borrower during the most recently completed Measurement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has acquired or disposed of any Equity Interests in a Project Company or the Borrower or any of its Subsidiaries (including any Project Company) has acquired or disposed of any property with a value in excess of $5,000,000 at any time after the first day of such Measurement Period, the determinations of Borrower Cash Flow shall be made giving pro forma effect to such acquisition or disposition as if such acquisition or disposition had occurred on the first day of such Measurement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Interest Coverage Ratio</w:t>
      </w:r>
      <w:r>
        <w:rPr>
          <w:rFonts w:ascii="Arial" w:cs="Arial" w:eastAsia="Arial" w:hAnsi="Arial"/>
          <w:sz w:val="18"/>
          <w:szCs w:val="18"/>
          <w:color w:val="auto"/>
        </w:rPr>
        <w:t>” means, as of any date of determination, the ratio of (a) Borrower Cash Flow to (b) Interest Charges, in each case, for the most recently completed Measurement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Leverage Ratio</w:t>
      </w:r>
      <w:r>
        <w:rPr>
          <w:rFonts w:ascii="Arial" w:cs="Arial" w:eastAsia="Arial" w:hAnsi="Arial"/>
          <w:sz w:val="18"/>
          <w:szCs w:val="18"/>
          <w:color w:val="auto"/>
        </w:rPr>
        <w:t>” means, as of any date of determination, the ratio of (a) Total Debt as of such date (net of up to $100,000,000 of cash that constitutes Borrower Cash Flow from a Measurement Period other than the most recently completed Measurement Period) to (b) Borrower Cash Flow for the most recently completed Measurement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of the Term Loan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Bridge Financing</w:t>
      </w:r>
      <w:r>
        <w:rPr>
          <w:rFonts w:ascii="Arial" w:cs="Arial" w:eastAsia="Arial" w:hAnsi="Arial"/>
          <w:sz w:val="17"/>
          <w:szCs w:val="17"/>
          <w:color w:val="auto"/>
        </w:rPr>
        <w:t xml:space="preserve">” means Indebtedness of the Borrower or any other Loan Party not exceeding an aggregate principal amount of $1,500,000,000 evidenced by any of, or a combination of, (a) a senior unsecured bridge loan facility, (b) senior unsecured debt securities issued pursuant to a public offering, Rule 144A or other private placement, (c) senior unsecured term loans or (d) any other unsecured Indebtedness incurred or issued by the Borrower or any other Loan Party, in each case the proceeds of which will be used solely to (i) repay,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(ii) make payments of principal or interest under the Parent CSN Proceeds Loan in accordance with </w:t>
      </w:r>
      <w:r>
        <w:rPr>
          <w:rFonts w:ascii="Arial" w:cs="Arial" w:eastAsia="Arial" w:hAnsi="Arial"/>
          <w:sz w:val="17"/>
          <w:szCs w:val="17"/>
          <w:u w:val="single" w:color="auto"/>
          <w:color w:val="auto"/>
        </w:rPr>
        <w:t>Section 7.06(j)(i)</w:t>
      </w:r>
      <w:r>
        <w:rPr>
          <w:rFonts w:ascii="Arial" w:cs="Arial" w:eastAsia="Arial" w:hAnsi="Arial"/>
          <w:sz w:val="17"/>
          <w:szCs w:val="17"/>
          <w:color w:val="auto"/>
        </w:rPr>
        <w:t xml:space="preserve"> and (iii) make dividend payments or other distributions (including any repayment of intercompany indebtedness) to Holdings to enable Holdings to make dividend payments or other distributions (including any repayment of intercompany indebtedness) to the Parent in accordance with </w:t>
      </w:r>
      <w:r>
        <w:rPr>
          <w:rFonts w:ascii="Arial" w:cs="Arial" w:eastAsia="Arial" w:hAnsi="Arial"/>
          <w:sz w:val="17"/>
          <w:szCs w:val="17"/>
          <w:u w:val="single" w:color="auto"/>
          <w:color w:val="auto"/>
        </w:rPr>
        <w:t>Section 7.06(j)(ii)</w:t>
      </w:r>
      <w:r>
        <w:rPr>
          <w:rFonts w:ascii="Arial" w:cs="Arial" w:eastAsia="Arial" w:hAnsi="Arial"/>
          <w:sz w:val="17"/>
          <w:szCs w:val="17"/>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with respect to any Person, all leases that have been or are required to be, in accordance with GAAP (but only as in effect on April 30, 2018, and not giving effect to any changes to GAAP occurring after April 30, 2018), recorded as capitalized leases on the balance sheet of such Person.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any of the following types of Investments, to the extent owned by the Borrower or any of the Company Group Parties:</w:t>
      </w:r>
    </w:p>
    <w:p>
      <w:pPr>
        <w:spacing w:after="0" w:line="237" w:lineRule="exact"/>
        <w:rPr>
          <w:sz w:val="20"/>
          <w:szCs w:val="20"/>
          <w:color w:val="auto"/>
        </w:rPr>
      </w:pPr>
    </w:p>
    <w:p>
      <w:pPr>
        <w:jc w:val="both"/>
        <w:ind w:firstLine="1304"/>
        <w:spacing w:after="0" w:line="263" w:lineRule="auto"/>
        <w:tabs>
          <w:tab w:leader="none" w:pos="18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time deposits with, or insured certificates of deposit or bankers’ acceptances of, any commercial bank that (i) (A) is a Lender or</w:t>
      </w:r>
    </w:p>
    <w:p>
      <w:pPr>
        <w:spacing w:after="0" w:line="46" w:lineRule="exact"/>
        <w:rPr>
          <w:rFonts w:ascii="Arial" w:cs="Arial" w:eastAsia="Arial" w:hAnsi="Arial"/>
          <w:sz w:val="16"/>
          <w:szCs w:val="16"/>
          <w:color w:val="auto"/>
        </w:rPr>
      </w:pPr>
    </w:p>
    <w:p>
      <w:pPr>
        <w:jc w:val="both"/>
        <w:ind w:firstLine="8"/>
        <w:spacing w:after="0" w:line="253" w:lineRule="auto"/>
        <w:tabs>
          <w:tab w:leader="none" w:pos="2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and (ii) has combined capital and surplus of at least $1,000,000,000, in each case with maturities of not more than 90 days from the date of acquisition thereof;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1304"/>
        <w:spacing w:after="0" w:line="263" w:lineRule="auto"/>
        <w:tabs>
          <w:tab w:leader="none" w:pos="19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12 months from the date of acquisition thereof;</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in money market investment programs registered under the Investment Company Act of 1940, which are administered by financial institutions that have one of the two highest ratings obtainable from either Moody’s or S&amp;P, and the portfolios of which are limited solely to Investments of the character, quality and maturity described in clauses (a), (b) and (c) of this definition; and</w:t>
      </w:r>
    </w:p>
    <w:p>
      <w:pPr>
        <w:spacing w:after="0" w:line="183" w:lineRule="exact"/>
        <w:rPr>
          <w:rFonts w:ascii="Arial" w:cs="Arial" w:eastAsia="Arial" w:hAnsi="Arial"/>
          <w:sz w:val="18"/>
          <w:szCs w:val="18"/>
          <w:color w:val="auto"/>
        </w:rPr>
      </w:pPr>
    </w:p>
    <w:p>
      <w:pPr>
        <w:ind w:firstLine="1304"/>
        <w:spacing w:after="0" w:line="277" w:lineRule="auto"/>
        <w:tabs>
          <w:tab w:leader="none" w:pos="2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United States dollars, Euros, any other currency of countries members of the Organization for Economic Co-operation and Development or, in the case of any foreign Subsidiary, any local currencies held by it from time to time.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depositary, overdraft, credit or debit card, electronic funds transfer and other cash management arrangements.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designated by the Borrower as such that, either (a) on the Closing Date, is a party to a Cash Management Agreement with a Loan Party and is an Agent, an Arranger, a Lender or an Affiliate of the foregoing, or (b) at the time it enters into a Cash Management Agreement with a Loan Party, is an Agent, an Arranger, a Lender or an Affiliate of the foregoing, in the case of each of clauses (a) and (b), its capacity as a party to such Cash Management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CERCLIS</w:t>
      </w:r>
      <w:r>
        <w:rPr>
          <w:rFonts w:ascii="Arial" w:cs="Arial" w:eastAsia="Arial" w:hAnsi="Arial"/>
          <w:sz w:val="18"/>
          <w:szCs w:val="18"/>
          <w:color w:val="auto"/>
        </w:rPr>
        <w:t>” means the Comprehensive Environmental Response, Compensation and Liability Information System maintained by the U.S. Environmental Protection Agency.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under Section 957 of the Code.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225" w:lineRule="exact"/>
        <w:rPr>
          <w:sz w:val="20"/>
          <w:szCs w:val="20"/>
          <w:color w:val="auto"/>
        </w:rPr>
      </w:pPr>
    </w:p>
    <w:p>
      <w:pPr>
        <w:jc w:val="both"/>
        <w:ind w:firstLine="1304"/>
        <w:spacing w:after="0" w:line="311" w:lineRule="auto"/>
        <w:tabs>
          <w:tab w:leader="none" w:pos="18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Equity Investor shall cease to own, directly or indirectly, at least 35% (as measured by voting power rather than number of shares or other equity securities) of the equity securities of Parent entitled to vote for members of the board of directors or equivalent governing body of Parent on a fully-diluted basis (and taking into account all such securities that such “person” or “group” has the right to acquire pursuant to any option right); or</w:t>
      </w:r>
    </w:p>
    <w:p>
      <w:pPr>
        <w:spacing w:after="0" w:line="148" w:lineRule="exact"/>
        <w:rPr>
          <w:rFonts w:ascii="Arial" w:cs="Arial" w:eastAsia="Arial" w:hAnsi="Arial"/>
          <w:sz w:val="16"/>
          <w:szCs w:val="16"/>
          <w:color w:val="auto"/>
        </w:rPr>
      </w:pPr>
    </w:p>
    <w:p>
      <w:pPr>
        <w:ind w:left="1880" w:hanging="576"/>
        <w:spacing w:after="0"/>
        <w:tabs>
          <w:tab w:leader="none" w:pos="1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firstLine="1304"/>
        <w:spacing w:after="0" w:line="277"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Parent and Equity Investor collectively shall cease to, directly or indirectly, own and control legally and beneficially all of the Equity Interests in Holdings; or</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Holdings shall cease to directly own and control legally and beneficially all of the Equity Interests in the Borrower.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first date on which all the conditions precedent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Projections</w:t>
      </w:r>
      <w:r>
        <w:rPr>
          <w:rFonts w:ascii="Arial" w:cs="Arial" w:eastAsia="Arial" w:hAnsi="Arial"/>
          <w:sz w:val="18"/>
          <w:szCs w:val="18"/>
          <w:color w:val="auto"/>
        </w:rPr>
        <w:t>” means the projections of Parent and its Subsidiaries for the period of fiscal year 2021 through and including fiscal year 2022 delivered to the Administrative Agent prior to the Closing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w:t>
      </w:r>
      <w:r>
        <w:rPr>
          <w:rFonts w:ascii="Arial" w:cs="Arial" w:eastAsia="Arial" w:hAnsi="Arial"/>
          <w:sz w:val="18"/>
          <w:szCs w:val="18"/>
          <w:color w:val="auto"/>
        </w:rPr>
        <w:t>” means CME Group Benchmark Administration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(unless otherwise provided herein).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each of the Security Agreement Supplements, security agreements, pledge agreements, Account Control Agreements, Securities Account Control Agreements, any Intercreditor Agreement,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or perfect a Lien in favor of the Administrative Agent for the benefit of the Secured Parties.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that provides information with respect to the personal or mixed property of each Loan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means a notice of (a) a Borrowing, (b) a conversion of the Term Loan from one Type to the other, or (c) a continuation of Term SOFR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if not in writing, shall be followed promptly and on the same day by a writing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means the Commodity Exchange Act (7 U.S.C. § 1 et seq.), as amended from time to time, and any successor statute.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 Parties</w:t>
      </w:r>
      <w:r>
        <w:rPr>
          <w:rFonts w:ascii="Arial" w:cs="Arial" w:eastAsia="Arial" w:hAnsi="Arial"/>
          <w:sz w:val="18"/>
          <w:szCs w:val="18"/>
          <w:color w:val="auto"/>
        </w:rPr>
        <w:t>” means each direct and indirect Subsidiary of the Borrower, other than any Project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in consultation with the Borrower, determines is reasonably necessary in connection with the administration of this Agreement and any other Loan Document).</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indemnities and other contingent Obligations that pursuant to their express terms survive repayment in full of principal and interest on the Term Loan and termination of the Term Loan Commitments under this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Senior Notes</w:t>
      </w:r>
      <w:r>
        <w:rPr>
          <w:rFonts w:ascii="Arial" w:cs="Arial" w:eastAsia="Arial" w:hAnsi="Arial"/>
          <w:sz w:val="16"/>
          <w:szCs w:val="16"/>
          <w:color w:val="auto"/>
        </w:rPr>
        <w:t xml:space="preserve">” means (a) any unsecured Indebtedness of the Parent so long as the Indebtedness of the Borrower under the related Parent CSN Proceeds Loan is permitted under </w:t>
      </w:r>
      <w:r>
        <w:rPr>
          <w:rFonts w:ascii="Arial" w:cs="Arial" w:eastAsia="Arial" w:hAnsi="Arial"/>
          <w:sz w:val="16"/>
          <w:szCs w:val="16"/>
          <w:u w:val="single" w:color="auto"/>
          <w:color w:val="auto"/>
        </w:rPr>
        <w:t>Section 7.02(n)</w:t>
      </w:r>
      <w:r>
        <w:rPr>
          <w:rFonts w:ascii="Arial" w:cs="Arial" w:eastAsia="Arial" w:hAnsi="Arial"/>
          <w:sz w:val="16"/>
          <w:szCs w:val="16"/>
          <w:color w:val="auto"/>
        </w:rPr>
        <w:t xml:space="preserve"> and does not exceed an aggregate principal amount of $695,000,000; and (b) any amendments, modifications, replacements or refinancings of the Indebtedness described in the foregoing clause (a) or any Indebtedness incurred pursuant to this clause</w:t>
      </w:r>
    </w:p>
    <w:p>
      <w:pPr>
        <w:spacing w:after="0" w:line="2" w:lineRule="exact"/>
        <w:rPr>
          <w:sz w:val="20"/>
          <w:szCs w:val="20"/>
          <w:color w:val="auto"/>
        </w:rPr>
      </w:pPr>
    </w:p>
    <w:p>
      <w:pPr>
        <w:jc w:val="both"/>
        <w:ind w:firstLine="8"/>
        <w:spacing w:after="0" w:line="284" w:lineRule="auto"/>
        <w:tabs>
          <w:tab w:leader="none" w:pos="2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from time to time, including any such replacement or refinancing Indebtedness to the extent the relevant portion of the proceeds thereof is irrevocably deposited in a segregated account pursuant to an escrow (or similar) agreement in form and substance reasonably acceptable to the Administrative Agent pending application to the repayment of the Indebtedness being refinanced or replaced (the “</w:t>
      </w:r>
      <w:r>
        <w:rPr>
          <w:rFonts w:ascii="Arial" w:cs="Arial" w:eastAsia="Arial" w:hAnsi="Arial"/>
          <w:sz w:val="16"/>
          <w:szCs w:val="16"/>
          <w:u w:val="single" w:color="auto"/>
          <w:color w:val="auto"/>
        </w:rPr>
        <w:t>Permitted Refinancing Convertible Senior Notes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principal amount (or accreted value, if applicable) of such Permitted Refinancing Convertible Senior Notes does not exceed the aggregate outstanding principal amount (or accreted value, if applicable) of the Indebtedness being amended, modified, replaced or refinanced (plus all accrued interest and original issue discount in the nature of interest on such Indebtedness and the amount of all expenses and premiums, underwriting, issuance, commitment, syndication and other similar fees, costs and expenses incurred in connection therewith) unless another available exception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is then utilized with respect to any excess (in which case the entire principal amount (or accreted value, if applicable) thereof will constitute Convertible Senior Notes after incurrence), (ii) such Permitted Refinancing Convertible Senior Notes have a Weighted Average Life to Maturity equal to or greater than the Weighted Average Life to Maturity of the applicable Convertible Senior Notes being refinanced, (iii) the Permitted Refinancing Convertible Senior Notes have a Stated Maturity on or later than the maturity date of the applicable Convertible Senior Notes being refinanced, (iv) the obligations in respect of such Permitted Refinancing Convertible Senior Notes shall continue to be unsecured and (v) the primary obligor in respect of such Permitted Refinancing Convertible Senior Notes shall be the Parent; provided, further, that, in the case of each of clauses (a) and (b) above, the net proceeds (after giving effect to any refinancing) shall be loaned to the Borrower as a Parent CSN Proceeds Loan.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Counterpart Agreement</w:t>
      </w:r>
      <w:r>
        <w:rPr>
          <w:rFonts w:ascii="Arial" w:cs="Arial" w:eastAsia="Arial" w:hAnsi="Arial"/>
          <w:sz w:val="17"/>
          <w:szCs w:val="17"/>
          <w:color w:val="auto"/>
        </w:rPr>
        <w:t xml:space="preserve">” means a Counterpart Agreement substantially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delivered by a Subsidiary pursuant to </w:t>
      </w:r>
      <w:r>
        <w:rPr>
          <w:rFonts w:ascii="Arial" w:cs="Arial" w:eastAsia="Arial" w:hAnsi="Arial"/>
          <w:sz w:val="17"/>
          <w:szCs w:val="17"/>
          <w:u w:val="single" w:color="auto"/>
          <w:color w:val="auto"/>
        </w:rPr>
        <w:t>Section 6.12(d)</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Borrowing.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SOFR published on such date on the Federal Reserve Bank of New York’s website (or any successor source).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(i) the Base Rate or Term SOFR (as applicable or, if neither is directly applicable,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relevant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Lender (a) that has failed to timely pay over to the Administrative Agent or any other Lender any amount required to be paid by it hereunder on the terms set forth herein for such payment, unless the subject of a good faith dispute, or (b) in respect of which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that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a Defaulting Lender at any time that it shall be the sole Lender hereunder.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of the Secured Obligations</w:t>
      </w:r>
      <w:r>
        <w:rPr>
          <w:rFonts w:ascii="Arial" w:cs="Arial" w:eastAsia="Arial" w:hAnsi="Arial"/>
          <w:sz w:val="18"/>
          <w:szCs w:val="18"/>
          <w:color w:val="auto"/>
        </w:rPr>
        <w:t>” means and shall have occurred when (i) all Secured Obligations shall have been paid in full in cash and all other obligations under the Loan Documents shall have been performed (other than (a) those constituting Contingent Obligations as to which no claim has been asserted and (b) obligations and liabilities under Secured Cash Management Agreements and Secured Hedge Agreements as to which arrangements reasonably satisfactory to the applicable Cash Management Bank or Hedge Bank shall have been made) and (ii) all Term Loan Commitments shall have terminated or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Maturity Date of the Term Loan. Notwithstanding the preceding sentence, any Equity Interests that would constitute Disqualified Equity Interests solely because the holders of the Equity Interests have the right to require the Borrower to repurchase such Equity Interests upon the occurrence of a change of control or an asset sale will not constitute Disqualified Equity Interests if the terms of such Equity Interests provide that the Borrower may not repurchase or redeem any such Equity Interests pursuant to such provisions unless such repurchase or redemption complies with </w:t>
      </w:r>
      <w:r>
        <w:rPr>
          <w:rFonts w:ascii="Arial" w:cs="Arial" w:eastAsia="Arial" w:hAnsi="Arial"/>
          <w:sz w:val="17"/>
          <w:szCs w:val="17"/>
          <w:u w:val="single" w:color="auto"/>
          <w:color w:val="auto"/>
        </w:rPr>
        <w:t>Section 7.06</w:t>
      </w:r>
      <w:r>
        <w:rPr>
          <w:rFonts w:ascii="Arial" w:cs="Arial" w:eastAsia="Arial" w:hAnsi="Arial"/>
          <w:sz w:val="17"/>
          <w:szCs w:val="17"/>
          <w:color w:val="auto"/>
        </w:rPr>
        <w:t>. The amount of Disqualified Equity Interests deemed to be outstanding at any time for purposes of this Agreement will be the maximum amount that the Borrower may become obligated to pay upon the maturity of, or pursuant to any mandatory redemption provisions of, such Disqualified Equity Interests, exclusive of accrued dividends.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Distributed Cash</w:t>
      </w:r>
      <w:r>
        <w:rPr>
          <w:rFonts w:ascii="Arial" w:cs="Arial" w:eastAsia="Arial" w:hAnsi="Arial"/>
          <w:sz w:val="16"/>
          <w:szCs w:val="16"/>
          <w:color w:val="auto"/>
        </w:rPr>
        <w:t>” means, without duplication, internally generated cash and Cash Equivalents distributed by the Project Companies and the Guarantors (other than Holdings and the Borrower), directly or indirectly, to the Borrower in respect of the Equity Interests of the Project Companies and the Guarantors (other than Holdings and the Borrower) owned, directly or indirectly, by the Borrower (other than dividends or other distributions that are funded, directly or indirectly, with substantially concurrent cash Investments, or cash Investments that were not intended to be used by a Project Company or a Guarantor for capital expenditures or for operational purposes, by the Borrower or any of its Subsidiaries in a Project Company or a Guarantor), excluding (a) the proceeds of any extraordinary receipts (including cash payments or proceeds received (i) from any Disposition by the Borrower or any of its Subsidiaries, (ii) under any casualty insurance policy in respect of a covered loss thereunder or (iii) as a result of the taking of any assets of the Borrower or any of its Subsidiaries by any Person pursuant to the power of eminent domain, condemnation or otherwise, or pursuant to a sale of any such assets to a purchaser with such power under threat of such a taking, in each case in excess of $2,000,000) and (b) any cash that is derived from (i) cash grants and similar items to the Project Companies and the Guarantors, (ii) any incurrence of Indebtedness by Project Companies and the Guarantors, (iii) any issuance of Equity Interests by Project Companies and the Guarantors or (iv) any capital contribution to the Project Companies and the Guarantors.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 Subsidiary of the Borrower incorporated or organized under the laws of the United States of America, any state thereof or the District of Columbia, but excluding (i) any direct or indirect subsidiary of a CFC and (ii) any Foreign Subsidiary Holding Company.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and foreign statutes, laws, regulations, ordinances, rules, judgments, orders, decrees, or governmental regulations relating to pollution and the protection of the environment, including natural resources such as flora and fauna, or the Release of any materials into the environment, including those related to hazardous substances or wastes, air emissions and discharges to waste or public systems.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w:t>
      </w:r>
    </w:p>
    <w:p>
      <w:pPr>
        <w:jc w:val="both"/>
        <w:ind w:firstLine="8"/>
        <w:spacing w:after="0" w:line="277" w:lineRule="auto"/>
        <w:tabs>
          <w:tab w:leader="none" w:pos="261" w:val="left"/>
        </w:tabs>
        <w:numPr>
          <w:ilvl w:val="0"/>
          <w:numId w:val="50"/>
        </w:numPr>
        <w:rPr>
          <w:rFonts w:ascii="Arial" w:cs="Arial" w:eastAsia="Arial" w:hAnsi="Arial"/>
          <w:sz w:val="17"/>
          <w:szCs w:val="17"/>
          <w:color w:val="auto"/>
        </w:rPr>
      </w:pPr>
      <w:r>
        <w:rPr>
          <w:rFonts w:ascii="Arial" w:cs="Arial" w:eastAsia="Arial" w:hAnsi="Arial"/>
          <w:sz w:val="17"/>
          <w:szCs w:val="17"/>
          <w:color w:val="auto"/>
        </w:rPr>
        <w:t>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Permit</w:t>
      </w:r>
      <w:r>
        <w:rPr>
          <w:rFonts w:ascii="Arial" w:cs="Arial" w:eastAsia="Arial" w:hAnsi="Arial"/>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Investor</w:t>
      </w:r>
      <w:r>
        <w:rPr>
          <w:rFonts w:ascii="Arial" w:cs="Arial" w:eastAsia="Arial" w:hAnsi="Arial"/>
          <w:sz w:val="18"/>
          <w:szCs w:val="18"/>
          <w:color w:val="auto"/>
        </w:rPr>
        <w:t>” means the Sponsors.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Investor Subsidiary</w:t>
      </w:r>
      <w:r>
        <w:rPr>
          <w:rFonts w:ascii="Arial" w:cs="Arial" w:eastAsia="Arial" w:hAnsi="Arial"/>
          <w:sz w:val="18"/>
          <w:szCs w:val="18"/>
          <w:color w:val="auto"/>
        </w:rPr>
        <w:t xml:space="preserve">” means the entities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their respective Subsidiaries as of the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Borrower within the meaning of Section 414(b) or (c) of the Code (and Sections 414(m) and (o) of the Code solely for purposes of provisions relating to Section 412 of the Code).</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of the Borrower or any ERISA Affiliate is in reorganization; (d) the filing of a notice of intent to terminate, the treatment of a plan amendment as a termination under Section 4041 or 4041A of ERISA, or the commencement of proceedings by the PBGC to terminate a Pension Plan or Multiemployer Plan; or (e) an event or condition which constitutes grounds under Section 4042 of ERISA for the termination of, or the appointment of a trustee to administer, any Pension Plan or Multiemployer Plan.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and any successor statute.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Amended and Restated Exchange Agreement dated as of May 14, 2015, by and among NRG Energy, Inc. (and its successors), Parent and Holdings, and each of the other parties thereto from time to time, as amended, supplemented, modified or otherwise replaced from time to time, including by that certain Assignment and Assumption Agreement, dated as of August 31, 2018, by and among Clearway Energy Group LLC, NRG Energy, Inc., Parent and Holdings, other than any such amendments, supplements, modifications or replacements that would be materially adverse to the interests of the Lenders in their capacity as such.</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would otherwise have become effective with respect to such related Swap Obligation but for such Guarantor’s failure to constitute an “eligible contract participant” at such time.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or any other recipient of any payment to be made by or on account of any obligation of the Borrower hereunder, (a) taxes imposed on or measured by its net income (however denominated), and franchise taxes imposed on it (in lieu of net income taxes), by the United States or by the jurisdiction (or any political subdivision thereof) under the Laws of which such recipient is organized or in which its principal office is located or, in the case of any Lender, in which its applicable Lending Office is located, or as a result of any present or former connection between such Lender or the Administrative Agent and such jurisdiction (other than any connection arising solely from executing, delivering, being a party to, engaging in any transactions pursuant to, performing its obligations under, receiving or perfecting a security interest under, receiving payments under, and/or enforcing, any Loan Document, or selling or assigning an interest in the Term Loan, the Term Loan Commitments or any Loan Document), (b) any branch profits taxes imposed by the United States or any similar tax imposed by any other jurisdiction described in clause (a), (c) any backup withholding tax that is required by the Code to be withheld from amounts payable to a Lender that has failed to comply with clause (A)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(d) in the case of a Lender (other than an assignee pursuant to a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any United States federal withholding tax that (i) is required to be imposed on amounts payable to such Lender pursuant to the Laws in force at the time such Lender becomes a party hereto (or designates a new Lending Office) or (ii) in the case of a Foreign Lender, is attributable to such Foreign Lender’s failure or inability (other than as a result of a Change in Law) to comply with clause (B)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except to the extent that such Foreign Lender (or its assignor, if any) was entitled, at the time of designation of a new Lending Office (or assignment), to receive additional amounts with respect to such withholding tax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(e) any United States federal withholding taxes imposed under FATCA and (f) any United States federal withholding tax that is required by the Code to be withheld from amounts payable to the Administrative Agent attributable to the Administrative Agent’s failure to comply with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(other than amounts payable to the Administrative Agent that should reasonably be considered, as determined in good faith by the Borrower, as payments under Treas. Reg. 1.1441-1T(b)(2)(iv)(B)(2)(or any successor provision that is substantively comparable)).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Wholesale Generator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Project-Level Indebtedness</w:t>
      </w:r>
      <w:r>
        <w:rPr>
          <w:rFonts w:ascii="Arial" w:cs="Arial" w:eastAsia="Arial" w:hAnsi="Arial"/>
          <w:sz w:val="17"/>
          <w:szCs w:val="17"/>
          <w:color w:val="auto"/>
        </w:rPr>
        <w:t xml:space="preserve">” means the Indebtedness of the Project Companies existing on the Closing Date listed on </w:t>
      </w:r>
      <w:r>
        <w:rPr>
          <w:rFonts w:ascii="Arial" w:cs="Arial" w:eastAsia="Arial" w:hAnsi="Arial"/>
          <w:sz w:val="17"/>
          <w:szCs w:val="17"/>
          <w:u w:val="single" w:color="auto"/>
          <w:color w:val="auto"/>
        </w:rPr>
        <w:t>Schedule 7.02(a)</w:t>
      </w:r>
      <w:r>
        <w:rPr>
          <w:rFonts w:ascii="Arial" w:cs="Arial" w:eastAsia="Arial" w:hAnsi="Arial"/>
          <w:sz w:val="17"/>
          <w:szCs w:val="17"/>
          <w:color w:val="auto"/>
        </w:rPr>
        <w:t>.</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November 30, 2021, among Holdings, the Borrower and Bank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Pari Passu Intercreditor Agreement</w:t>
      </w:r>
      <w:r>
        <w:rPr>
          <w:rFonts w:ascii="Arial" w:cs="Arial" w:eastAsia="Arial" w:hAnsi="Arial"/>
          <w:sz w:val="18"/>
          <w:szCs w:val="18"/>
          <w:color w:val="auto"/>
        </w:rPr>
        <w:t>” means that certain First Lien Pari Passu Intercreditor Agreement, dated as of the date hereof, by and among JPMorgan, as Initial First Lien Representative and Initial First Lien Collateral Agent, and Bank of America, as the Initial Other Representative and the Initial Other Collateral Agent.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the Borrower that is not a Domestic Subsidiary.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Subsidiary of the Borrower that has no material assets other than the equity interests of one or more CFCs.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of 1935,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FPA-Jurisdictional Generation Portfolio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 MBR Authorizations, Exemptions and Waivers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Generation Portfolio Companies</w:t>
      </w:r>
      <w:r>
        <w:rPr>
          <w:rFonts w:ascii="Arial" w:cs="Arial" w:eastAsia="Arial" w:hAnsi="Arial"/>
          <w:sz w:val="18"/>
          <w:szCs w:val="18"/>
          <w:color w:val="auto"/>
        </w:rPr>
        <w:t xml:space="preserve">” means the entities listed on </w:t>
      </w:r>
      <w:r>
        <w:rPr>
          <w:rFonts w:ascii="Arial" w:cs="Arial" w:eastAsia="Arial" w:hAnsi="Arial"/>
          <w:sz w:val="18"/>
          <w:szCs w:val="18"/>
          <w:u w:val="single" w:color="auto"/>
          <w:color w:val="auto"/>
        </w:rPr>
        <w:t>Schedule 5.17(a)</w:t>
      </w:r>
      <w:r>
        <w:rPr>
          <w:rFonts w:ascii="Arial" w:cs="Arial" w:eastAsia="Arial" w:hAnsi="Arial"/>
          <w:sz w:val="18"/>
          <w:szCs w:val="18"/>
          <w:color w:val="auto"/>
        </w:rPr>
        <w:t xml:space="preserve"> and the owner of any other facility that either (i) generates electric energy and sells electric energy, capacity or ancillary services at wholesale or (ii) generates thermal energy for sale (in the form of steam, hot water, chilled water, or other forms), in which the Borrower directly or indirectly owns, controls or holds the power to vote 10% or more of the outstanding voting securities in such owner or facility.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 has the meaning specified in the Security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any (a)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Lien on any assets of such Person securing any Indebtedness or other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(after giving effect to any indemnities, rights of contribution, subrogation or other similar rights in favor of such guarantor)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Holdings and each Company Group Party (unless, in the case of a Company Group Party that is not wholly owned by a Loan Party or Affiliate thereof, such Company Group Party’s Organization Documents prohibit the guarantee by such Company Group Party of the Obligations pursuant to the Guaranty or the granting of a security interest by such Company Group Party to secure the Obligations), whether owned on the Closing Date or thereafter acquired, other than any Foreign Subsidiary.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favor of the Secured Parties.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and all other substances or wastes of any nature, in each case regulated pursuant to any Environmental Law.</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designated by the Borrower as such that, at the time it enters into an interest rate Swap Contract permitted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is an Agent, an Arranger, a Lender or an Affiliate of the foregoing, in its capacity as a party to such Swap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 Tax Equity Credit Support</w:t>
      </w:r>
      <w:r>
        <w:rPr>
          <w:rFonts w:ascii="Arial" w:cs="Arial" w:eastAsia="Arial" w:hAnsi="Arial"/>
          <w:sz w:val="17"/>
          <w:szCs w:val="17"/>
          <w:color w:val="auto"/>
        </w:rPr>
        <w:t>” means unsecured indemnification, unsecured guarantee and other unsecured credit support obligations of Holdings entered into by Holdings in favor of (x) a Tax Equity Partner or (y) the Equity Investor or an Affiliate of the Equity Investor that has itself indemnified or provided other credit support to such Tax Equity Partner, in the case of each of clauses (x) and (y), in connection with a Permitted Tax Equity Financing of a Project Company (and/or a Company Group Party that is a direct or indirect parent company of such Project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Tax Equity Payments</w:t>
      </w:r>
      <w:r>
        <w:rPr>
          <w:rFonts w:ascii="Arial" w:cs="Arial" w:eastAsia="Arial" w:hAnsi="Arial"/>
          <w:sz w:val="18"/>
          <w:szCs w:val="18"/>
          <w:color w:val="auto"/>
        </w:rPr>
        <w:t>” means payments actually made by Holdings pursuant to Holdings Tax Equity Credit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7.02(p)</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Equivalent Facility Amount</w:t>
      </w:r>
      <w:r>
        <w:rPr>
          <w:rFonts w:ascii="Arial" w:cs="Arial" w:eastAsia="Arial" w:hAnsi="Arial"/>
          <w:sz w:val="16"/>
          <w:szCs w:val="16"/>
          <w:color w:val="auto"/>
        </w:rPr>
        <w:t xml:space="preserve">” means an amount equal to $1,000,000,000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outstanding principal amount of the Term Loan.</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firstLine="1304"/>
        <w:spacing w:after="0" w:line="277" w:lineRule="auto"/>
        <w:tabs>
          <w:tab w:leader="none" w:pos="18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right="20" w:firstLine="1304"/>
        <w:spacing w:after="0" w:line="277" w:lineRule="auto"/>
        <w:tabs>
          <w:tab w:leader="none" w:pos="19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ind w:right="20" w:firstLine="1304"/>
        <w:spacing w:after="0" w:line="308" w:lineRule="auto"/>
        <w:tabs>
          <w:tab w:leader="none" w:pos="18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purchase price of property or services (other than trade accounts payable in the ordinary course of business and not past due for more than 180 days after the date on which such trade account was created);</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9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Attributable Indebtedness in respect of Capitalized Leases and Synthetic Lease Obligations of such Person and all Synthetic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Debt of such Person;</w:t>
      </w:r>
    </w:p>
    <w:p>
      <w:pPr>
        <w:spacing w:after="0" w:line="210" w:lineRule="exact"/>
        <w:rPr>
          <w:rFonts w:ascii="Arial" w:cs="Arial" w:eastAsia="Arial" w:hAnsi="Arial"/>
          <w:sz w:val="16"/>
          <w:szCs w:val="16"/>
          <w:color w:val="auto"/>
        </w:rPr>
      </w:pPr>
    </w:p>
    <w:p>
      <w:pPr>
        <w:ind w:left="1880" w:hanging="576"/>
        <w:spacing w:after="0"/>
        <w:tabs>
          <w:tab w:leader="none" w:pos="1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obligations in respect of any Disqualified Equity Interests; and</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a Pari Passu Intercreditor Agreement or Second Lien Intercreditor Agreement, as applicable.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Charges</w:t>
      </w:r>
      <w:r>
        <w:rPr>
          <w:rFonts w:ascii="Arial" w:cs="Arial" w:eastAsia="Arial" w:hAnsi="Arial"/>
          <w:sz w:val="16"/>
          <w:szCs w:val="16"/>
          <w:color w:val="auto"/>
        </w:rPr>
        <w:t>” means, for any Measurement Period, the excess of (A) the sum of (a) cash interest, cash premium payments, cash debt discount and other similar cash fees and charges in connection with borrowed money or in connection with the deferred purchase price of assets, in each case to the extent treated as interest in accordance with GAAP, (b) cash interest paid or payable with respect to discontinued operations and (c) the portion of rent expense under Capitalized Leases that is treated as cash interest in accordance with GAAP, in each case, of or by the Borrower and the Guarantors on a standalone basis for the most recently completed Measurement Period over (B) any cash interest income received by the Borrower and the Guarantors on a standalone basis during such Measurement Period; provided that, for so long as the Borrower guarantees the Indebtedness represented by the Convertible Senior Notes, (x) the items referred to in the preceding clause (A) of the Parent in respect of the Convertible Senior Notes shall be included in the preceding clause (A) and (y) the items referred to in the preceding clause (A) of the Borrower in respect of the Parent CSN Proceeds Loan shall be excluded from the preceding clause (A) to the extent they do not exceed the amount calculated pursuant to clause (x) of this proviso.</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Term SOFR Loan, the last day of each Interest Period applicable to such Term SOFR Loan and the Maturity Date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for a Term SOFR Loan exceeds three months, the respective dates that fall every three months after the beginning of such Interest Period shall also be Interest Payment Dates; and (b) as to any Base Rate Loan, the last Business Day of each March, June, September and December and the Maturity Date in respect thereof.</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as to each Term SOFR Loan, the period commencing on the date such Term SOFR Loan is disbursed or converted to or continued as a Term SOFR Loan and ending on the date one, three or six months thereafter, as selected by the Borrower in its Committed Loan Notice, or such other period that is twelve months or less requested by the Borrower and consented to by all the Lenders and the Administrative Agent (in the case of each requested Interest Period, subject to availability); provided that:</w:t>
      </w:r>
    </w:p>
    <w:p>
      <w:pPr>
        <w:spacing w:after="0" w:line="187" w:lineRule="exact"/>
        <w:rPr>
          <w:sz w:val="20"/>
          <w:szCs w:val="20"/>
          <w:color w:val="auto"/>
        </w:rPr>
      </w:pPr>
    </w:p>
    <w:p>
      <w:pPr>
        <w:jc w:val="both"/>
        <w:ind w:firstLine="656"/>
        <w:spacing w:after="0" w:line="263" w:lineRule="auto"/>
        <w:tabs>
          <w:tab w:leader="none" w:pos="12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1280" w:hanging="624"/>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as to any Person, any direct or indirect acquisition or investment by such Person in another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Except as otherwise expressly provided in this Agreement, the amount of an Investment will be the fair market value of such Investment determined at the time the Investment is made and without giving effect to subsequent changes in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if any, that a Guarantee, other guarantee, and/or credit support results in an Investment, the amount of such Investment (x) will be the fair market value thereof determined first as of the time such Investment is made and thereafter on an annual basis, (y) will be zero upon such Guarantee, other guarantee and/or credit support being released or terminated and (z) will be the fair market value of such Guarantee, other guarantee and/or credit support determined as of the time of any modification thereof, if modified or amended. Notwithstanding anything to the contrary herein, in the case of any Investment made by the Borrower or a Company Group Party in a Person substantially concurrently with a cash distribution by such Person to the Borrower or such Company Group Party, as the case may be (a “</w:t>
      </w:r>
      <w:r>
        <w:rPr>
          <w:rFonts w:ascii="Arial" w:cs="Arial" w:eastAsia="Arial" w:hAnsi="Arial"/>
          <w:sz w:val="17"/>
          <w:szCs w:val="17"/>
          <w:u w:val="single" w:color="auto"/>
          <w:color w:val="auto"/>
        </w:rPr>
        <w:t>Concurrent Cash</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Distribution</w:t>
      </w:r>
      <w:r>
        <w:rPr>
          <w:rFonts w:ascii="Arial" w:cs="Arial" w:eastAsia="Arial" w:hAnsi="Arial"/>
          <w:sz w:val="17"/>
          <w:szCs w:val="17"/>
          <w:color w:val="auto"/>
        </w:rPr>
        <w:t>”), then the amount of such Investment shall be deemed to be the fair market value of the Investment, less the amount of the Concurrent Cash Distribution.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Intellectual Property (as defined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means JPMorgan Chase Bank, N.A. and its successors.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binding judicial precedents or authorities,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under, and as defined in, the Revolving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Period Termination Date</w:t>
      </w:r>
      <w:r>
        <w:rPr>
          <w:rFonts w:ascii="Arial" w:cs="Arial" w:eastAsia="Arial" w:hAnsi="Arial"/>
          <w:sz w:val="18"/>
          <w:szCs w:val="18"/>
          <w:color w:val="auto"/>
        </w:rPr>
        <w:t>” means the earliest to occur of (a) two Business Days following the consummation of the disposition contemplated by the Thor PSA, (b)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termination or expiration of the Thor PSA and (c) the Maturity Date.</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 any acquisition or other Investment not prohibited hereunder by the Borrower or one or more of its Company Group Parties of any assets, business or Person that the Borrower or one or more of its Company Group Parties is contractually committed to consummate (it being understood that such commitment may be subject to conditions precedent, which conditions precedent may be amended, satisfied or waived in accordance with the terms of the applicable agreement), or (b) repayment, repurchase or refinancing of Indebtedness not prohibited hereunder with respect to which an irrevocable notice of repayment (or similar irrevocable notice) is delivered, in each case whose consummation is not conditioned on the availability of, or on obtaining, third party financing (or, if such a condition does exist, the Borrower or any Company Group Party, as applicable, would be required to pay any fee, liquidated damages or other amount or be subject to any indemnity, claim or other liability as a result of such third party financing not having been available or obtained).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(a) this Agreement, (b) the Notes, (c) the Collateral Documents, (d) the Fee Letter and (e) any subordination agreement entered into pursuant to </w:t>
      </w:r>
      <w:r>
        <w:rPr>
          <w:rFonts w:ascii="Arial" w:cs="Arial" w:eastAsia="Arial" w:hAnsi="Arial"/>
          <w:sz w:val="18"/>
          <w:szCs w:val="18"/>
          <w:u w:val="single" w:color="auto"/>
          <w:color w:val="auto"/>
        </w:rPr>
        <w:t>Section 7.02(n)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the Guarantors.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Services Agreement</w:t>
      </w:r>
      <w:r>
        <w:rPr>
          <w:rFonts w:ascii="Arial" w:cs="Arial" w:eastAsia="Arial" w:hAnsi="Arial"/>
          <w:sz w:val="17"/>
          <w:szCs w:val="17"/>
          <w:color w:val="auto"/>
        </w:rPr>
        <w:t>” means the Master Services Agreement, dated as of August 31, 2018, by and among Parent, Holdings, the Borrower and Clearway Energy Group LLC, as amended, supplemented, modified or otherwise replaced from time to time, other than any such amendments, supplements, modifications or replacements that would be materially adverse to the interests of the Lenders in their capacity as such.</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results of operations, properties, liabilities or financial condition of the Loan Parties and their respective Subsidiaries taken as a whole; (b) a material impairment of the rights and remedies of the Administrative Agent or any Lender under any material Loan Document, or of the ability of any Loan Party to perform its material obligations under any Loan Document to which it is a party; or (c) a material adverse effect upon the legality, validity, binding effect or enforceability against any Loan Party of any material Loan Document to which it is a party.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Company Group Party</w:t>
      </w:r>
      <w:r>
        <w:rPr>
          <w:rFonts w:ascii="Arial" w:cs="Arial" w:eastAsia="Arial" w:hAnsi="Arial"/>
          <w:sz w:val="18"/>
          <w:szCs w:val="18"/>
          <w:color w:val="auto"/>
        </w:rPr>
        <w:t>” means as of any date, any Company Group Party that would be a “significant subsidiary” as defined in Article 1, Rule 1-02 of Regulation S-X, as such Regulation is in effect on the Closing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Project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8.01(e)</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date that is three hundred and sixty-four (364) days following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date is not a Business Day, the Maturity Date shall be the next preceding Business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period of the most recently completed four fiscal quarters of the Borrower ended on or prior to such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Policies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the Borrower makes or is obligated to make contributions or during the preceding five plan years has made or been obligated to make contributions or with respect to which the Borrower has current or contingent liability as a result of being considered a single employer with any ERISA Affiliate.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with respect to the incurrence or issuance of any Indebtedness by any Loan Party or any Company Group Party or the disposition contemplated by the Thor PSA, as applicable, the excess of (i) the sum of the cash and Cash Equivalents received in connection with such transaction over (ii) the fees, underwriting discounts and commissions, taxes, and other reasonable and customary out-of-pocket costs and expenses incurred by such Loan Party or such Company Group Party in connection therewith.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Non-FPA-Jurisdictional Generation Portfolio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Non-FPA Sales Authorizations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the Term Loan made by such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the National Priorities List under CERCLA.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O&amp;M Obligations</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Permitted Operating Guarantees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or otherwise with respect to the Term Loan, any Secured Cash Management Agreement or any Secured Hedge Agreement, in each case (including those acquired by assumption), whether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“Obligations” shall exclude all Excluded Swap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Guarantees</w:t>
      </w:r>
      <w:r>
        <w:rPr>
          <w:rFonts w:ascii="Arial" w:cs="Arial" w:eastAsia="Arial" w:hAnsi="Arial"/>
          <w:sz w:val="16"/>
          <w:szCs w:val="16"/>
          <w:color w:val="auto"/>
        </w:rPr>
        <w:t>” means unsecured guarantees and/or other unsecured credit support by Holdings, the Borrower or any Company Group Party of (a) obligations of Project Companies (including obligations of Project Companies in respect of Swap Contracts that were not entered into for speculative purposes) that do not constitute Permitted Operating Guarantees, which obligations were incurred in the ordinary course of business of the Project Companies, and (b) any indemnification obligations (or similar obligations and guarantees) made by a Project Company or a Company Group Party that is a direct or indirect parent company of such Project Company that has entered into a Permitted Tax Equity Financing in favor of (i) its Tax Equity Partner or</w:t>
      </w:r>
    </w:p>
    <w:p>
      <w:pPr>
        <w:spacing w:after="0" w:line="2" w:lineRule="exact"/>
        <w:rPr>
          <w:sz w:val="20"/>
          <w:szCs w:val="20"/>
          <w:color w:val="auto"/>
        </w:rPr>
      </w:pPr>
    </w:p>
    <w:p>
      <w:pPr>
        <w:jc w:val="both"/>
        <w:ind w:firstLine="8"/>
        <w:spacing w:after="0" w:line="252"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Equity Investor or an Affiliate of the Equity Investor that has itself indemnified or provided other credit support to such Tax Equity Partner in respect of such Project Company or Company Group Party, in the case of each of clauses (i) and (ii), in respect of representations and warranties and/or other obligations not covered by clause (B) of the definition of “Permitted Operating Guarantees”;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guaranteed pursuant to Other Permitted Guarantees shall not, at any one time, exceed the sum of (a) $110,000,000 and (b) the amount of unrestricted cash that is held by the Borrower (which cash shall be held by the Borrower for so long as such guarantee is in place) and subject to a Lien in favor of the Administrative Agent for the benefit of the Secured Parties.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or any other excise or property Taxes, charges or similar levies arising from any payment made hereunder or under any other Loan Document or from the execution, delivery, performance, enforcement or registration of, from the receipt or perfection of a security interest under, or otherwise with respect to, this Agreement or any other Loan Document.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Clearway Energy, Inc., a Delaware corporation.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CSN Proceeds Loan</w:t>
      </w:r>
      <w:r>
        <w:rPr>
          <w:rFonts w:ascii="Arial" w:cs="Arial" w:eastAsia="Arial" w:hAnsi="Arial"/>
          <w:sz w:val="18"/>
          <w:szCs w:val="18"/>
          <w:color w:val="auto"/>
        </w:rPr>
        <w:t>” means unsecured Indebtedness incurred by the Borrower and owed to the Parent in an aggregate principal amount not to exceed the net proceeds of any Convertible Senior Notes issued by the Parent, the payment terms in respect of which shall be substantially similar to (or more favorable to the Borrower than) the payment obligations of the Parent under such Convertible Senior Notes.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Intercreditor Agreement</w:t>
      </w:r>
      <w:r>
        <w:rPr>
          <w:rFonts w:ascii="Arial" w:cs="Arial" w:eastAsia="Arial" w:hAnsi="Arial"/>
          <w:sz w:val="18"/>
          <w:szCs w:val="18"/>
          <w:color w:val="auto"/>
        </w:rPr>
        <w:t xml:space="preserve">” means (i) the First Lien Pari Passu Intercreditor Agreement or (ii) a Pari Passu Intercreditor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to which the Borrower contributes or has an obligation to contribute, or in the case of a multiple employer or other plan described in Section 4064(a) of ERISA, has made contributions at any time during the immediately preceding five plan years, or with respect to which the Borrower has current or contingent liability as a result of being considered a single employer with any ERISA Affiliate.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Cure Security</w:t>
      </w:r>
      <w:r>
        <w:rPr>
          <w:rFonts w:ascii="Arial" w:cs="Arial" w:eastAsia="Arial" w:hAnsi="Arial"/>
          <w:sz w:val="17"/>
          <w:szCs w:val="17"/>
          <w:color w:val="auto"/>
        </w:rPr>
        <w:t>” means Equity Interests issued by Holdings having no mandatory redemption, repurchase or similar requirements prior to 91 days after the Maturity Date, and upon which all dividends or distributions (if any) shall be payable solely in additional shares of such equity security.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Guarantees</w:t>
      </w:r>
      <w:r>
        <w:rPr>
          <w:rFonts w:ascii="Arial" w:cs="Arial" w:eastAsia="Arial" w:hAnsi="Arial"/>
          <w:sz w:val="18"/>
          <w:szCs w:val="18"/>
          <w:color w:val="auto"/>
        </w:rPr>
        <w:t>” means Permitted Operating Guarantees and Other Permitted Guarantees.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Operating Guarantees</w:t>
      </w:r>
      <w:r>
        <w:rPr>
          <w:rFonts w:ascii="Arial" w:cs="Arial" w:eastAsia="Arial" w:hAnsi="Arial"/>
          <w:sz w:val="16"/>
          <w:szCs w:val="16"/>
          <w:color w:val="auto"/>
        </w:rPr>
        <w:t>” means (A) unsecured guarantees and/or other unsecured credit support by Holdings, the Borrower or any Company Group Party of (i) customary contractual obligations of the Project Companies which have been incurred in the ordinary course of business on fair and reasonable terms substantially as favorable to such Person as would be obtained at the time in a comparable arm’s length transaction in respect of the operation and maintenance of the energy generating, transmission or distribution assets, and assets related thereto, owned or leased by such Person (collectively, “</w:t>
      </w:r>
      <w:r>
        <w:rPr>
          <w:rFonts w:ascii="Arial" w:cs="Arial" w:eastAsia="Arial" w:hAnsi="Arial"/>
          <w:sz w:val="16"/>
          <w:szCs w:val="16"/>
          <w:u w:val="single" w:color="auto"/>
          <w:color w:val="auto"/>
        </w:rPr>
        <w:t>O&amp;M Obligations</w:t>
      </w:r>
      <w:r>
        <w:rPr>
          <w:rFonts w:ascii="Arial" w:cs="Arial" w:eastAsia="Arial" w:hAnsi="Arial"/>
          <w:sz w:val="16"/>
          <w:szCs w:val="16"/>
          <w:color w:val="auto"/>
        </w:rPr>
        <w:t>”), but excluding (a) obligations constituting Indebtedness (unless such obligations which otherwise would have constituted O&amp;M Obligations are Indebtedness solely due to clause (d) of the definition of Indebtedness) and (b) obligations to acquire, construct or remediate assets (including obligations in respect of capital expenditures and other capital improvements) (clauses (a) and (b), “</w:t>
      </w:r>
      <w:r>
        <w:rPr>
          <w:rFonts w:ascii="Arial" w:cs="Arial" w:eastAsia="Arial" w:hAnsi="Arial"/>
          <w:sz w:val="16"/>
          <w:szCs w:val="16"/>
          <w:u w:val="single" w:color="auto"/>
          <w:color w:val="auto"/>
        </w:rPr>
        <w:t>Excluded Obligations</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86" w:lineRule="auto"/>
        <w:tabs>
          <w:tab w:leader="none" w:pos="2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obligations of Project Companies in respect of surety bonds and performance guarantees incurred in the ordinary course of business with respect to O&amp;M Obligations or remediation obligations in respect of the energy generating, transmission and distribution assets, and assets related thereto, owned or leased by such Person and (B) indemnification obligations (or similar obligations and guarantees) made by a Project Company or a Company Group Party that is a direct or indirect parent company of such Project Company that has entered into a Permitted Tax Equity Financing in favor of (x) its Tax Equity Partner or (y) the Equity Investor or an Affiliate of the Equity Investor that has itself indemnified or provided other credit support to such Tax Equity Partner in respect of such Project Company or Company Group Party, in the case of each of clauses (x) and (y), in respect of representations and warranties with respect to (1) O&amp;M Obligations of such Project Company (other than Excluded Obligations) and (2) upstream transfers that adversely affect the tax status of such Project Company, in each case made by (x) such Project Company or (y) a Company Group Party that is a direct or indirect parent company of such Project Company, in each case pursuant to any definitive documentation in respect of the applicable Permitted Tax Equity Financing.</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Prior Liens</w:t>
      </w:r>
      <w:r>
        <w:rPr>
          <w:rFonts w:ascii="Arial" w:cs="Arial" w:eastAsia="Arial" w:hAnsi="Arial"/>
          <w:sz w:val="18"/>
          <w:szCs w:val="18"/>
          <w:color w:val="auto"/>
        </w:rPr>
        <w:t xml:space="preserve">” means (a) in the case of Equity Interests, the Liens described in clauses (b) and (i)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(b) in the case of all other Collateral, the Liens described in clauses (b), (d), (e), (f), (g), (i), (j), (n) and (p) of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Project Company Indebtedness</w:t>
      </w:r>
      <w:r>
        <w:rPr>
          <w:rFonts w:ascii="Arial" w:cs="Arial" w:eastAsia="Arial" w:hAnsi="Arial"/>
          <w:sz w:val="17"/>
          <w:szCs w:val="17"/>
          <w:color w:val="auto"/>
        </w:rPr>
        <w:t xml:space="preserve">” means, with respect to any Project Company, (a) intercompany Indebtedness of such Project Company with any Loan Party to the extent such Loan Party is permitted to make an Investment in such Project Company hereunder in the amount of such Indebtedness and (b) Existing Project-Level Indebtedness and other Project-Level Indebtedness owed to an unrelated Person with respect to which the creditor has no recourse (including by virtue of a Lien, guarantee or otherwise) to any Loan Party (it being understood that such restriction on recourse to a Loan Party shall not restrict (i) any acquisition or contribution agreement (including any equity contribution agreement) with respect to any Investment permitted hereunder entered into by such Loan Party, (ii) rights of such Project Company under a Project Obligation collaterally assigned to such creditor, which rights may be exercised pursuant to such Project Obligation against any Loan Party that is party to such Project Obligation, or (iii) Permitted Guarantees or other Guarantees permitted under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Convertible Senior Notes</w:t>
      </w:r>
      <w:r>
        <w:rPr>
          <w:rFonts w:ascii="Arial" w:cs="Arial" w:eastAsia="Arial" w:hAnsi="Arial"/>
          <w:sz w:val="18"/>
          <w:szCs w:val="18"/>
          <w:color w:val="auto"/>
        </w:rPr>
        <w:t>” has the meaning set forth in the definition of “Convertible Senior Notes”.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any Indebtedness of the Borrower or any Company Group Party issued in exchange for, or the net proceeds of which are used to refund, refinance, replace, defease or discharge, other Indebtedness of such Person (other than intercompany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firstLine="8"/>
        <w:spacing w:after="0" w:line="284" w:lineRule="auto"/>
        <w:tabs>
          <w:tab w:leader="none" w:pos="2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accrued interest on such Indebtedness and the amount of all expenses and premiums, underwriting, issuance, commitment, syndication and other similar fees, costs and expenses incurred in connection therewith); (b) such Permitted Refinancing Indebtedness has a Weighted Average Life to Maturity equal to or greater than the Weighted Average Life to Maturity of the Indebtedness being extended, refinanced, renewed, replaced, defeased or refunded; (c) if the Indebtedness being extended, refinanced, renewed, replaced, defeased or refunded is subordinated in right of payment to the Obligations, such Permitted Refinancing Indebtedness is subordinated in right of payment to the Obligations on terms at least as favorable to the Lenders as those contained in the documentation governing the Indebtedness being extended, refinanced, renewed, replaced, defeased or refunded; (d)(i) if the Stated Maturity of the Indebtedness being refinanced is earlier than the Maturity Date, the Permitted Refinancing Indebtedness has a Stated Maturity no earlier than the Stated Maturity of the Indebtedness being refinanced or (ii) if the Stated Maturity of the Indebtedness being refinanced is on or later than the Maturity Date, the Permitted Refinancing Indebtedness has a Stated Maturity at least 91 days later than the Maturity Date; (e) (i) if such Indebtedness being extended, refinanced, renewed, replaced, defeased or refunded is secured, the terms of the security documents of such Permitted Refinancing Indebtedness shall be no more favorable to the secured parties in respect of such Permitted Refinancing Indebtedness than the terms of the security documents of such Indebtedness being extended, refinanced, renewed, replaced, defeased or refunded or (ii) if such Indebtedness being extended, refinanced, renewed, replaced, defeased or refunded is unsecured, the obligations in respect of such Permitted Refinancing Indebtedness shall be unsecured; and (f)(x) if such Indebtedness being extended, refinanced, renewed, replaced, defeased or refunded constitutes Indebtedness of (i) the Borrower, such Permitted Refinancing Indebtedness shall constitute Indebtedness of the Borrower and (ii) any Company Group Party, such Permitted Refinancing Indebtedness shall constitute Indebtedness of such Company Group Party and (y) no additional obligors or guarantors shall be added in respect of such Permitted Refinancing Indebtedness that were not obligors or guarantors of the Indebtedness being extended, refinanced, renewed, replaced, defeased or refunded.</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Tax Equity Financing</w:t>
      </w:r>
      <w:r>
        <w:rPr>
          <w:rFonts w:ascii="Arial" w:cs="Arial" w:eastAsia="Arial" w:hAnsi="Arial"/>
          <w:sz w:val="16"/>
          <w:szCs w:val="16"/>
          <w:color w:val="auto"/>
        </w:rPr>
        <w:t>” means a tax equity financing entered into solely in connection with the acquisition, expansion, upgrade or refurbishment (or refinancing of any of the foregoing or of any Indebtedness incurred in connection therewith) of or by a Project Company (and/or a Company Group Party that is a direct or indirect parent company of such Project Company)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arm’s-length basis.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Tax Equity Financing Documents</w:t>
      </w:r>
      <w:r>
        <w:rPr>
          <w:rFonts w:ascii="Arial" w:cs="Arial" w:eastAsia="Arial" w:hAnsi="Arial"/>
          <w:sz w:val="18"/>
          <w:szCs w:val="18"/>
          <w:color w:val="auto"/>
        </w:rPr>
        <w:t>” means each of the agreements, instruments, undertakings and other documents evidencing Permitted Tax Equity Financing.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(as such term is defined in Section 3(3) of ERISA) established by the Borrower or, with respect to any such plan that is subject to Section 412 of the Code or Title IV of ERISA, any ERISA Affiliate, but for the avoidance of doubt, excluding any Multiemployer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Companies</w:t>
      </w:r>
      <w:r>
        <w:rPr>
          <w:rFonts w:ascii="Arial" w:cs="Arial" w:eastAsia="Arial" w:hAnsi="Arial"/>
          <w:sz w:val="18"/>
          <w:szCs w:val="18"/>
          <w:color w:val="auto"/>
        </w:rPr>
        <w:t>” means:</w:t>
      </w:r>
    </w:p>
    <w:p>
      <w:pPr>
        <w:spacing w:after="0" w:line="225" w:lineRule="exact"/>
        <w:rPr>
          <w:sz w:val="20"/>
          <w:szCs w:val="20"/>
          <w:color w:val="auto"/>
        </w:rPr>
      </w:pPr>
    </w:p>
    <w:p>
      <w:pPr>
        <w:ind w:left="1780" w:hanging="476"/>
        <w:spacing w:after="0"/>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each entity listed on Part (e) of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8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any new direct or indirect Subsidiary of any Loan Party that (i) is created or acquired by any Loan Party in accordance with the terms hereof, (ii) is the direct owner, lessee or developer or is intended to become the direct owner, lessee or developer of energy generating, transmission or distribution assets, or assets related thereto, or of any other power or energy facility, or any assets relating to any of the foregoing, (iii) has no Subsidiaries and owns no material assets other than those assets necessary for the ownership, leasing, development, construction or operation of the relevant assets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or any activities reasonably related or ancillary thereto, and (iv) has no Indebtedness other than Permitted Project Company Indebtedness; and</w:t>
      </w:r>
    </w:p>
    <w:p>
      <w:pPr>
        <w:spacing w:after="0" w:line="192" w:lineRule="exact"/>
        <w:rPr>
          <w:rFonts w:ascii="Arial" w:cs="Arial" w:eastAsia="Arial" w:hAnsi="Arial"/>
          <w:sz w:val="18"/>
          <w:szCs w:val="18"/>
          <w:color w:val="auto"/>
        </w:rPr>
      </w:pPr>
    </w:p>
    <w:p>
      <w:pPr>
        <w:jc w:val="both"/>
        <w:ind w:firstLine="1304"/>
        <w:spacing w:after="0" w:line="311" w:lineRule="auto"/>
        <w:tabs>
          <w:tab w:leader="none" w:pos="18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any direct or indirect parent of any Subsidiary described in clause (b) above that (i) has no Subsidiaries other than Subsidiaries that meet the qualifications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or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(ii) owns no material assets other than those assets of the type described in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above, (iii) has no Indebtedness other than Permitted Project Company Indebtedness and (iv) is not a direct Subsidiary of the Borrower;</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(x) in no event shall any Loan Party constitute a Project Company and (y) all Project Companies shall be Subsidiaries of the Borrower.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Annual Projections and the Closing Date Projections.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Project-Level Indebtedness</w:t>
      </w:r>
      <w:r>
        <w:rPr>
          <w:rFonts w:ascii="Arial" w:cs="Arial" w:eastAsia="Arial" w:hAnsi="Arial"/>
          <w:sz w:val="17"/>
          <w:szCs w:val="17"/>
          <w:color w:val="auto"/>
        </w:rPr>
        <w:t>” means (a) Existing Project-Level Indebtedness, (b) any additional Indebtedness (including, for purposes of this definition solely when used in the definition of “Permitted Project Company Indebtedness,” trade accounts payable created in the ordinary course of business and not past due for more than 180 days after the date on which such trade account was created, and including any Indebtedness incurred by any Project Company that is the direct parent of another Project Company to finance its equity ownership interest in such Project Company) of any Project Companies incurred after April 30, 2018 and (c) any of the foregoing that is extended, renewed, replaced or refinanced from time to time.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Project-Level Indebtedness Documents</w:t>
      </w:r>
      <w:r>
        <w:rPr>
          <w:rFonts w:ascii="Arial" w:cs="Arial" w:eastAsia="Arial" w:hAnsi="Arial"/>
          <w:sz w:val="18"/>
          <w:szCs w:val="18"/>
          <w:color w:val="auto"/>
        </w:rPr>
        <w:t>” means each of the agreements, instruments, undertakings and other documents evidencing Project-Level Indebtedness.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Obligation</w:t>
      </w:r>
      <w:r>
        <w:rPr>
          <w:rFonts w:ascii="Arial" w:cs="Arial" w:eastAsia="Arial" w:hAnsi="Arial"/>
          <w:sz w:val="18"/>
          <w:szCs w:val="18"/>
          <w:color w:val="auto"/>
        </w:rPr>
        <w:t>” means, as to Holdings or any of its Subsidiaries, any Contractual Obligations of such Person under power purchase agreements; agreements for the purchase and sale of energy and renewable energy credits, climate change levy exemption certificates, embedded benefits and other environmental attributes; decommissioning agreements; Tax indemnities; operation and maintenance agreements; leases; development contracts; construction contracts; management services contracts; share retention agreements; warranties; bylaws, operating agreements, joint development agreements and other organizational documents; and other similar ordinary course contracts entered into in connection with owning, operating, developing or constructing energy generating, transmission or distribution assets, or assets related thereto, or any other power or energy facility, or any assets relating to any of the foregoing.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PURPA</w:t>
      </w:r>
      <w:r>
        <w:rPr>
          <w:rFonts w:ascii="Arial" w:cs="Arial" w:eastAsia="Arial" w:hAnsi="Arial"/>
          <w:sz w:val="18"/>
          <w:szCs w:val="18"/>
          <w:color w:val="auto"/>
        </w:rPr>
        <w:t>” means the Public Utility Regulatory Policies Act of 1978, as amended.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w:t>
      </w:r>
      <w:r>
        <w:rPr>
          <w:rFonts w:ascii="Arial" w:cs="Arial" w:eastAsia="Arial" w:hAnsi="Arial"/>
          <w:sz w:val="18"/>
          <w:szCs w:val="18"/>
          <w:color w:val="auto"/>
        </w:rPr>
        <w:t xml:space="preserve">” means any one or more transactions (i) pursuant to which the Borrower acquires, for an aggregate purchase price of not less than $200,000,000, a controlling interest (or, if it shall already own a controlling interest in such Person, an additional interest) in excess of 50% of, or property or assets of, or of an operating division or business unit of, any other Person and (ii) which is designated by the Borrower by written notice to the Administrative Agent as a Qualified Acquisition in accordance with </w:t>
      </w:r>
      <w:r>
        <w:rPr>
          <w:rFonts w:ascii="Arial" w:cs="Arial" w:eastAsia="Arial" w:hAnsi="Arial"/>
          <w:sz w:val="18"/>
          <w:szCs w:val="18"/>
          <w:u w:val="single" w:color="auto"/>
          <w:color w:val="auto"/>
        </w:rPr>
        <w:t>Section 6.02(f)</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 Closing Date</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Acquisition Period</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Facility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advisors, controlling persons, members, successors and assigns of such Person and of such Person’s Affiliates.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pumping, pouring, injection, escaping, deposit, disposal, discharge, dispersal, dumping, leaching or migration of any Hazardous Material into the indoor or outdoor environment (including abandonment or disposal of any barrels, containers or other closed receptacles containing any Hazardous Material), including the movement of any Hazardous Material through the air, soil, surface water or groundwater.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holding more than 50% of the aggregate principal amount of the outstanding Term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outstanding Term Loan held or deemed held by any Defaulting Lender shall be excluded for purposes of making a determination of Required Lenders.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Administrative Agent</w:t>
      </w:r>
      <w:r>
        <w:rPr>
          <w:rFonts w:ascii="Arial" w:cs="Arial" w:eastAsia="Arial" w:hAnsi="Arial"/>
          <w:sz w:val="18"/>
          <w:szCs w:val="18"/>
          <w:color w:val="auto"/>
        </w:rPr>
        <w:t>” means the Administrative Agent under, and as defined in, the Revolving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means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that certain Fourth Amendment to Amended and Restated Credit Agreement, dated as of November 30, 2018, that certain Fifth Amendment to Amended and Restated Credit Agreement, dated as of December 20, 2019 and that certain Sixth Amendment to Amended and Restated Credit Agreement, dated as of the Closing Date), by and among the Borrower, Holdings, JPMorgan, as Revolving Administrative Agent, and the lenders and letter of credit issuers party thereto from time to time.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Agreement</w:t>
      </w:r>
      <w:r>
        <w:rPr>
          <w:rFonts w:ascii="Arial" w:cs="Arial" w:eastAsia="Arial" w:hAnsi="Arial"/>
          <w:sz w:val="18"/>
          <w:szCs w:val="18"/>
          <w:color w:val="auto"/>
        </w:rPr>
        <w:t>” means the Right of First Offer Agreement, dated as of August 31, 2018, among Parent and Clearway Energy Group LLC and, solely for the limited purposes specified therein, GIP III Zephyr Acquisition Partners, L.P., as amended by the First Amendment, dated as of February 14, 2019, the Second Amendment, dated as of August 1, 2019, the Third Amendment, dated as of December 6, 2019, the Fourth Amendment, dated as of November 2, 2020, the Fifth Amendment, dated as of August 2, 2021, and as further amended, supplemented, modified or otherwise replaced from time to time other than any such amendments, supplements, modifications or replacements that would be materially adverse to the interest of the Lenders in their capacity as such.</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of comprehensive Sanctions (at the time of this Agreement, Crimea, Cuba, Iran, North Korea and Syria).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 described in the foregoing clauses (a) or (b).</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the United Kingdom.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Lien Intercreditor Agreement</w:t>
      </w:r>
      <w:r>
        <w:rPr>
          <w:rFonts w:ascii="Arial" w:cs="Arial" w:eastAsia="Arial" w:hAnsi="Arial"/>
          <w:sz w:val="16"/>
          <w:szCs w:val="16"/>
          <w:color w:val="auto"/>
        </w:rPr>
        <w:t xml:space="preserve">” means (i) so long as the Revolving Credit Agreement is in effect, an agreement substantially in the form attached to the Revolving Credit Agreement as of the Closing Date and (ii) otherwise a Second Lien Intercreditor Agreement substantially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the Borrower and any Cash Management Bank and that is designated by the Borrower as such.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interest rate Swap Contract permitted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entered into by and between the Borrower and any Hedge Bank and that is designated by the Borrower as such.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Hedge Banks, the Cash Management Banks, each Indemnitee, and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Agreements</w:t>
      </w:r>
      <w:r>
        <w:rPr>
          <w:rFonts w:ascii="Arial" w:cs="Arial" w:eastAsia="Arial" w:hAnsi="Arial"/>
          <w:sz w:val="18"/>
          <w:szCs w:val="18"/>
          <w:color w:val="auto"/>
        </w:rPr>
        <w:t>” means each amended and restated securities account control agreement entered into by a Loan Party, the Administrative Agent or the Revolving Administrative Agent, and the applicable securities intermediary party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means the Secured Overnight Financing Rate as administered by the Federal Reserve Bank of New York (or a successor administrator).</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Adjustment</w:t>
      </w:r>
      <w:r>
        <w:rPr>
          <w:rFonts w:ascii="Arial" w:cs="Arial" w:eastAsia="Arial" w:hAnsi="Arial"/>
          <w:sz w:val="18"/>
          <w:szCs w:val="18"/>
          <w:color w:val="auto"/>
        </w:rPr>
        <w:t>” with respect to Daily Simple SOFR means 0.11448% (11.448 basis points); and with respect to Term SOFR means 0.10% (10.000 basis points) for an Interest Period of one-month’s duration, 0.15% (15.000 basis points) for an Interest Period of three-month’s duration and and 0.25% (25.000 basis points) for an Interest Period of six-months’ duration.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w:t>
      </w:r>
    </w:p>
    <w:p>
      <w:pPr>
        <w:spacing w:after="0" w:line="1" w:lineRule="exact"/>
        <w:rPr>
          <w:sz w:val="20"/>
          <w:szCs w:val="20"/>
          <w:color w:val="auto"/>
        </w:rPr>
      </w:pPr>
    </w:p>
    <w:p>
      <w:pPr>
        <w:jc w:val="both"/>
        <w:ind w:firstLine="8"/>
        <w:spacing w:after="0" w:line="253" w:lineRule="auto"/>
        <w:tabs>
          <w:tab w:leader="none" w:pos="2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Person is not engaged in business or a transaction, and is not about to engage in business or a transaction, for which such Person’s property would constitute an unreasonably small capital and (e) such Person is able to pay its debts and liabilities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and after taking into account any indemnification, contribution, subrogation and other similar rights.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w:t>
      </w:r>
      <w:r>
        <w:rPr>
          <w:rFonts w:ascii="Arial" w:cs="Arial" w:eastAsia="Arial" w:hAnsi="Arial"/>
          <w:sz w:val="18"/>
          <w:szCs w:val="18"/>
          <w:color w:val="auto"/>
        </w:rPr>
        <w:t>r” 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Affiliates</w:t>
      </w:r>
      <w:r>
        <w:rPr>
          <w:rFonts w:ascii="Arial" w:cs="Arial" w:eastAsia="Arial" w:hAnsi="Arial"/>
          <w:sz w:val="18"/>
          <w:szCs w:val="18"/>
          <w:color w:val="auto"/>
        </w:rPr>
        <w:t>” means each Affiliate of the Sponsor that is not a portfolio company.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means, with respect to the final installment of interest or principal on any series of Indebtedness, the date on which such payment of interest or principal was scheduled to be paid in the documentation governing such Indebtedness, and will not include any contingent obligations to repay, redeem or repurchase any such interest or principal prior to the date originally scheduled for the payment thereof.</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7"/>
          <w:szCs w:val="17"/>
          <w:u w:val="single" w:color="auto"/>
          <w:color w:val="auto"/>
        </w:rPr>
        <w:t>Subsidiary</w:t>
      </w:r>
      <w:r>
        <w:rPr>
          <w:rFonts w:ascii="Arial" w:cs="Arial" w:eastAsia="Arial" w:hAnsi="Arial"/>
          <w:sz w:val="17"/>
          <w:szCs w:val="17"/>
          <w:color w:val="auto"/>
        </w:rPr>
        <w:t>” or to “</w:t>
      </w:r>
      <w:r>
        <w:rPr>
          <w:rFonts w:ascii="Arial" w:cs="Arial" w:eastAsia="Arial" w:hAnsi="Arial"/>
          <w:sz w:val="17"/>
          <w:szCs w:val="17"/>
          <w:u w:val="single" w:color="auto"/>
          <w:color w:val="auto"/>
        </w:rPr>
        <w:t>Subsidiaries</w:t>
      </w:r>
      <w:r>
        <w:rPr>
          <w:rFonts w:ascii="Arial" w:cs="Arial" w:eastAsia="Arial" w:hAnsi="Arial"/>
          <w:sz w:val="17"/>
          <w:szCs w:val="17"/>
          <w:color w:val="auto"/>
        </w:rPr>
        <w:t>” shall refer to a Subsidiary or Subsidiaries of Holdings and shall exclude all Equity Investor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foreign exchange and/or currency hedges, swaps, collars, caps or other similar currency derivatives,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w:t>
      </w:r>
    </w:p>
    <w:p>
      <w:pPr>
        <w:spacing w:after="0" w:line="4" w:lineRule="exact"/>
        <w:rPr>
          <w:sz w:val="20"/>
          <w:szCs w:val="20"/>
          <w:color w:val="auto"/>
        </w:rPr>
      </w:pPr>
    </w:p>
    <w:p>
      <w:pPr>
        <w:jc w:val="both"/>
        <w:ind w:firstLine="8"/>
        <w:spacing w:after="0" w:line="252" w:lineRule="auto"/>
        <w:tabs>
          <w:tab w:leader="none" w:pos="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swaps, caps, collars, puts, calls, floors, futures, options, spots, forwards, power purchase or sale agreements, emissions credit purchase or sales agreements, power transmission agreements, netting agreements, commercial or trading agreements, each with respect to, or involving the purchase, transmission, distribution, sale, lease or hedge of, any energy, generation capacity or fuel, or any other energy commodity, service or risk, price or price indices for any such commodities and (c) any and all transactions of any kind, and the related confirmations, which are subject to the terms and conditions of, or governed by, any form of master agreement published by the International Swaps and Derivatives Association, Inc.,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or as a liability on the consolidated balance sheet of such Person and its Subsidiaries in accordance with GAAP.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 Obligation</w:t>
      </w:r>
      <w:r>
        <w:rPr>
          <w:rFonts w:ascii="Arial" w:cs="Arial" w:eastAsia="Arial" w:hAnsi="Arial"/>
          <w:sz w:val="18"/>
          <w:szCs w:val="18"/>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Equity Partner</w:t>
      </w:r>
      <w:r>
        <w:rPr>
          <w:rFonts w:ascii="Arial" w:cs="Arial" w:eastAsia="Arial" w:hAnsi="Arial"/>
          <w:sz w:val="17"/>
          <w:szCs w:val="17"/>
          <w:color w:val="auto"/>
        </w:rPr>
        <w:t>” means any tax equity partner that (x) has entered into a joint venture agreement, limited liability company agreement or similar arrangement with a Project Company (and/or a Company Group Party that is a direct or indirect parent company of such Project Company) in connection with the consummation of a Permitted Tax Equity Financing and (y) is not an Affiliate of such Project Company or Company Group Party.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as to each Lender, its obligation to make the Term Loan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an aggregate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“Term Loan Commitment”.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means the aggregate amount of the Lenders’ Term Loan Commitments and the Term Loans made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w:t>
      </w:r>
    </w:p>
    <w:p>
      <w:pPr>
        <w:spacing w:after="0" w:line="225" w:lineRule="exact"/>
        <w:rPr>
          <w:sz w:val="20"/>
          <w:szCs w:val="20"/>
          <w:color w:val="auto"/>
        </w:rPr>
      </w:pPr>
    </w:p>
    <w:p>
      <w:pPr>
        <w:jc w:val="both"/>
        <w:ind w:firstLine="1304"/>
        <w:spacing w:after="0" w:line="279" w:lineRule="auto"/>
        <w:tabs>
          <w:tab w:leader="none" w:pos="195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 for such Interest Period</w:t>
      </w:r>
      <w:r>
        <w:rPr>
          <w:rFonts w:ascii="Arial" w:cs="Arial" w:eastAsia="Arial" w:hAnsi="Arial"/>
          <w:sz w:val="17"/>
          <w:szCs w:val="17"/>
          <w:b w:val="1"/>
          <w:bCs w:val="1"/>
          <w:color w:val="auto"/>
        </w:rPr>
        <w:t>;</w:t>
      </w:r>
      <w:r>
        <w:rPr>
          <w:rFonts w:ascii="Arial" w:cs="Arial" w:eastAsia="Arial" w:hAnsi="Arial"/>
          <w:sz w:val="17"/>
          <w:szCs w:val="17"/>
          <w:color w:val="auto"/>
        </w:rPr>
        <w:t xml:space="preserve"> and</w:t>
      </w:r>
    </w:p>
    <w:p>
      <w:pPr>
        <w:spacing w:after="0" w:line="171" w:lineRule="exact"/>
        <w:rPr>
          <w:rFonts w:ascii="Arial" w:cs="Arial" w:eastAsia="Arial" w:hAnsi="Arial"/>
          <w:sz w:val="17"/>
          <w:szCs w:val="17"/>
          <w:color w:val="auto"/>
        </w:rPr>
      </w:pPr>
    </w:p>
    <w:p>
      <w:pPr>
        <w:ind w:right="20" w:firstLine="1304"/>
        <w:spacing w:after="0" w:line="277" w:lineRule="auto"/>
        <w:tabs>
          <w:tab w:leader="none" w:pos="18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the Term SOFR Screen Rate with a term of one month commencing that day;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SOFR determined in accordance with either of the foregoing clauses (a) or (b) of this definition would otherwise be less than zero, the Term SOFR shall be deemed zero for purposes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means a Term Loan that bears interest at a rate based on clause (a) of the definition of Term SOFR.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Replacement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Screen Rate</w:t>
      </w:r>
      <w:r>
        <w:rPr>
          <w:rFonts w:ascii="Arial" w:cs="Arial" w:eastAsia="Arial" w:hAnsi="Arial"/>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Thermal Utilities</w:t>
      </w:r>
      <w:r>
        <w:rPr>
          <w:rFonts w:ascii="Arial" w:cs="Arial" w:eastAsia="Arial" w:hAnsi="Arial"/>
          <w:sz w:val="17"/>
          <w:szCs w:val="17"/>
          <w:color w:val="auto"/>
        </w:rPr>
        <w:t>” means Generation Portfolio Companies, Project Companies, or Company Group Parties that are regulated as public utilities by state public utility commissions, but only with regard to their production and sale of thermal energy in the form of steam and chilled water.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Thor PSA</w:t>
      </w:r>
      <w:r>
        <w:rPr>
          <w:rFonts w:ascii="Arial" w:cs="Arial" w:eastAsia="Arial" w:hAnsi="Arial"/>
          <w:sz w:val="18"/>
          <w:szCs w:val="18"/>
          <w:color w:val="auto"/>
        </w:rPr>
        <w:t>” means that certain Membership Interest Purchase Agreement, dated as of October 22, 2021, by and among the Borrower and KKR Thor Bidco,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$100,000,000.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Assets</w:t>
      </w:r>
      <w:r>
        <w:rPr>
          <w:rFonts w:ascii="Arial" w:cs="Arial" w:eastAsia="Arial" w:hAnsi="Arial"/>
          <w:sz w:val="16"/>
          <w:szCs w:val="16"/>
          <w:color w:val="auto"/>
        </w:rPr>
        <w:t>” means, as at any date of determination, the tangible assets of the Loan Parties determined on a consolidated basis and without duplication.</w:t>
      </w: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Debt</w:t>
      </w:r>
      <w:r>
        <w:rPr>
          <w:rFonts w:ascii="Arial" w:cs="Arial" w:eastAsia="Arial" w:hAnsi="Arial"/>
          <w:sz w:val="17"/>
          <w:szCs w:val="17"/>
          <w:color w:val="auto"/>
        </w:rPr>
        <w:t>” means, as of any date of determination, for the Borrower and the Guarantors, the sum of (a) the outstanding principal amount of all obligations, whether current or long-term, for borrowed money (including Obligations hereunder constituting indebtedness for borrowed money) and all obligations evidenced by bonds, debentures, notes, loan agreements or other similar instruments constituting Indebtedness,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constituting Indebtedness, (e) all Attributable Indebtedness, (f) without duplication, all Guarantees with respect to outstanding Indebtedness of the types specified in clauses (a) through (e) above of Persons other than the Borrower and the Guarantors and (g) all Indebtedness of the types referred to in clauses (a) through (f) above of any partnership or joint venture (other than a joint venture that is itself a corporation or limited liability company) in which the Borrower or any Guarantor is a general partner or joint venturer, unless such Indebtedness is expressly made non-recourse or limited recourse to the Borrower and the Guarantors (it being understood that, in respect of limited recourse Indebtedness, Total Debt will be limited to the extent of such recourse). Notwithstanding anything herein to the contrary, (i) the undrawn amount of any Letters of Credit that are outstanding shall be excluded and not be given any effect in the calculation of Total Debt, (ii) the amount of any surety bonds that are outstanding and that are not subject to an outstanding claim shall be excluded and not be given any effect in the calculation of Total Debt, and (iii) for so long as the Borrower guarantees the Indebtedness represented by the Convertible Senior Notes, the Parent CSN Proceeds Loan shall not constitute Total Debt, except to the extent the aggregate principal amount of the Parent CSN Proceeds Loan exceeds the aggregate principal amount guaranteed by the Borrower in respect of the Indebtedness represented by the Convertible Senior Notes (in which case the amount of such excess shall constitute Total Debt in addition to the amount guaranteed by the Borrower in respect of the Indebtedness represented by the Convertible Senior Notes).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means, collectively, (a) the entering into by the Loan Parties of the Loan Documents to which they are or are intended to be a party, (b) the consummation of the Utah Solar Portfolio Acquisition and (c) the payment of the fees and expenses incurred in connection with the consummation of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Term Loan, its character as a Base Rate Loan or a Term SOFR Loan.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Unencumbered Company Group Parties</w:t>
      </w:r>
      <w:r>
        <w:rPr>
          <w:rFonts w:ascii="Arial" w:cs="Arial" w:eastAsia="Arial" w:hAnsi="Arial"/>
          <w:sz w:val="17"/>
          <w:szCs w:val="17"/>
          <w:color w:val="auto"/>
        </w:rPr>
        <w:t xml:space="preserve">” means Company Group Parties that have not issued Guarantees pursuant to </w:t>
      </w:r>
      <w:r>
        <w:rPr>
          <w:rFonts w:ascii="Arial" w:cs="Arial" w:eastAsia="Arial" w:hAnsi="Arial"/>
          <w:sz w:val="17"/>
          <w:szCs w:val="17"/>
          <w:u w:val="single" w:color="auto"/>
          <w:color w:val="auto"/>
        </w:rPr>
        <w:t>Section 7.02(j)</w:t>
      </w:r>
      <w:r>
        <w:rPr>
          <w:rFonts w:ascii="Arial" w:cs="Arial" w:eastAsia="Arial" w:hAnsi="Arial"/>
          <w:sz w:val="17"/>
          <w:szCs w:val="17"/>
          <w:color w:val="auto"/>
        </w:rPr>
        <w:t xml:space="preserve"> hereof.</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Unencumbered Total Assets</w:t>
      </w:r>
      <w:r>
        <w:rPr>
          <w:rFonts w:ascii="Arial" w:cs="Arial" w:eastAsia="Arial" w:hAnsi="Arial"/>
          <w:sz w:val="18"/>
          <w:szCs w:val="18"/>
          <w:color w:val="auto"/>
        </w:rPr>
        <w:t xml:space="preserve">” means, as at any date of determination, the assets of the Loan Parties which are not subject to Liens (other than, for the avoidance of doubt, Liens granted in favor of the Administrative Agent for the benefit of the Secured Parties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Sections 7.01(c)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r>
        <w:rPr>
          <w:rFonts w:ascii="Arial" w:cs="Arial" w:eastAsia="Arial" w:hAnsi="Arial"/>
          <w:sz w:val="18"/>
          <w:szCs w:val="18"/>
          <w:color w:val="auto"/>
        </w:rPr>
        <w:t>), determined on a consolidated basis and without duplication.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Utah Solar Portfolio Acquisition</w:t>
      </w:r>
      <w:r>
        <w:rPr>
          <w:rFonts w:ascii="Arial" w:cs="Arial" w:eastAsia="Arial" w:hAnsi="Arial"/>
          <w:sz w:val="18"/>
          <w:szCs w:val="18"/>
          <w:color w:val="auto"/>
        </w:rPr>
        <w:t>” means the acquisition of the remaining Equity Interests in Four Brothers Solar, LLC, Iron Spring Holdings, LLC and Granite Mountain Holdings, LLC pursuant to the Utah Solar Portfolio Acquisition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Utah Solar Portfolio Acquisition Agreement</w:t>
      </w:r>
      <w:r>
        <w:rPr>
          <w:rFonts w:ascii="Arial" w:cs="Arial" w:eastAsia="Arial" w:hAnsi="Arial"/>
          <w:sz w:val="18"/>
          <w:szCs w:val="18"/>
          <w:color w:val="auto"/>
        </w:rPr>
        <w:t>” means the Purchase and Sale Agreement, dated as of August 20, 2021, between Dominion Solar Projects III, Inc. and Utah Solar Holdings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 (b) the then outstanding principal amount of such Indebtedness.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170" w:lineRule="exact"/>
        <w:rPr>
          <w:sz w:val="20"/>
          <w:szCs w:val="20"/>
          <w:color w:val="auto"/>
        </w:rPr>
      </w:pPr>
    </w:p>
    <w:p>
      <w:pPr>
        <w:jc w:val="both"/>
        <w:ind w:firstLine="1304"/>
        <w:spacing w:after="0" w:line="268" w:lineRule="auto"/>
        <w:tabs>
          <w:tab w:leader="none" w:pos="20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184" w:lineRule="exact"/>
        <w:rPr>
          <w:rFonts w:ascii="Arial" w:cs="Arial" w:eastAsia="Arial" w:hAnsi="Arial"/>
          <w:sz w:val="17"/>
          <w:szCs w:val="17"/>
          <w:color w:val="auto"/>
        </w:rPr>
      </w:pPr>
    </w:p>
    <w:p>
      <w:pPr>
        <w:ind w:right="20" w:firstLine="1304"/>
        <w:spacing w:after="0" w:line="277" w:lineRule="auto"/>
        <w:tabs>
          <w:tab w:leader="none" w:pos="2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21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21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reference herein to a merger, transfer, consolidation, amalgamation, assignment, sale, disposition or transfer, or similar term, shall be deemed to apply to a division of or by a Person, or an allocation of assets to a series of a Person (or the unwinding of such a division or allocation), as if it were a merger, transfer, consolidation, amalgamation, assignment, sale, disposition or transfer, or similar term, as applicable, to, of or with a separate Person. Any division of a Person shall constitute a separate Person hereunder (and each division of any Person that is a Subsidiary, joint venture or any other like term shall also constitute such a Person or entity).</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7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Accounting Terms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Generally</w:t>
      </w:r>
      <w:r>
        <w:rPr>
          <w:rFonts w:ascii="Arial" w:cs="Arial" w:eastAsia="Arial" w:hAnsi="Arial"/>
          <w:sz w:val="17"/>
          <w:szCs w:val="17"/>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Parent or any Subsidiary thereof at “fair value”, as defined therein.</w:t>
      </w:r>
    </w:p>
    <w:p>
      <w:pPr>
        <w:spacing w:after="0" w:line="177" w:lineRule="exact"/>
        <w:rPr>
          <w:sz w:val="20"/>
          <w:szCs w:val="20"/>
          <w:color w:val="auto"/>
        </w:rPr>
      </w:pPr>
    </w:p>
    <w:p>
      <w:pPr>
        <w:jc w:val="both"/>
        <w:ind w:firstLine="1304"/>
        <w:spacing w:after="0" w:line="254" w:lineRule="auto"/>
        <w:tabs>
          <w:tab w:leader="none" w:pos="213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94" w:lineRule="exact"/>
        <w:rPr>
          <w:rFonts w:ascii="Arial" w:cs="Arial" w:eastAsia="Arial" w:hAnsi="Arial"/>
          <w:sz w:val="18"/>
          <w:szCs w:val="18"/>
          <w:color w:val="auto"/>
        </w:rPr>
      </w:pPr>
    </w:p>
    <w:p>
      <w:pPr>
        <w:jc w:val="both"/>
        <w:ind w:firstLine="1304"/>
        <w:spacing w:after="0" w:line="279" w:lineRule="auto"/>
        <w:tabs>
          <w:tab w:leader="none" w:pos="239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Consolidation of Variable Interest Entities</w:t>
      </w:r>
      <w:r>
        <w:rPr>
          <w:rFonts w:ascii="Arial" w:cs="Arial" w:eastAsia="Arial" w:hAnsi="Arial"/>
          <w:sz w:val="17"/>
          <w:szCs w:val="17"/>
          <w:color w:val="auto"/>
        </w:rPr>
        <w:t>. All references herein to consolidated financial statements of Parent and its Subsidiaries or to the determination of any amount for Parent and its Subsidiaries on a consolidated basis or any similar reference shall, in each case, be deemed to include each variable interest entity that Parent is required to consolidate pursuant to FASB Interpretation No. 46 – Consolidation of Variable Interest Entities: an interpretation of ARB No. 51 (January 2003) as if such variable interest entity were a Subsidiary as defined herein.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Currency Equivalents Generally</w:t>
      </w:r>
      <w:r>
        <w:rPr>
          <w:rFonts w:ascii="Arial" w:cs="Arial" w:eastAsia="Arial" w:hAnsi="Arial"/>
          <w:sz w:val="17"/>
          <w:szCs w:val="17"/>
          <w:color w:val="auto"/>
        </w:rPr>
        <w:t xml:space="preserve">. Any amount specified in this Agreement (other than in </w:t>
      </w:r>
      <w:r>
        <w:rPr>
          <w:rFonts w:ascii="Arial" w:cs="Arial" w:eastAsia="Arial" w:hAnsi="Arial"/>
          <w:sz w:val="17"/>
          <w:szCs w:val="17"/>
          <w:u w:val="single" w:color="auto"/>
          <w:color w:val="auto"/>
        </w:rPr>
        <w:t>Articles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w:t>
      </w:r>
      <w:r>
        <w:rPr>
          <w:rFonts w:ascii="Arial" w:cs="Arial" w:eastAsia="Arial" w:hAnsi="Arial"/>
          <w:sz w:val="17"/>
          <w:szCs w:val="17"/>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the “</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5" w:lineRule="auto"/>
        <w:tabs>
          <w:tab w:leader="none" w:pos="2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In connection with any action being taken solely in connection with a Limited Condition Transaction, for purposes of (i) determining compliance with any provision of this Agreement which requires the calculation of the Borrower Leverage Ratio or the Borrower Interest Coverage Ratio, (ii) determining the accuracy of representations and warranties in the Loan Documents or whether a Default or Event of Default shall have occurred and be continuing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(including in connection with the incurrence of Incremental Equivalent Debt to finance an Investment permitted hereunder) or (iii) testing availability under baskets set forth in this Agreement (including baskets measured as a percentage of Total Assets or Unencumbered Total Assets), in each case, at the option of the Borrower (the Borrower’s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the date of determination of whether any such action is not prohibited hereunder shall be deemed to be the date the definitive agreements for such Limited Condition Transaction are entered into or the date of delivery of any relevant notices of prepayment or redemption, as applicable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(including any incurrence of Indebtedness and the use of proceeds thereof not prohibited hereunder) as if they had occurred at the beginning of the most recently completed Measurement Period ending prior to the LCT Test Date, the Borrower could have taken such action on the relevant LCT Test Date in compliance with such ratio or basket, such ratio or basket shall be deemed to have been complied with (provided that, if the Borrower has made an LCT Election, such ratio or basket may be recalculated, at the Borrower’s option, at the time of consummation of the relevant transaction or action). For the avoidance of doubt, if the Borrower has made an LCT Election and any of the ratios or baskets for which compliance was determined or tested as of the LCT Test Date are exceeded as a result of fluctuations in any such ratio or basket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w:t>
      </w:r>
    </w:p>
    <w:p>
      <w:pPr>
        <w:spacing w:after="0" w:line="173" w:lineRule="exact"/>
        <w:rPr>
          <w:rFonts w:ascii="Arial" w:cs="Arial" w:eastAsia="Arial" w:hAnsi="Arial"/>
          <w:sz w:val="16"/>
          <w:szCs w:val="16"/>
          <w:color w:val="auto"/>
        </w:rPr>
      </w:pPr>
    </w:p>
    <w:p>
      <w:pPr>
        <w:jc w:val="both"/>
        <w:ind w:firstLine="1304"/>
        <w:spacing w:after="0" w:line="254" w:lineRule="auto"/>
        <w:tabs>
          <w:tab w:leader="none" w:pos="22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the assets of the Borrower or any of its Company Group Parties, the prepayment, redemption, purchase, defeasance or other satisfaction of Indebtedness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COMMITMENTS AND CREDIT EXTENSIONS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Borrowing</w:t>
      </w:r>
      <w:r>
        <w:rPr>
          <w:rFonts w:ascii="Arial" w:cs="Arial" w:eastAsia="Arial" w:hAnsi="Arial"/>
          <w:sz w:val="18"/>
          <w:szCs w:val="18"/>
          <w:color w:val="auto"/>
        </w:rPr>
        <w:t>. Subject to the terms and conditions set forth herein, each Lender with a Term Loan Commitment severally agrees to make a loan in Dollars (such loan, a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to the Borrower on the Closing Date in an aggregate amount not to exceed such Lender’s Term Loan Commitment. Amounts borrowed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repaid or prepaid may not be reborrowed. The Term Loan may be a Base Rate Loan or a Term SOFR Loan, as further provided herein.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 (a) Each Borrowing, each conversion of the Term Loan from one Type to the other, and each continuation of Term SOFR Loans shall be made upon the Borrower’s irrevocable notice to the Administrative Agent which may be given by a Committed Loan Notice. Each such notice must be received by the Administrative Agent not later than 11:00 a.m. (i) two Business Days prior to the requested date of any Borrowing of, conversion to or continuation of Term SOFR Loans or of any conversion of Term SOFR Loans to Base Rate Loans and</w:t>
      </w:r>
    </w:p>
    <w:p>
      <w:pPr>
        <w:spacing w:after="0" w:line="1" w:lineRule="exact"/>
        <w:rPr>
          <w:sz w:val="20"/>
          <w:szCs w:val="20"/>
          <w:color w:val="auto"/>
        </w:rPr>
      </w:pPr>
    </w:p>
    <w:p>
      <w:pPr>
        <w:jc w:val="both"/>
        <w:ind w:firstLine="8"/>
        <w:spacing w:after="0" w:line="284" w:lineRule="auto"/>
        <w:tabs>
          <w:tab w:leader="none" w:pos="277"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on the requested date of the Borrowing 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wishes to request Term SOFR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and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and the Administrative Agent. Each Borrowing of, conversion to or continuation of Term SOFR Loans shall be in a principal amount of $5,000,000 or a whole multiple of $1,000,000 in excess thereof. Each Borrowing of or conversion to Base Rate Loans shall be in a principal amount of $500,000 or a whole multiple of $100,000 in excess thereof. Each Committed Loan Notice shall specify (i) whether the Borrower is requesting a Borrowing, a conversion of the Term Loan from one Type to the other, or a continuation of Term SOFR Loans, (ii) the requested date of the Borrowing, conversion or continuation, as the case may be (which shall be a Business Day), (iii) the principal amount of the Term Loan to be borrowed, converted or continued, (iv) the Type of Term Loan to be borrowed or to which an existing Term Loan is to be converted, and (v) if applicable, the duration of the Interest Period with respect thereto. If the Borrower fails to specify a Type of Term Loan in a Committed Loan Notice or if the Borrower fails to give a timely notice requesting a conversion or continuation, then the Term Loan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Committed Loan Notice, but fails to specify an Interest Period, it will be deemed to have specified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1304"/>
        <w:spacing w:after="0" w:line="290" w:lineRule="auto"/>
        <w:tabs>
          <w:tab w:leader="none" w:pos="21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Applicable Percentage in respect of the Term Loan,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In the case of a Borrowing, each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65" w:lineRule="exact"/>
        <w:rPr>
          <w:rFonts w:ascii="Arial" w:cs="Arial" w:eastAsia="Arial" w:hAnsi="Arial"/>
          <w:sz w:val="16"/>
          <w:szCs w:val="16"/>
          <w:color w:val="auto"/>
        </w:rPr>
      </w:pPr>
    </w:p>
    <w:p>
      <w:pPr>
        <w:jc w:val="both"/>
        <w:ind w:firstLine="1304"/>
        <w:spacing w:after="0" w:line="263" w:lineRule="auto"/>
        <w:tabs>
          <w:tab w:leader="none" w:pos="21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otherwise provided herein, a Term SOFR Loan may be continued or converted only on the last day of an Interest Period for such Term SOFR Loan. During the existence of an Event of Default, the Term Loan may not be converted to or continued as a Term SOFR Loan without the consent of the Required Lenders.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2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Term SOFR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firstLine="1304"/>
        <w:spacing w:after="0" w:line="277" w:lineRule="auto"/>
        <w:tabs>
          <w:tab w:leader="none" w:pos="21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five (5) Interest Periods in effect at any one time.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67" w:lineRule="auto"/>
        <w:rPr>
          <w:sz w:val="20"/>
          <w:szCs w:val="20"/>
          <w:color w:val="auto"/>
        </w:rPr>
      </w:pPr>
      <w:r>
        <w:rPr>
          <w:rFonts w:ascii="Arial" w:cs="Arial" w:eastAsia="Arial" w:hAnsi="Arial"/>
          <w:sz w:val="17"/>
          <w:szCs w:val="17"/>
          <w:color w:val="auto"/>
        </w:rPr>
        <w:t xml:space="preserve">2.04 </w:t>
      </w:r>
      <w:r>
        <w:rPr>
          <w:rFonts w:ascii="Arial" w:cs="Arial" w:eastAsia="Arial" w:hAnsi="Arial"/>
          <w:sz w:val="17"/>
          <w:szCs w:val="17"/>
          <w:u w:val="single" w:color="auto"/>
          <w:color w:val="auto"/>
        </w:rPr>
        <w:t>Prepayments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Optional</w:t>
      </w:r>
      <w:r>
        <w:rPr>
          <w:rFonts w:ascii="Arial" w:cs="Arial" w:eastAsia="Arial" w:hAnsi="Arial"/>
          <w:sz w:val="17"/>
          <w:szCs w:val="17"/>
          <w:color w:val="auto"/>
        </w:rPr>
        <w:t xml:space="preserve">. The Borrower may, upon notice (which notice, subject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may state that such prepayment is conditioned upon the effectiveness of other credit facilities or any other event, in which case such notice may be revoked by the Borrower (by notice to the Administrative Agent on or prior to the specified prepayment date) if such condition is not satisfied) to the Administrative Agent, at any time or from time to time voluntarily prepay the Term Loan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Administrative Agent not later than 11:00 a.m. (A) two Business Days prior to any date of prepayment of Term SOFR Loans and (B) on the date of prepayment of Base Rate Loans; (ii) any prepayment of Term SOFR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Term Loan to be prepaid and, if Term SOFR Loans are to be prepaid, the Interest Period(s) of such Term Loan. The Administrative Agent will promptly notify each applicable Lender of its receipt of each such notice, and of the amount of such Lender’s ratable portion of such prepayment (based on such Lender’s Applicable Percentage in respect of the Term Loan Facility). Subject to the first sentence in this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if such notice is given by the Borrower, the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of the Term Loan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prepayment of the Term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All payments made pursuant to this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shall be applied on a pro rata basis to each Lender.</w:t>
      </w:r>
    </w:p>
    <w:p>
      <w:pPr>
        <w:spacing w:after="0" w:line="191" w:lineRule="exact"/>
        <w:rPr>
          <w:sz w:val="20"/>
          <w:szCs w:val="20"/>
          <w:color w:val="auto"/>
        </w:rPr>
      </w:pPr>
    </w:p>
    <w:p>
      <w:pPr>
        <w:jc w:val="both"/>
        <w:ind w:firstLine="1304"/>
        <w:spacing w:after="0" w:line="259" w:lineRule="auto"/>
        <w:tabs>
          <w:tab w:leader="none" w:pos="220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xml:space="preserve">. (i) Upon the incurrence or issuance by any Loan Party or any Company Group Party of any Indebtedness (other than Indebtedness not prohibited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the Borrower shall prepay an aggregate principal amount of the Term Loan in an amount equal to 100% of all Net Cash Proceeds received by any Loan Party or Company Group Party therefrom, immediately upon receipt thereof by such Loan Party or such Company Group Party.</w:t>
      </w:r>
    </w:p>
    <w:p>
      <w:pPr>
        <w:spacing w:after="0" w:line="186" w:lineRule="exact"/>
        <w:rPr>
          <w:rFonts w:ascii="Arial" w:cs="Arial" w:eastAsia="Arial" w:hAnsi="Arial"/>
          <w:sz w:val="18"/>
          <w:szCs w:val="18"/>
          <w:color w:val="auto"/>
        </w:rPr>
      </w:pPr>
    </w:p>
    <w:p>
      <w:pPr>
        <w:jc w:val="both"/>
        <w:ind w:left="740" w:firstLine="1293"/>
        <w:spacing w:after="0" w:line="255" w:lineRule="auto"/>
        <w:tabs>
          <w:tab w:leader="none" w:pos="30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Following the consummation of the disposition contemplated by the Thor PSA, the Borrower shall prepay an aggregate principal amount of the Term Loan in an amount equal to the lesser of (a) 100% of all Net Cash Proceeds received by any Loan Party in respect of such disposition, and (b) the aggregate principal amount of the outstanding Term Loan together with all accrued and unpaid interest thereon and all other Obligations then due and owing (the lesser of clause (a) and (b), the “</w:t>
      </w:r>
      <w:r>
        <w:rPr>
          <w:rFonts w:ascii="Arial" w:cs="Arial" w:eastAsia="Arial" w:hAnsi="Arial"/>
          <w:sz w:val="18"/>
          <w:szCs w:val="18"/>
          <w:u w:val="single" w:color="auto"/>
          <w:color w:val="auto"/>
        </w:rPr>
        <w:t>Prepayment Amount</w:t>
      </w:r>
      <w:r>
        <w:rPr>
          <w:rFonts w:ascii="Arial" w:cs="Arial" w:eastAsia="Arial" w:hAnsi="Arial"/>
          <w:sz w:val="18"/>
          <w:szCs w:val="18"/>
          <w:color w:val="auto"/>
        </w:rPr>
        <w:t>”). Such prepayment shall be made by the Borrower within two (2) Business Days of the receipt by any Loan Party of any Net Cash Proceeds referred to in the preceding clause (a).</w:t>
      </w:r>
    </w:p>
    <w:p>
      <w:pPr>
        <w:spacing w:after="0" w:line="192" w:lineRule="exact"/>
        <w:rPr>
          <w:rFonts w:ascii="Arial" w:cs="Arial" w:eastAsia="Arial" w:hAnsi="Arial"/>
          <w:sz w:val="18"/>
          <w:szCs w:val="18"/>
          <w:color w:val="auto"/>
        </w:rPr>
      </w:pPr>
    </w:p>
    <w:p>
      <w:pPr>
        <w:jc w:val="both"/>
        <w:ind w:left="740" w:firstLine="1293"/>
        <w:spacing w:after="0" w:line="263" w:lineRule="auto"/>
        <w:tabs>
          <w:tab w:leader="none" w:pos="3021"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the Utah Solar Portfolio Acquisition is not consummated within five Business Days of the Closing Date, the Borrower shall prepay the aggregate principal amount of the Term Loans outstanding at such time. Such prepayment shall be made by the Borrower within five (5) Business Day following the Closing Date.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660"/>
        <w:spacing w:after="0"/>
        <w:tabs>
          <w:tab w:leader="none" w:pos="140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Repayment of Loans</w:t>
      </w:r>
      <w:r>
        <w:rPr>
          <w:rFonts w:ascii="Arial" w:cs="Arial" w:eastAsia="Arial" w:hAnsi="Arial"/>
          <w:sz w:val="18"/>
          <w:szCs w:val="18"/>
          <w:color w:val="auto"/>
        </w:rPr>
        <w:t>. The Borrower shall repay to the Lenders on the Maturity Date the aggregate principal amount of the Term Loan outstanding on such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Subject to the provisions of </w:t>
      </w:r>
      <w:r>
        <w:rPr>
          <w:rFonts w:ascii="Arial" w:cs="Arial" w:eastAsia="Arial" w:hAnsi="Arial"/>
          <w:sz w:val="18"/>
          <w:szCs w:val="18"/>
          <w:u w:val="single" w:color="auto"/>
          <w:color w:val="auto"/>
        </w:rPr>
        <w:t>Section 2.07(b)</w:t>
      </w:r>
      <w:r>
        <w:rPr>
          <w:rFonts w:ascii="Arial" w:cs="Arial" w:eastAsia="Arial" w:hAnsi="Arial"/>
          <w:sz w:val="18"/>
          <w:szCs w:val="18"/>
          <w:color w:val="auto"/>
        </w:rPr>
        <w:t xml:space="preserve">, (i) each Term SOFR Loan shall bear interest on the outstanding principal amount thereof for each Interest Period at a rate per annum equal to the Term SOFR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(ii)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 (i) While any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exists, the Borrower shall pay interest on all outstanding Obligations hereunder at a fluctuating interest rate per annum at all times equal to the Default Rate to the fullest extent permitted by applicable Laws.</w:t>
      </w:r>
    </w:p>
    <w:p>
      <w:pPr>
        <w:spacing w:after="0" w:line="184" w:lineRule="exact"/>
        <w:rPr>
          <w:sz w:val="20"/>
          <w:szCs w:val="20"/>
          <w:color w:val="auto"/>
        </w:rPr>
      </w:pPr>
    </w:p>
    <w:p>
      <w:pPr>
        <w:ind w:left="2900" w:hanging="867"/>
        <w:spacing w:after="0"/>
        <w:tabs>
          <w:tab w:leader="none" w:pos="2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upon demand.</w:t>
      </w:r>
    </w:p>
    <w:p>
      <w:pPr>
        <w:spacing w:after="0" w:line="211" w:lineRule="exact"/>
        <w:rPr>
          <w:sz w:val="20"/>
          <w:szCs w:val="20"/>
          <w:color w:val="auto"/>
        </w:rPr>
      </w:pPr>
    </w:p>
    <w:p>
      <w:pPr>
        <w:jc w:val="both"/>
        <w:ind w:firstLine="1304"/>
        <w:spacing w:after="0" w:line="263" w:lineRule="auto"/>
        <w:tabs>
          <w:tab w:leader="none" w:pos="22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on the Term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Fees</w:t>
      </w:r>
      <w:r>
        <w:rPr>
          <w:rFonts w:ascii="Arial" w:cs="Arial" w:eastAsia="Arial" w:hAnsi="Arial"/>
          <w:sz w:val="18"/>
          <w:szCs w:val="18"/>
          <w:color w:val="auto"/>
        </w:rPr>
        <w:t>. The Borrower shall pay to the applicable Lenders and Arranger and the Administrative Agent for their own respective accounts fees in the amounts and at the times specified in the Fee Letter. Such fees shall be fully earned when paid and shall not be refundable for any reason whatsoever, except as expressly set forth in the Fee Letter.</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2.09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xml:space="preserve">. All computations of interest for Base Rate Loans (including Base Rate Loans determined by reference to the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the Term Loan for the day on which the Term Loan is made, and shall not accrue on the Term Loan, or any portion thereof, for the day on which the Term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Term Loan that is repaid on the same day on which it is made shall,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Evidence of Debt</w:t>
      </w:r>
      <w:r>
        <w:rPr>
          <w:rFonts w:ascii="Arial" w:cs="Arial" w:eastAsia="Arial" w:hAnsi="Arial"/>
          <w:sz w:val="16"/>
          <w:szCs w:val="16"/>
          <w:color w:val="auto"/>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Term Loan in addition to such accounts or records. Each Lender may attach schedules to its Note and endorse thereon the date, Type (if applicable), amount and maturity of its Term Loan and payments with respect thereto.</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96" w:lineRule="exact"/>
        <w:rPr>
          <w:sz w:val="20"/>
          <w:szCs w:val="20"/>
          <w:color w:val="auto"/>
        </w:rPr>
      </w:pPr>
    </w:p>
    <w:p>
      <w:pPr>
        <w:jc w:val="both"/>
        <w:ind w:firstLine="1304"/>
        <w:spacing w:after="0" w:line="285" w:lineRule="auto"/>
        <w:tabs>
          <w:tab w:leader="none" w:pos="2261"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Term Loan included in such Borrowing. Any payment by the Borrower shall be without prejudice to any claim the Borrower may have against a Lender that shall have failed to make such payment to the Administrative Agent.</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8" w:name="page79"/>
    <w:bookmarkEnd w:id="78"/>
    <w:p>
      <w:pPr>
        <w:jc w:val="both"/>
        <w:ind w:left="740" w:firstLine="1468"/>
        <w:spacing w:after="0" w:line="290" w:lineRule="auto"/>
        <w:tabs>
          <w:tab w:leader="none" w:pos="3263"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prima facie evidence thereof.</w:t>
      </w:r>
    </w:p>
    <w:p>
      <w:pPr>
        <w:spacing w:after="0" w:line="170" w:lineRule="exact"/>
        <w:rPr>
          <w:sz w:val="20"/>
          <w:szCs w:val="20"/>
          <w:color w:val="auto"/>
        </w:rPr>
      </w:pPr>
    </w:p>
    <w:p>
      <w:pPr>
        <w:jc w:val="both"/>
        <w:ind w:firstLine="1304"/>
        <w:spacing w:after="0" w:line="279" w:lineRule="auto"/>
        <w:tabs>
          <w:tab w:leader="none" w:pos="2211"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the Term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jc w:val="both"/>
        <w:ind w:firstLine="1304"/>
        <w:spacing w:after="0" w:line="301" w:lineRule="auto"/>
        <w:tabs>
          <w:tab w:leader="none" w:pos="234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Obligations of Lenders Several</w:t>
      </w:r>
      <w:r>
        <w:rPr>
          <w:rFonts w:ascii="Arial" w:cs="Arial" w:eastAsia="Arial" w:hAnsi="Arial"/>
          <w:sz w:val="16"/>
          <w:szCs w:val="16"/>
          <w:color w:val="auto"/>
        </w:rPr>
        <w:t xml:space="preserve">. The obligations of the Lenders hereunder to make the Term Loan and to make payments pursuant to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are several and not joint. The failure of any Lender to make the Term Loan or to make any payment under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on any date required hereunder shall not relieve any other Lender of its corresponding obligation to do so on such date, and no Lender shall be responsible for the failure of any other Lender to so make the Term Loan, to purchase its participation or to make its payment under </w:t>
      </w:r>
      <w:r>
        <w:rPr>
          <w:rFonts w:ascii="Arial" w:cs="Arial" w:eastAsia="Arial" w:hAnsi="Arial"/>
          <w:sz w:val="16"/>
          <w:szCs w:val="16"/>
          <w:u w:val="single" w:color="auto"/>
          <w:color w:val="auto"/>
        </w:rPr>
        <w:t>Section 11.04(c)</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24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xml:space="preserve">. Nothing herein shall be deemed to obligate any Lender to obtain the funds for the Term Loan in any particular place or manner or to constitute a representation by any Lender that it has obtained or will obtain the funds for the Term Loan in any particular place or manner;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will not be liable for increased costs under </w:t>
      </w:r>
      <w:r>
        <w:rPr>
          <w:rFonts w:ascii="Arial" w:cs="Arial" w:eastAsia="Arial" w:hAnsi="Arial"/>
          <w:sz w:val="18"/>
          <w:szCs w:val="18"/>
          <w:u w:val="single" w:color="auto"/>
          <w:color w:val="auto"/>
        </w:rPr>
        <w:t>Sections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of this Agreement as a result of any Lender changing the place from, or the manner in which, it obtains funds.</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222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Insufficient Funds</w:t>
      </w:r>
      <w:r>
        <w:rPr>
          <w:rFonts w:ascii="Arial" w:cs="Arial" w:eastAsia="Arial" w:hAnsi="Arial"/>
          <w:sz w:val="16"/>
          <w:szCs w:val="16"/>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toward payment of principal then due hereunder, ratably among the parties entitled thereto in accordance with the amounts of principal then due to such parties.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 (a) Obligations in respect of the Term Loan Facility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Term Loan Facility due and payable to all Lenders hereunder and under the other Loan Documents at such time) of payments on account of the Obligations in respect of the Term Loan Facility due and payable to all Lenders hereunder and under the other Loan Documents at such time obtained by all the Lenders at such time or (b) Obligations in respect of the Term Loan Facility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Term Loan Facility owing (but not due and payable) to all Lenders hereunder and under the other Loan Documents at such time) of payment on account of the Obligations in respect of the Term Loan Facility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Term Loan of the other Lenders, or make such other adjustments as shall be equitable, so that the benefit of all such payments shall be shared by the Lenders ratably in accordance with the aggregate amount of Obligations in respect of the Term Loan Facility then due and payable to the Lenders or owing (but not due and payable) to the Lenders,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1" w:lineRule="exact"/>
        <w:rPr>
          <w:sz w:val="20"/>
          <w:szCs w:val="20"/>
          <w:color w:val="auto"/>
        </w:rPr>
      </w:pPr>
    </w:p>
    <w:p>
      <w:pPr>
        <w:jc w:val="both"/>
        <w:ind w:left="740" w:firstLine="1293"/>
        <w:spacing w:after="0" w:line="263" w:lineRule="auto"/>
        <w:tabs>
          <w:tab w:leader="none" w:pos="31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83" w:lineRule="exact"/>
        <w:rPr>
          <w:rFonts w:ascii="Arial" w:cs="Arial" w:eastAsia="Arial" w:hAnsi="Arial"/>
          <w:sz w:val="18"/>
          <w:szCs w:val="18"/>
          <w:color w:val="auto"/>
        </w:rPr>
      </w:pPr>
    </w:p>
    <w:p>
      <w:pPr>
        <w:jc w:val="both"/>
        <w:ind w:left="740" w:firstLine="1293"/>
        <w:spacing w:after="0" w:line="263" w:lineRule="auto"/>
        <w:tabs>
          <w:tab w:leader="none" w:pos="28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(A) any payment made by the Borrower pursuant to and in accordance with the express terms of this Agreement or (B) any payment obtained by a Lender as consideration for the assignment of or sale of a participation in the Term Loan to any assignee or participant; and</w:t>
      </w:r>
    </w:p>
    <w:p>
      <w:pPr>
        <w:spacing w:after="0" w:line="183" w:lineRule="exact"/>
        <w:rPr>
          <w:rFonts w:ascii="Arial" w:cs="Arial" w:eastAsia="Arial" w:hAnsi="Arial"/>
          <w:sz w:val="18"/>
          <w:szCs w:val="18"/>
          <w:color w:val="auto"/>
        </w:rPr>
      </w:pPr>
    </w:p>
    <w:p>
      <w:pPr>
        <w:jc w:val="both"/>
        <w:ind w:left="740" w:firstLine="1293"/>
        <w:spacing w:after="0" w:line="263" w:lineRule="auto"/>
        <w:tabs>
          <w:tab w:leader="none" w:pos="29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for the avoidance of doubt, the provisions of this Section will not apply to payments made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w:t>
      </w:r>
      <w:r>
        <w:rPr>
          <w:rFonts w:ascii="Arial" w:cs="Arial" w:eastAsia="Arial" w:hAnsi="Arial"/>
          <w:sz w:val="18"/>
          <w:szCs w:val="18"/>
          <w:color w:val="auto"/>
        </w:rPr>
        <w:t>, and pursuant to any other terms or conditions in any Loan Document expressly providing for payments to specific Lenders, Agents or other Persons.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63"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Defaulting Lenders.</w:t>
      </w:r>
    </w:p>
    <w:p>
      <w:pPr>
        <w:spacing w:after="0" w:line="225" w:lineRule="exact"/>
        <w:rPr>
          <w:sz w:val="20"/>
          <w:szCs w:val="20"/>
          <w:color w:val="auto"/>
        </w:rPr>
      </w:pPr>
    </w:p>
    <w:p>
      <w:pPr>
        <w:ind w:firstLine="1304"/>
        <w:spacing w:after="0" w:line="277" w:lineRule="auto"/>
        <w:tabs>
          <w:tab w:leader="none" w:pos="223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ind w:left="740" w:firstLine="1293"/>
        <w:spacing w:after="0" w:line="308" w:lineRule="auto"/>
        <w:tabs>
          <w:tab w:leader="none" w:pos="3092"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the definitions of “Required Lenders” and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740" w:firstLine="1293"/>
        <w:spacing w:after="0" w:line="269" w:lineRule="auto"/>
        <w:tabs>
          <w:tab w:leader="none" w:pos="3371"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[reserved]; </w:t>
      </w:r>
      <w:r>
        <w:rPr>
          <w:rFonts w:ascii="Arial" w:cs="Arial" w:eastAsia="Arial" w:hAnsi="Arial"/>
          <w:sz w:val="17"/>
          <w:szCs w:val="17"/>
          <w:i w:val="1"/>
          <w:iCs w:val="1"/>
          <w:color w:val="auto"/>
        </w:rPr>
        <w:t>third</w:t>
      </w:r>
      <w:r>
        <w:rPr>
          <w:rFonts w:ascii="Arial" w:cs="Arial" w:eastAsia="Arial" w:hAnsi="Arial"/>
          <w:sz w:val="17"/>
          <w:szCs w:val="17"/>
          <w:color w:val="auto"/>
        </w:rPr>
        <w:t xml:space="preserve">, [reserved]; </w:t>
      </w:r>
      <w:r>
        <w:rPr>
          <w:rFonts w:ascii="Arial" w:cs="Arial" w:eastAsia="Arial" w:hAnsi="Arial"/>
          <w:sz w:val="17"/>
          <w:szCs w:val="17"/>
          <w:i w:val="1"/>
          <w:iCs w:val="1"/>
          <w:color w:val="auto"/>
        </w:rPr>
        <w:t>fourth</w:t>
      </w:r>
      <w:r>
        <w:rPr>
          <w:rFonts w:ascii="Arial" w:cs="Arial" w:eastAsia="Arial" w:hAnsi="Arial"/>
          <w:sz w:val="17"/>
          <w:szCs w:val="17"/>
          <w:color w:val="auto"/>
        </w:rPr>
        <w:t xml:space="preserve">, [reserved]; </w:t>
      </w:r>
      <w:r>
        <w:rPr>
          <w:rFonts w:ascii="Arial" w:cs="Arial" w:eastAsia="Arial" w:hAnsi="Arial"/>
          <w:sz w:val="17"/>
          <w:szCs w:val="17"/>
          <w:i w:val="1"/>
          <w:iCs w:val="1"/>
          <w:color w:val="auto"/>
        </w:rPr>
        <w:t>fifth</w:t>
      </w:r>
      <w:r>
        <w:rPr>
          <w:rFonts w:ascii="Arial" w:cs="Arial" w:eastAsia="Arial" w:hAnsi="Arial"/>
          <w:sz w:val="17"/>
          <w:szCs w:val="17"/>
          <w:color w:val="auto"/>
        </w:rPr>
        <w:t xml:space="preserve">, [reserved];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to such Defaulting Lender or as otherwise directed by a court of competent jurisdiction.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178" w:lineRule="exact"/>
        <w:rPr>
          <w:rFonts w:ascii="Arial" w:cs="Arial" w:eastAsia="Arial" w:hAnsi="Arial"/>
          <w:sz w:val="17"/>
          <w:szCs w:val="17"/>
          <w:color w:val="auto"/>
        </w:rPr>
      </w:pPr>
    </w:p>
    <w:p>
      <w:pPr>
        <w:jc w:val="both"/>
        <w:ind w:firstLine="1304"/>
        <w:spacing w:after="0" w:line="257" w:lineRule="auto"/>
        <w:tabs>
          <w:tab w:leader="none" w:pos="250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center"/>
        <w:ind w:right="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TAXES, YIELD PROTECTION AND ILLEGALITY</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(i) Any and all payments by or on account of any obligation of the Borrower or any other Loan Party hereunder or under any other Loan Document shall to the extent permitted by applicable Laws be made free and clear of and without deduction or withholding for any Taxes. If, however, applicable Laws require the Borrower, any other Loan Party or the Administrative Agent to withhold or deduct any Tax, such Tax shall be withheld or deducted in accordance with such Laws as determined by the Borrower, such other Loan Party or the Administrative Agent, as the case may be, upon the basis of the information and documentation to be delivered pursuant to subsection (e) below.</w:t>
      </w:r>
    </w:p>
    <w:p>
      <w:pPr>
        <w:spacing w:after="0" w:line="192" w:lineRule="exact"/>
        <w:rPr>
          <w:sz w:val="20"/>
          <w:szCs w:val="20"/>
          <w:color w:val="auto"/>
        </w:rPr>
      </w:pPr>
    </w:p>
    <w:p>
      <w:pPr>
        <w:jc w:val="both"/>
        <w:ind w:left="740" w:firstLine="1293"/>
        <w:spacing w:after="0" w:line="290" w:lineRule="auto"/>
        <w:tabs>
          <w:tab w:leader="none" w:pos="2912"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the Borrower, any other Loan Party or the Administrative Agent shall be required by applicable Law to withhold or deduct any Taxes, including United States Federal withholding Taxes, from any payment under any Loan Document, then (A) it shall withhold or make such deductions as are determined by it to be required based upon the information and documentation received pursuant to subsection (e) below, (B) it shall timely pay the full amount withheld or deducted to the relevant Governmental Authority in accordance with applicable Law and (C) to the extent that the withholding or deduction is made on account of Indemnified Taxes or Other Taxes, the sum payable by the Borrower or other Loan Party, as the case may be,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165" w:lineRule="exact"/>
        <w:rPr>
          <w:rFonts w:ascii="Arial" w:cs="Arial" w:eastAsia="Arial" w:hAnsi="Arial"/>
          <w:sz w:val="16"/>
          <w:szCs w:val="16"/>
          <w:color w:val="auto"/>
        </w:rPr>
      </w:pPr>
    </w:p>
    <w:p>
      <w:pPr>
        <w:ind w:firstLine="1304"/>
        <w:spacing w:after="0" w:line="277" w:lineRule="auto"/>
        <w:tabs>
          <w:tab w:leader="none" w:pos="224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any Other Taxes to the relevant Governmental Authority in accordance with applicable law.</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17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(i) Without limiting the provisions of subsection (a) or (b) above, the Loan Parties shall, and do hereby, jointly indemnify the Administrative Agent and each Lender, and shall make payment in respect thereof within 10 days after written demand therefor, for the full amount of any Indemnified Taxes and Other Taxes (including Indemnified Taxes and Other Taxes imposed or asserted on or attributable to amounts payable under this Section) withheld or deducted by the Borrower, any other Loan Party or the Administrative Agent or paid by the Administrative Agent or such Lender, as the case may be, and any penalties, interest and reasonable expenses arising therefrom or with respect thereto, whether or not such Indemnified Taxes or Other Taxes were correctly or legally imposed or asserted by the relevant Governmental Authority; provided that if the Loan Parties reasonably believe that such Taxes were not correctly or legally asserted, the Administrative Agent or such Lender, as applicable, will use reasonable efforts to cooperate with the Loan Parties to obtain a refund of such Taxes so long as such efforts would not, in the sole good faith determination of the Administrative Agent or such Lender, as applicable, result in any additional costs, expenses or risks or be otherwise disadvantageous to it; provided further that the Loan Parties shall not be required to compensate the Administrative Agent or any Lender pursuant to this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for any interest and penalties that would not have arisen but for the failure of the Administrative Agent or such Lender, as applicable, to furnish written notice of the applicable claim for Indemnified Taxes or Other Taxes within 180 days after the date the Administrative Agent or such Lender first receives written notice thereof. A certificate as to the amount of any such payment or liability delivered to the Borrower or any other Loan Party by a Lender (with a copy to the Administrative Agent), or by the Administrative Agent on its own behalf or on behalf of a Lender, shall be conclusive absent manifest error.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left="740" w:firstLine="1293"/>
        <w:spacing w:after="0" w:line="269" w:lineRule="auto"/>
        <w:tabs>
          <w:tab w:leader="none" w:pos="2899"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subsection (a), (b) or (c)(i) above, each Lender shall, and does hereby, indemnify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Administrative Agent) incurred by or asserted against the Administrative Agent by any Governmental Authority as a result of the failure by such Lender to deliver, or as a result of the inaccuracy, inadequacy or deficiency of, any documentation required to be delivered by such Lender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Each Lender hereby authorizes the Administrative Agent to set off and apply any and all amounts at any time owing to such Lender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the termination of the Aggregate Commitments and the repayment, satisfaction or discharge of all other Obligations.</w:t>
      </w:r>
    </w:p>
    <w:p>
      <w:pPr>
        <w:spacing w:after="0" w:line="185" w:lineRule="exact"/>
        <w:rPr>
          <w:rFonts w:ascii="Arial" w:cs="Arial" w:eastAsia="Arial" w:hAnsi="Arial"/>
          <w:sz w:val="17"/>
          <w:szCs w:val="17"/>
          <w:color w:val="auto"/>
        </w:rPr>
      </w:pPr>
    </w:p>
    <w:p>
      <w:pPr>
        <w:jc w:val="both"/>
        <w:ind w:firstLine="1304"/>
        <w:spacing w:after="0" w:line="275" w:lineRule="auto"/>
        <w:tabs>
          <w:tab w:leader="none" w:pos="212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Upon request by the Borrower or the Administrative Agent, as the case may be, after any payment of Taxes by the Borrower (or any other Loan Party) or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76" w:lineRule="exact"/>
        <w:rPr>
          <w:rFonts w:ascii="Arial" w:cs="Arial" w:eastAsia="Arial" w:hAnsi="Arial"/>
          <w:sz w:val="17"/>
          <w:szCs w:val="17"/>
          <w:color w:val="auto"/>
        </w:rPr>
      </w:pPr>
    </w:p>
    <w:p>
      <w:pPr>
        <w:jc w:val="both"/>
        <w:ind w:firstLine="1304"/>
        <w:spacing w:after="0" w:line="269" w:lineRule="auto"/>
        <w:tabs>
          <w:tab w:leader="none" w:pos="2049"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Status of Lenders; Tax Documentation</w:t>
      </w:r>
      <w:r>
        <w:rPr>
          <w:rFonts w:ascii="Arial" w:cs="Arial" w:eastAsia="Arial" w:hAnsi="Arial"/>
          <w:sz w:val="17"/>
          <w:szCs w:val="17"/>
          <w:color w:val="auto"/>
        </w:rPr>
        <w:t xml:space="preserve">. (i) Each Lender shall deliver to the Borrower and the Administrative Agent, at the time or times prescribed by applicable Laws and reasonably requested by the Borrower or the Administrative Agent, such properly completed and executed documentation prescribed by applicable Laws or by the taxing authorities of any jurisdiction and such other reasonably requested information as will permit the Loan Parties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 be made to it pursuant to the Loan Documents or otherwise to establish such Lender’s status for withholding Tax purposes in the applicable jurisdiction. Notwithstanding anything to the contrary in the preceding sentence,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3.01(e)(iv)</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left="1540" w:hanging="627"/>
        <w:spacing w:after="0"/>
        <w:tabs>
          <w:tab w:leader="none" w:pos="1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left="180" w:firstLine="1300"/>
        <w:spacing w:after="0" w:line="257" w:lineRule="auto"/>
        <w:tabs>
          <w:tab w:leader="none" w:pos="2301"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it becomes a party to this Agreement, two accurate and complete originally executed copies of Internal Revenue Service Form W-9 (or successor form) or such other documentation or information prescribed by applicable Laws or reasonably requested by the Borrower or the Administrative Agent as will enable the Borrower or the Administrative Agent, as the case may be, to establish an exemption from United States federal backup withholding; and</w:t>
      </w:r>
    </w:p>
    <w:p>
      <w:pPr>
        <w:spacing w:after="0" w:line="187" w:lineRule="exact"/>
        <w:rPr>
          <w:rFonts w:ascii="Arial" w:cs="Arial" w:eastAsia="Arial" w:hAnsi="Arial"/>
          <w:sz w:val="18"/>
          <w:szCs w:val="18"/>
          <w:color w:val="auto"/>
        </w:rPr>
      </w:pPr>
    </w:p>
    <w:p>
      <w:pPr>
        <w:jc w:val="both"/>
        <w:ind w:left="180" w:firstLine="1300"/>
        <w:spacing w:after="0" w:line="257" w:lineRule="auto"/>
        <w:tabs>
          <w:tab w:leader="none" w:pos="25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each Foreign Lender that is entitled under the Code or any applicable treaty to an exemption from or reduction of United States federal withholding tax with respect to payments hereunder or under any other Loan Document shall deliver to the Borrower and the Administrative Agent,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87" w:lineRule="exact"/>
        <w:rPr>
          <w:rFonts w:ascii="Arial" w:cs="Arial" w:eastAsia="Arial" w:hAnsi="Arial"/>
          <w:sz w:val="18"/>
          <w:szCs w:val="18"/>
          <w:color w:val="auto"/>
        </w:rPr>
      </w:pPr>
    </w:p>
    <w:p>
      <w:pPr>
        <w:ind w:left="840" w:firstLine="1288"/>
        <w:spacing w:after="0" w:line="308" w:lineRule="auto"/>
        <w:tabs>
          <w:tab w:leader="none" w:pos="3049" w:val="left"/>
        </w:tabs>
        <w:numPr>
          <w:ilvl w:val="2"/>
          <w:numId w:val="78"/>
        </w:numPr>
        <w:rPr>
          <w:rFonts w:ascii="Arial" w:cs="Arial" w:eastAsia="Arial" w:hAnsi="Arial"/>
          <w:sz w:val="17"/>
          <w:szCs w:val="17"/>
          <w:color w:val="auto"/>
        </w:rPr>
      </w:pPr>
      <w:r>
        <w:rPr>
          <w:rFonts w:ascii="Arial" w:cs="Arial" w:eastAsia="Arial" w:hAnsi="Arial"/>
          <w:sz w:val="17"/>
          <w:szCs w:val="17"/>
          <w:color w:val="auto"/>
        </w:rPr>
        <w:t>two accurate and complete originally executed copies of Internal Revenue Service Form W-8BEN (or successor form) claiming eligibility for benefits of an income tax treaty to which the United States is a party,</w:t>
      </w:r>
    </w:p>
    <w:p>
      <w:pPr>
        <w:spacing w:after="0" w:line="146" w:lineRule="exact"/>
        <w:rPr>
          <w:sz w:val="20"/>
          <w:szCs w:val="20"/>
          <w:color w:val="auto"/>
        </w:rPr>
      </w:pPr>
    </w:p>
    <w:p>
      <w:pPr>
        <w:ind w:left="840" w:firstLine="1288"/>
        <w:spacing w:after="0" w:line="277" w:lineRule="auto"/>
        <w:tabs>
          <w:tab w:leader="none" w:pos="30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two accurate and complete originally executed copies of Internal Revenue Service Form W-8ECI or W-8EXP (or successor form),</w:t>
      </w:r>
    </w:p>
    <w:p>
      <w:pPr>
        <w:spacing w:after="0" w:line="170" w:lineRule="exact"/>
        <w:rPr>
          <w:sz w:val="20"/>
          <w:szCs w:val="20"/>
          <w:color w:val="auto"/>
        </w:rPr>
      </w:pPr>
    </w:p>
    <w:p>
      <w:pPr>
        <w:ind w:left="840" w:firstLine="1288"/>
        <w:spacing w:after="0" w:line="277" w:lineRule="auto"/>
        <w:tabs>
          <w:tab w:leader="none" w:pos="299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two accurate and complete originally executed copies of Internal Revenue Service Form W-8IMY (or successor form) and all required supporting documentation,</w:t>
      </w:r>
    </w:p>
    <w:p>
      <w:pPr>
        <w:spacing w:after="0" w:line="170" w:lineRule="exact"/>
        <w:rPr>
          <w:sz w:val="20"/>
          <w:szCs w:val="20"/>
          <w:color w:val="auto"/>
        </w:rPr>
      </w:pPr>
    </w:p>
    <w:p>
      <w:pPr>
        <w:jc w:val="both"/>
        <w:ind w:left="840" w:firstLine="1296"/>
        <w:spacing w:after="0" w:line="275" w:lineRule="auto"/>
        <w:rPr>
          <w:sz w:val="20"/>
          <w:szCs w:val="20"/>
          <w:color w:val="auto"/>
        </w:rPr>
      </w:pPr>
      <w:r>
        <w:rPr>
          <w:rFonts w:ascii="Arial" w:cs="Arial" w:eastAsia="Arial" w:hAnsi="Arial"/>
          <w:sz w:val="17"/>
          <w:szCs w:val="17"/>
          <w:color w:val="auto"/>
        </w:rPr>
        <w:t>(IV) in the case of a Foreign Lender claiming the benefits of the exemption for portfolio interest under section 881(c) of the Code, (x) a certificate to the effect that such Foreign Lender is not (A) a “bank” within the meaning of section 881(c)(3)(A) of the Code, (B) a “10-percent shareholder” of the Borrower within the meaning of section 881(c)(3)(B) of the Code, or (C) a “controlled foreign corporation” described in section 881(c)(3)(C) of the Code and (y) two accurate and complete originally executed copies of Internal Revenue Service Form W-8BEN (or successor form), or</w:t>
      </w:r>
    </w:p>
    <w:p>
      <w:pPr>
        <w:spacing w:after="0" w:line="176" w:lineRule="exact"/>
        <w:rPr>
          <w:sz w:val="20"/>
          <w:szCs w:val="20"/>
          <w:color w:val="auto"/>
        </w:rPr>
      </w:pPr>
    </w:p>
    <w:p>
      <w:pPr>
        <w:jc w:val="both"/>
        <w:ind w:left="840" w:firstLine="1288"/>
        <w:spacing w:after="0" w:line="259" w:lineRule="auto"/>
        <w:tabs>
          <w:tab w:leader="none" w:pos="32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4" w:name="page85"/>
    <w:bookmarkEnd w:id="84"/>
    <w:p>
      <w:pPr>
        <w:jc w:val="both"/>
        <w:ind w:left="740" w:firstLine="1293"/>
        <w:spacing w:after="0" w:line="255" w:lineRule="auto"/>
        <w:tabs>
          <w:tab w:leader="none" w:pos="3062"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Each Lender shall promptly (A) update any form or certification previously delivered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3.01(e)</w:t>
      </w:r>
      <w:r>
        <w:rPr>
          <w:rFonts w:ascii="Arial" w:cs="Arial" w:eastAsia="Arial" w:hAnsi="Arial"/>
          <w:sz w:val="18"/>
          <w:szCs w:val="18"/>
          <w:color w:val="auto"/>
        </w:rPr>
        <w:t xml:space="preserve"> that expires or becomes obsolete or inaccurate in any respect or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92" w:lineRule="exact"/>
        <w:rPr>
          <w:rFonts w:ascii="Arial" w:cs="Arial" w:eastAsia="Arial" w:hAnsi="Arial"/>
          <w:sz w:val="18"/>
          <w:szCs w:val="18"/>
          <w:color w:val="auto"/>
        </w:rPr>
      </w:pPr>
    </w:p>
    <w:p>
      <w:pPr>
        <w:jc w:val="both"/>
        <w:ind w:left="740" w:firstLine="1293"/>
        <w:spacing w:after="0" w:line="270" w:lineRule="auto"/>
        <w:tabs>
          <w:tab w:leader="none" w:pos="3123"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Section 3.01(e)(iv)</w:t>
      </w:r>
      <w:r>
        <w:rPr>
          <w:rFonts w:ascii="Arial" w:cs="Arial" w:eastAsia="Arial" w:hAnsi="Arial"/>
          <w:sz w:val="17"/>
          <w:szCs w:val="17"/>
          <w:color w:val="auto"/>
        </w:rPr>
        <w:t>, “FATCA” shall include any amendments made to FATCA after the date of this Agreement.</w:t>
      </w:r>
    </w:p>
    <w:p>
      <w:pPr>
        <w:spacing w:after="0" w:line="180" w:lineRule="exact"/>
        <w:rPr>
          <w:rFonts w:ascii="Arial" w:cs="Arial" w:eastAsia="Arial" w:hAnsi="Arial"/>
          <w:sz w:val="17"/>
          <w:szCs w:val="17"/>
          <w:color w:val="auto"/>
        </w:rPr>
      </w:pPr>
    </w:p>
    <w:p>
      <w:pPr>
        <w:jc w:val="both"/>
        <w:ind w:firstLine="1304"/>
        <w:spacing w:after="0" w:line="285" w:lineRule="auto"/>
        <w:tabs>
          <w:tab w:leader="none" w:pos="231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the Administrative Agent or any Lender determines, in its sole discretion, exercised in good faith, that it has received a refund of any Indemnified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Indemnified Taxes or Other Taxes giving rise to such refund), net of all out-of-pocket expenses (including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This subsection shall not be construed to require the Administrative Agent or any Lender to make available its Tax returns (or any other information relating to its Taxes that it deems confidential) to the Borrower or any other Person. Notwithstanding anything to the contrary in this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in no event will the Administrative Agent or any Lender be required to pay any amount to the Borrower pursuant to this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the payment of which would place the Administrative Agent or such Lender, as the case may be, in a less favorable net after-Tax position than it would have been in if the Tax subject to indemnification (or with respect to which additional amounts were paid) and giving rise to such refund had not been deducted, withheld or otherwise imposed and the indemnification payments or additional amounts with respect to such Tax had never been paid.</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1304"/>
        <w:spacing w:after="0" w:line="253" w:lineRule="auto"/>
        <w:tabs>
          <w:tab w:leader="none" w:pos="226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Status of Administrative Agent; Tax Documentation</w:t>
      </w:r>
      <w:r>
        <w:rPr>
          <w:rFonts w:ascii="Arial" w:cs="Arial" w:eastAsia="Arial" w:hAnsi="Arial"/>
          <w:sz w:val="18"/>
          <w:szCs w:val="18"/>
          <w:color w:val="auto"/>
        </w:rPr>
        <w:t>. Bank of America, as the Administrative Agent, and, if legally entitled to do so, any successor or supplemental Administrative Agent if and to the extent, in each case, it is not a United States person under Section 7701(a)(30) of the Code and is acting as Administrative Agent through a U.S. branch described in Treasury Regulation Section 1.1441-1(b)(2)(iv)(A), shall deliver to the Borrower two duly completed copies of Internal Revenue Service Form W-8IMY certifying that it is a “U.S. branch” and that the payments it receives for the account of others are not effectively connected with the conduct of a trade or business in the United States and that it is using such form as evidence of its agreement with the Borrower to be treated as a United States person with respect to such payments (and the Borrower and the Administrative Agent agree to so treat the Administrative Agent as a United States person with respect to such payments as contemplated by Treasury Regulation Section 1.1441-1(b)(2)(iv)(A)), with the effect that the Borrower can make payments to the Administrative Agent without deduction or withholding of any Taxes imposed by the United States.</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w:t>
      </w:r>
    </w:p>
    <w:p>
      <w:pPr>
        <w:spacing w:after="0" w:line="1" w:lineRule="exact"/>
        <w:rPr>
          <w:sz w:val="20"/>
          <w:szCs w:val="20"/>
          <w:color w:val="auto"/>
        </w:rPr>
      </w:pPr>
    </w:p>
    <w:p>
      <w:pPr>
        <w:jc w:val="both"/>
        <w:ind w:firstLine="8"/>
        <w:spacing w:after="0" w:line="268" w:lineRule="auto"/>
        <w:tabs>
          <w:tab w:leader="none" w:pos="21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Arial" w:cs="Arial" w:eastAsia="Arial" w:hAnsi="Arial"/>
          <w:sz w:val="17"/>
          <w:szCs w:val="17"/>
          <w:u w:val="single" w:color="auto"/>
          <w:color w:val="auto"/>
        </w:rPr>
        <w:t>Section 3.05.</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left="660"/>
        <w:spacing w:after="0"/>
        <w:tabs>
          <w:tab w:leader="none" w:pos="13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1" w:lineRule="auto"/>
        <w:tabs>
          <w:tab w:leader="none" w:pos="2346"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in connection with any request for a Term SOFR Loan or a conversion of Base Rate Loans to Term SOFR Loans or a continuation of any such Loan, as applicable, (i) the Administrative Agent determines (which determination shall be conclusive absent manifest error) that</w:t>
      </w:r>
    </w:p>
    <w:p>
      <w:pPr>
        <w:jc w:val="both"/>
        <w:ind w:firstLine="8"/>
        <w:spacing w:after="0" w:line="286" w:lineRule="auto"/>
        <w:tabs>
          <w:tab w:leader="none" w:pos="29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no Successor Rate has been determined in accordance with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and the circumstances under clause (i) of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for any reason that Term SOFR for any requested Interest Period with respect to a proposed Loan does not adequately and fairly reflect the cost to such Lenders of funding such Loan, then (x) the obligation of the Lenders to make or maintain Term SOFR Loans, or to convert Base Rate Loans to Term SOFR Loans, shall be suspended (to the extent of the affected Term SOFR Loans or Interest Periods), and (y) in the event of a determination described above that affects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Arial" w:cs="Arial" w:eastAsia="Arial" w:hAnsi="Arial"/>
          <w:sz w:val="16"/>
          <w:szCs w:val="16"/>
          <w:u w:val="single" w:color="auto"/>
          <w:color w:val="auto"/>
        </w:rPr>
        <w:t>Section 3.03(a)</w:t>
      </w:r>
      <w:r>
        <w:rPr>
          <w:rFonts w:ascii="Arial" w:cs="Arial" w:eastAsia="Arial" w:hAnsi="Arial"/>
          <w:sz w:val="16"/>
          <w:szCs w:val="16"/>
          <w:color w:val="auto"/>
        </w:rPr>
        <w:t>, until the Administrative Agent upon instruction of the Required Lenders) revokes such notice.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187" w:lineRule="exact"/>
        <w:rPr>
          <w:sz w:val="20"/>
          <w:szCs w:val="20"/>
          <w:color w:val="auto"/>
        </w:rPr>
      </w:pPr>
    </w:p>
    <w:p>
      <w:pPr>
        <w:jc w:val="both"/>
        <w:ind w:firstLine="1304"/>
        <w:spacing w:after="0" w:line="259" w:lineRule="auto"/>
        <w:tabs>
          <w:tab w:leader="none" w:pos="210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Replacement of Term SOFR or Successor Rate</w:t>
      </w:r>
      <w:r>
        <w:rPr>
          <w:rFonts w:ascii="Arial" w:cs="Arial" w:eastAsia="Arial" w:hAnsi="Arial"/>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6" w:lineRule="exact"/>
        <w:rPr>
          <w:rFonts w:ascii="Arial" w:cs="Arial" w:eastAsia="Arial" w:hAnsi="Arial"/>
          <w:sz w:val="18"/>
          <w:szCs w:val="18"/>
          <w:color w:val="auto"/>
        </w:rPr>
      </w:pPr>
    </w:p>
    <w:p>
      <w:pPr>
        <w:jc w:val="both"/>
        <w:ind w:left="740" w:right="20" w:firstLine="1293"/>
        <w:spacing w:after="0" w:line="263" w:lineRule="auto"/>
        <w:tabs>
          <w:tab w:leader="none" w:pos="325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left="740" w:firstLine="1293"/>
        <w:spacing w:after="0" w:line="271" w:lineRule="auto"/>
        <w:tabs>
          <w:tab w:leader="none" w:pos="325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then, on a date and time determined by the Administrative Agent (any such date, the “</w:t>
      </w:r>
      <w:r>
        <w:rPr>
          <w:rFonts w:ascii="Arial" w:cs="Arial" w:eastAsia="Arial" w:hAnsi="Arial"/>
          <w:sz w:val="17"/>
          <w:szCs w:val="17"/>
          <w:u w:val="single" w:color="auto"/>
          <w:color w:val="auto"/>
        </w:rPr>
        <w:t>Term SOFR Replacement Date</w:t>
      </w:r>
      <w:r>
        <w:rPr>
          <w:rFonts w:ascii="Arial" w:cs="Arial" w:eastAsia="Arial" w:hAnsi="Arial"/>
          <w:sz w:val="17"/>
          <w:szCs w:val="17"/>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7"/>
          <w:szCs w:val="17"/>
          <w:u w:val="single" w:color="auto"/>
          <w:color w:val="auto"/>
        </w:rPr>
        <w:t>Successor Rate</w:t>
      </w:r>
      <w:r>
        <w:rPr>
          <w:rFonts w:ascii="Arial" w:cs="Arial" w:eastAsia="Arial" w:hAnsi="Arial"/>
          <w:sz w:val="17"/>
          <w:szCs w:val="17"/>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If the Successor Rate is Daily Simple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SOFR Adjustment, all interest payments will be payable on a quarterly basis.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Arial" w:cs="Arial" w:eastAsia="Arial" w:hAnsi="Arial"/>
          <w:sz w:val="17"/>
          <w:szCs w:val="17"/>
          <w:u w:val="single" w:color="auto"/>
          <w:color w:val="auto"/>
        </w:rPr>
        <w:t>Section 3.03(b)(i)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Arial" w:cs="Arial" w:eastAsia="Arial" w:hAnsi="Arial"/>
          <w:sz w:val="17"/>
          <w:szCs w:val="17"/>
          <w:u w:val="single" w:color="auto"/>
          <w:color w:val="auto"/>
        </w:rPr>
        <w:t>Successor Rate</w:t>
      </w:r>
      <w:r>
        <w:rPr>
          <w:rFonts w:ascii="Arial" w:cs="Arial" w:eastAsia="Arial" w:hAnsi="Arial"/>
          <w:sz w:val="17"/>
          <w:szCs w:val="17"/>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Administrative Agent will promptly (in one or more notices) notify the Borrower and each Lender of the implementation of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63" w:lineRule="auto"/>
        <w:rPr>
          <w:sz w:val="20"/>
          <w:szCs w:val="20"/>
          <w:color w:val="auto"/>
        </w:rPr>
      </w:pPr>
      <w:r>
        <w:rPr>
          <w:rFonts w:ascii="Arial" w:cs="Arial" w:eastAsia="Arial" w:hAnsi="Arial"/>
          <w:sz w:val="18"/>
          <w:szCs w:val="18"/>
          <w:color w:val="auto"/>
        </w:rPr>
        <w:t xml:space="preserve">Any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else herein, if at any time any Successor Rate as so determined would otherwise be less than zero percent, the Successor Rate will be deemed to be zero percent for the purposes of this Agreement and the other Loan Documents.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5"/>
          <w:szCs w:val="15"/>
          <w:u w:val="single" w:color="auto"/>
          <w:color w:val="auto"/>
        </w:rPr>
        <w:t>Increased Costs; Reserves on Term SOFR Loans</w:t>
      </w:r>
      <w:r>
        <w:rPr>
          <w:rFonts w:ascii="Arial" w:cs="Arial" w:eastAsia="Arial" w:hAnsi="Arial"/>
          <w:sz w:val="15"/>
          <w:szCs w:val="15"/>
          <w:color w:val="auto"/>
        </w:rPr>
        <w:t>.</w:t>
      </w:r>
    </w:p>
    <w:p>
      <w:pPr>
        <w:spacing w:after="0" w:line="225" w:lineRule="exact"/>
        <w:rPr>
          <w:sz w:val="20"/>
          <w:szCs w:val="20"/>
          <w:color w:val="auto"/>
        </w:rPr>
      </w:pPr>
    </w:p>
    <w:p>
      <w:pPr>
        <w:ind w:left="900" w:hanging="244"/>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740" w:firstLine="1293"/>
        <w:spacing w:after="0" w:line="277" w:lineRule="auto"/>
        <w:tabs>
          <w:tab w:leader="none" w:pos="3173" w:val="left"/>
        </w:tabs>
        <w:numPr>
          <w:ilvl w:val="1"/>
          <w:numId w:val="9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70" w:lineRule="exact"/>
        <w:rPr>
          <w:rFonts w:ascii="Arial" w:cs="Arial" w:eastAsia="Arial" w:hAnsi="Arial"/>
          <w:sz w:val="18"/>
          <w:szCs w:val="18"/>
          <w:color w:val="auto"/>
        </w:rPr>
      </w:pPr>
    </w:p>
    <w:p>
      <w:pPr>
        <w:jc w:val="both"/>
        <w:ind w:left="740" w:firstLine="1293"/>
        <w:spacing w:after="0" w:line="286" w:lineRule="auto"/>
        <w:tabs>
          <w:tab w:leader="none" w:pos="3034"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subject any Lender to any Tax of any kind whatsoever with respect to this Agreement or any Term SOFR Loan made by it, or change the basis of taxation of payments to such Lender in respect thereof (except for Indemnified Taxes or Other Taxes covered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the imposition of, or any change in the rate of, any Excluded Tax payable by such Lender); or</w:t>
      </w:r>
    </w:p>
    <w:p>
      <w:pPr>
        <w:spacing w:after="0" w:line="165" w:lineRule="exact"/>
        <w:rPr>
          <w:rFonts w:ascii="Arial" w:cs="Arial" w:eastAsia="Arial" w:hAnsi="Arial"/>
          <w:sz w:val="17"/>
          <w:szCs w:val="17"/>
          <w:color w:val="auto"/>
        </w:rPr>
      </w:pPr>
    </w:p>
    <w:p>
      <w:pPr>
        <w:ind w:left="740" w:firstLine="1293"/>
        <w:spacing w:after="0" w:line="277" w:lineRule="auto"/>
        <w:tabs>
          <w:tab w:leader="none" w:pos="2981" w:val="left"/>
        </w:tabs>
        <w:numPr>
          <w:ilvl w:val="1"/>
          <w:numId w:val="90"/>
        </w:numPr>
        <w:rPr>
          <w:rFonts w:ascii="Arial" w:cs="Arial" w:eastAsia="Arial" w:hAnsi="Arial"/>
          <w:sz w:val="18"/>
          <w:szCs w:val="18"/>
          <w:color w:val="auto"/>
        </w:rPr>
      </w:pPr>
      <w:r>
        <w:rPr>
          <w:rFonts w:ascii="Arial" w:cs="Arial" w:eastAsia="Arial" w:hAnsi="Arial"/>
          <w:sz w:val="18"/>
          <w:szCs w:val="18"/>
          <w:color w:val="auto"/>
        </w:rPr>
        <w:t>impose on any Lender any other condition, cost or expense (other than Taxes) affecting this Agreement or Term SOFR Loans made by such Lender;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Lender of making, continuing, converting to or maintaining any Term SOFR Loan (or maintaining its obligations to make any Term SOFR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87" w:lineRule="exact"/>
        <w:rPr>
          <w:sz w:val="20"/>
          <w:szCs w:val="20"/>
          <w:color w:val="auto"/>
        </w:rPr>
      </w:pPr>
    </w:p>
    <w:p>
      <w:pPr>
        <w:jc w:val="both"/>
        <w:ind w:firstLine="1304"/>
        <w:spacing w:after="0" w:line="254" w:lineRule="auto"/>
        <w:tabs>
          <w:tab w:leader="none" w:pos="234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Term Loan Commitment of such Lender or the Term Loan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1304"/>
        <w:spacing w:after="0" w:line="279" w:lineRule="auto"/>
        <w:tabs>
          <w:tab w:leader="none" w:pos="222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Lender setting forth the amount or amounts necessary to compensate such Lender or its holding company, as the case may be, and describing in reasonable detail the calculation thereof, and providing reasonable documentation to support the request as specified in subsection (a) or (b) of this Section and delivered to the Borrower shall be conclusive absent manifest error. The Borrower shall pay such Lender the amount shown as due on any such certificate within 30 days after receipt thereof.</w:t>
      </w:r>
    </w:p>
    <w:p>
      <w:pPr>
        <w:spacing w:after="0" w:line="171" w:lineRule="exact"/>
        <w:rPr>
          <w:rFonts w:ascii="Arial" w:cs="Arial" w:eastAsia="Arial" w:hAnsi="Arial"/>
          <w:sz w:val="17"/>
          <w:szCs w:val="17"/>
          <w:color w:val="auto"/>
        </w:rPr>
      </w:pPr>
    </w:p>
    <w:p>
      <w:pPr>
        <w:jc w:val="both"/>
        <w:ind w:firstLine="1304"/>
        <w:spacing w:after="0" w:line="273" w:lineRule="auto"/>
        <w:tabs>
          <w:tab w:leader="none" w:pos="223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to demand compensation pursuant to the foregoing provisions of this Section shall not constitute a waiver of such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7"/>
          <w:szCs w:val="17"/>
          <w:u w:val="single" w:color="auto"/>
          <w:color w:val="auto"/>
        </w:rPr>
        <w:t>Compensation for Losses</w:t>
      </w:r>
      <w:r>
        <w:rPr>
          <w:rFonts w:ascii="Arial" w:cs="Arial" w:eastAsia="Arial" w:hAnsi="Arial"/>
          <w:sz w:val="17"/>
          <w:szCs w:val="17"/>
          <w:color w:val="auto"/>
        </w:rPr>
        <w:t>. Upon written demand of any Lender (with a copy to the Administrative Agent) from time to time,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Borrower shall promptly compensate such Lender for and hold such Lender harmless from any loss, cost or expense incurred by it as a result of:</w:t>
      </w:r>
    </w:p>
    <w:p>
      <w:pPr>
        <w:spacing w:after="0" w:line="222" w:lineRule="exact"/>
        <w:rPr>
          <w:sz w:val="20"/>
          <w:szCs w:val="20"/>
          <w:color w:val="auto"/>
        </w:rPr>
      </w:pPr>
    </w:p>
    <w:p>
      <w:pPr>
        <w:ind w:right="20" w:firstLine="1304"/>
        <w:spacing w:after="0" w:line="308" w:lineRule="auto"/>
        <w:tabs>
          <w:tab w:leader="none" w:pos="226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 Term Loan other than a Base Rate Loan on a day other than the last day of the Interest Period for such Term Loan (whether voluntary, mandatory, automatic, by reason of acceleration, or otherwise);</w:t>
      </w:r>
    </w:p>
    <w:p>
      <w:pPr>
        <w:spacing w:after="0" w:line="146" w:lineRule="exact"/>
        <w:rPr>
          <w:rFonts w:ascii="Arial" w:cs="Arial" w:eastAsia="Arial" w:hAnsi="Arial"/>
          <w:sz w:val="17"/>
          <w:szCs w:val="17"/>
          <w:color w:val="auto"/>
        </w:rPr>
      </w:pPr>
    </w:p>
    <w:p>
      <w:pPr>
        <w:ind w:right="20" w:firstLine="1304"/>
        <w:spacing w:after="0" w:line="277" w:lineRule="auto"/>
        <w:tabs>
          <w:tab w:leader="none" w:pos="22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failure by the Borrower (for any reason other than the failure of such Lender to make a Term Loan) to prepay, borrow, continue or convert a Term Loan other than a Base Rate Loan on the date or in the amount notified by the Borrower; or</w:t>
      </w:r>
    </w:p>
    <w:p>
      <w:pPr>
        <w:spacing w:after="0" w:line="170" w:lineRule="exact"/>
        <w:rPr>
          <w:rFonts w:ascii="Arial" w:cs="Arial" w:eastAsia="Arial" w:hAnsi="Arial"/>
          <w:sz w:val="18"/>
          <w:szCs w:val="18"/>
          <w:color w:val="auto"/>
        </w:rPr>
      </w:pPr>
    </w:p>
    <w:p>
      <w:pPr>
        <w:ind w:firstLine="1304"/>
        <w:spacing w:after="0" w:line="277" w:lineRule="auto"/>
        <w:tabs>
          <w:tab w:leader="none" w:pos="22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assignment of a Term SOFR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the Term Loan or from fees payable to terminate the deposits from which such funds were obtained. The Borrower shall also pay any customary administrative fees charged by such Lender in connection with the foregoing.</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53" w:lineRule="auto"/>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 xml:space="preserve">. (a)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written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shall, as applicable, use reasonable efforts (which shall not require such Lender to incur an unreimbursed loss or unreimbursed cost or expense or otherwise take any action inconsistent with its internal policies or legal or regulatory restrictions or suffer any disadvantage or burden reasonably deemed by it to be significant) to mitigate or reduce the additional amounts payable, which reasonable efforts may include designating a different Lending Office for funding or booking its Term Loan hereunder or assigning its rights and obligations hereunder to another of its offices, branches or affiliates, if, in the judgment of such Lender, such change or other measure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2" w:lineRule="exact"/>
        <w:rPr>
          <w:sz w:val="20"/>
          <w:szCs w:val="20"/>
          <w:color w:val="auto"/>
        </w:rPr>
      </w:pPr>
    </w:p>
    <w:p>
      <w:pPr>
        <w:jc w:val="both"/>
        <w:ind w:firstLine="1304"/>
        <w:spacing w:after="0" w:line="263" w:lineRule="auto"/>
        <w:tabs>
          <w:tab w:leader="none" w:pos="223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Loan Parties’ obligations and all of the Lenders’ and Administrative Agent’s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Obligations hereunder, any assignment of rights by (or the replacement of) a Lender and resignation of the Administrative Agent.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CREDIT EXTENSIONS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effectiveness of this Agreement and the obligation of each Lender to make its initial Credit Extension hereunder is subject to satisfaction or waiver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following conditions precedent, on or prior to November 30, 2021:</w:t>
      </w:r>
    </w:p>
    <w:p>
      <w:pPr>
        <w:spacing w:after="0" w:line="170" w:lineRule="exact"/>
        <w:rPr>
          <w:sz w:val="20"/>
          <w:szCs w:val="20"/>
          <w:color w:val="auto"/>
        </w:rPr>
      </w:pPr>
    </w:p>
    <w:p>
      <w:pPr>
        <w:jc w:val="both"/>
        <w:ind w:firstLine="1304"/>
        <w:spacing w:after="0" w:line="259" w:lineRule="auto"/>
        <w:tabs>
          <w:tab w:leader="none" w:pos="21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electronically transmitted copies of originals (followed as soon as reasonably practicable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86" w:lineRule="exact"/>
        <w:rPr>
          <w:rFonts w:ascii="Arial" w:cs="Arial" w:eastAsia="Arial" w:hAnsi="Arial"/>
          <w:sz w:val="18"/>
          <w:szCs w:val="18"/>
          <w:color w:val="auto"/>
        </w:rPr>
      </w:pPr>
    </w:p>
    <w:p>
      <w:pPr>
        <w:ind w:left="2740" w:hanging="707"/>
        <w:spacing w:after="0"/>
        <w:tabs>
          <w:tab w:leader="none" w:pos="27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executed counterparts of this Agreement;</w:t>
      </w:r>
    </w:p>
    <w:p>
      <w:pPr>
        <w:spacing w:after="0" w:line="225" w:lineRule="exact"/>
        <w:rPr>
          <w:rFonts w:ascii="Arial" w:cs="Arial" w:eastAsia="Arial" w:hAnsi="Arial"/>
          <w:sz w:val="18"/>
          <w:szCs w:val="18"/>
          <w:color w:val="auto"/>
        </w:rPr>
      </w:pPr>
    </w:p>
    <w:p>
      <w:pPr>
        <w:ind w:left="740" w:firstLine="1293"/>
        <w:spacing w:after="0" w:line="277" w:lineRule="auto"/>
        <w:tabs>
          <w:tab w:leader="none" w:pos="2733"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Sixth Amendment to Revolving Credit Agreement, duly executed by the Required Lenders (under, and as defined in, the Revolving Credit Agreement), the Revolving Administrative Agent and each Loan Party;</w:t>
      </w:r>
    </w:p>
    <w:p>
      <w:pPr>
        <w:spacing w:after="0" w:line="170" w:lineRule="exact"/>
        <w:rPr>
          <w:rFonts w:ascii="Arial" w:cs="Arial" w:eastAsia="Arial" w:hAnsi="Arial"/>
          <w:sz w:val="18"/>
          <w:szCs w:val="18"/>
          <w:color w:val="auto"/>
        </w:rPr>
      </w:pPr>
    </w:p>
    <w:p>
      <w:pPr>
        <w:ind w:left="2700" w:hanging="667"/>
        <w:spacing w:after="0"/>
        <w:tabs>
          <w:tab w:leader="none" w:pos="27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w:t>
      </w:r>
    </w:p>
    <w:p>
      <w:pPr>
        <w:spacing w:after="0" w:line="225" w:lineRule="exact"/>
        <w:rPr>
          <w:rFonts w:ascii="Arial" w:cs="Arial" w:eastAsia="Arial" w:hAnsi="Arial"/>
          <w:sz w:val="18"/>
          <w:szCs w:val="18"/>
          <w:color w:val="auto"/>
        </w:rPr>
      </w:pPr>
    </w:p>
    <w:p>
      <w:pPr>
        <w:ind w:left="740" w:firstLine="1293"/>
        <w:spacing w:after="0" w:line="277" w:lineRule="auto"/>
        <w:tabs>
          <w:tab w:leader="none" w:pos="2696"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a pledge and security agreement,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duly executed by each Loan Party, together with:</w:t>
      </w:r>
    </w:p>
    <w:p>
      <w:pPr>
        <w:spacing w:after="0" w:line="170" w:lineRule="exact"/>
        <w:rPr>
          <w:rFonts w:ascii="Arial" w:cs="Arial" w:eastAsia="Arial" w:hAnsi="Arial"/>
          <w:sz w:val="18"/>
          <w:szCs w:val="18"/>
          <w:color w:val="auto"/>
        </w:rPr>
      </w:pPr>
    </w:p>
    <w:p>
      <w:pPr>
        <w:jc w:val="both"/>
        <w:ind w:left="1300" w:firstLine="1300"/>
        <w:spacing w:after="0" w:line="263" w:lineRule="auto"/>
        <w:tabs>
          <w:tab w:leader="none" w:pos="3673" w:val="left"/>
        </w:tabs>
        <w:numPr>
          <w:ilvl w:val="2"/>
          <w:numId w:val="95"/>
        </w:numPr>
        <w:rPr>
          <w:rFonts w:ascii="Arial" w:cs="Arial" w:eastAsia="Arial" w:hAnsi="Arial"/>
          <w:sz w:val="18"/>
          <w:szCs w:val="18"/>
          <w:color w:val="auto"/>
        </w:rPr>
      </w:pPr>
      <w:r>
        <w:rPr>
          <w:rFonts w:ascii="Arial" w:cs="Arial" w:eastAsia="Arial" w:hAnsi="Arial"/>
          <w:sz w:val="18"/>
          <w:szCs w:val="18"/>
          <w:color w:val="auto"/>
        </w:rPr>
        <w:t>proper financing statements in form appropriate for filing under the Uniform Commercial Code of all jurisdictions required to perfect the Liens created under the Security Agreement, covering the Collateral described in the Security Agreement,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left="560" w:firstLine="1300"/>
        <w:spacing w:after="0" w:line="257" w:lineRule="auto"/>
        <w:tabs>
          <w:tab w:leader="none" w:pos="295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completed results of a search of the UCC filings made with respect to the Persons in the jurisdictions contemplated by the Collateral Questionnaire, dated on or before the Closing Date, listing all effective financing statements that name any Loan Party as debtor disclosed by such search and evidence reasonably satisfactory to the Administrative Agent that the Liens indicated by such financing statements are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have been or will be contemporaneously released or terminated, and</w:t>
      </w:r>
    </w:p>
    <w:p>
      <w:pPr>
        <w:spacing w:after="0" w:line="187" w:lineRule="exact"/>
        <w:rPr>
          <w:rFonts w:ascii="Arial" w:cs="Arial" w:eastAsia="Arial" w:hAnsi="Arial"/>
          <w:sz w:val="18"/>
          <w:szCs w:val="18"/>
          <w:color w:val="auto"/>
        </w:rPr>
      </w:pPr>
    </w:p>
    <w:p>
      <w:pPr>
        <w:jc w:val="both"/>
        <w:ind w:left="560" w:firstLine="1300"/>
        <w:spacing w:after="0" w:line="263" w:lineRule="auto"/>
        <w:tabs>
          <w:tab w:leader="none" w:pos="2887"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evidence of the completion of all other actions, recordings and filings of or with respect to the Security Agreement required to perfect (subject to </w:t>
      </w:r>
      <w:r>
        <w:rPr>
          <w:rFonts w:ascii="Arial" w:cs="Arial" w:eastAsia="Arial" w:hAnsi="Arial"/>
          <w:sz w:val="18"/>
          <w:szCs w:val="18"/>
          <w:u w:val="single" w:color="auto"/>
          <w:color w:val="auto"/>
        </w:rPr>
        <w:t>Section 4.7(b)</w:t>
      </w:r>
      <w:r>
        <w:rPr>
          <w:rFonts w:ascii="Arial" w:cs="Arial" w:eastAsia="Arial" w:hAnsi="Arial"/>
          <w:sz w:val="18"/>
          <w:szCs w:val="18"/>
          <w:color w:val="auto"/>
        </w:rPr>
        <w:t xml:space="preserve"> of the Security Agreement, in the case of IP Rights) the Liens created under the Security Agreement;</w:t>
      </w:r>
    </w:p>
    <w:p>
      <w:pPr>
        <w:spacing w:after="0" w:line="183" w:lineRule="exact"/>
        <w:rPr>
          <w:rFonts w:ascii="Arial" w:cs="Arial" w:eastAsia="Arial" w:hAnsi="Arial"/>
          <w:sz w:val="18"/>
          <w:szCs w:val="18"/>
          <w:color w:val="auto"/>
        </w:rPr>
      </w:pPr>
    </w:p>
    <w:p>
      <w:pPr>
        <w:ind w:left="1860" w:hanging="567"/>
        <w:spacing w:after="0"/>
        <w:tabs>
          <w:tab w:leader="none" w:pos="18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First Lien Pari Passu Intercreditor Agreement, duly executed by the Revolving Administrative Agent and each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1293"/>
        <w:spacing w:after="0" w:line="254" w:lineRule="auto"/>
        <w:tabs>
          <w:tab w:leader="none" w:pos="19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a certificate of the secretary or assistant secretary of each Loan Party dated the Closing Date, certifying (I)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and each Company Group Party as of a recent date, from such Secretary of State, (II) that attached thereto is a true and complete copy of resolutions duly authorizing the execution, delivery and performance of the Loan Documents to which such person is a party, (III)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91" w:lineRule="exact"/>
        <w:rPr>
          <w:rFonts w:ascii="Arial" w:cs="Arial" w:eastAsia="Arial" w:hAnsi="Arial"/>
          <w:sz w:val="18"/>
          <w:szCs w:val="18"/>
          <w:color w:val="auto"/>
        </w:rPr>
      </w:pPr>
    </w:p>
    <w:p>
      <w:pPr>
        <w:ind w:right="20" w:firstLine="1293"/>
        <w:spacing w:after="0" w:line="277" w:lineRule="auto"/>
        <w:tabs>
          <w:tab w:leader="none" w:pos="1889"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favorable opinion of Baker Botts L.L.P., counsel to the Loan Parties, addressed to the Administrative Agent and each Lender, in form and substance reasonably satisfactory to the Administrative Agent;</w:t>
      </w:r>
    </w:p>
    <w:p>
      <w:pPr>
        <w:spacing w:after="0" w:line="170" w:lineRule="exact"/>
        <w:rPr>
          <w:rFonts w:ascii="Arial" w:cs="Arial" w:eastAsia="Arial" w:hAnsi="Arial"/>
          <w:sz w:val="18"/>
          <w:szCs w:val="18"/>
          <w:color w:val="auto"/>
        </w:rPr>
      </w:pPr>
    </w:p>
    <w:p>
      <w:pPr>
        <w:jc w:val="both"/>
        <w:ind w:firstLine="1293"/>
        <w:spacing w:after="0" w:line="286" w:lineRule="auto"/>
        <w:tabs>
          <w:tab w:leader="none" w:pos="1894"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Borrower certifying (A) that the conditions specified in </w:t>
      </w:r>
      <w:r>
        <w:rPr>
          <w:rFonts w:ascii="Arial" w:cs="Arial" w:eastAsia="Arial" w:hAnsi="Arial"/>
          <w:sz w:val="17"/>
          <w:szCs w:val="17"/>
          <w:u w:val="single" w:color="auto"/>
          <w:color w:val="auto"/>
        </w:rPr>
        <w:t>clauses (h)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165" w:lineRule="exact"/>
        <w:rPr>
          <w:rFonts w:ascii="Arial" w:cs="Arial" w:eastAsia="Arial" w:hAnsi="Arial"/>
          <w:sz w:val="17"/>
          <w:szCs w:val="17"/>
          <w:color w:val="auto"/>
        </w:rPr>
      </w:pPr>
    </w:p>
    <w:p>
      <w:pPr>
        <w:ind w:left="1920" w:hanging="627"/>
        <w:spacing w:after="0"/>
        <w:tabs>
          <w:tab w:leader="none" w:pos="1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Closing Date Projections;</w:t>
      </w:r>
    </w:p>
    <w:p>
      <w:pPr>
        <w:spacing w:after="0" w:line="225" w:lineRule="exact"/>
        <w:rPr>
          <w:rFonts w:ascii="Arial" w:cs="Arial" w:eastAsia="Arial" w:hAnsi="Arial"/>
          <w:sz w:val="18"/>
          <w:szCs w:val="18"/>
          <w:color w:val="auto"/>
        </w:rPr>
      </w:pPr>
    </w:p>
    <w:p>
      <w:pPr>
        <w:ind w:firstLine="1293"/>
        <w:spacing w:after="0" w:line="277" w:lineRule="auto"/>
        <w:tabs>
          <w:tab w:leader="none" w:pos="1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certificates attesting to the Solvency of the Loan Parties, taken as a whole after giving effect to the Transaction, from the chief financial officer of Holdings; and</w:t>
      </w:r>
    </w:p>
    <w:p>
      <w:pPr>
        <w:spacing w:after="0" w:line="170" w:lineRule="exact"/>
        <w:rPr>
          <w:rFonts w:ascii="Arial" w:cs="Arial" w:eastAsia="Arial" w:hAnsi="Arial"/>
          <w:sz w:val="18"/>
          <w:szCs w:val="18"/>
          <w:color w:val="auto"/>
        </w:rPr>
      </w:pPr>
    </w:p>
    <w:p>
      <w:pPr>
        <w:ind w:firstLine="1293"/>
        <w:spacing w:after="0" w:line="277" w:lineRule="auto"/>
        <w:tabs>
          <w:tab w:leader="none" w:pos="205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completed Collateral Questionnaire dated the Closing Date and executed by a Responsible Officer of each Loan Party, together with all attachments contemplated thereby.</w:t>
      </w:r>
    </w:p>
    <w:p>
      <w:pPr>
        <w:spacing w:after="0" w:line="38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1060" w:top="908" w:right="339" w:bottom="1440" w:gutter="0" w:footer="0" w:header="0"/>
        </w:sectPr>
      </w:pPr>
    </w:p>
    <w:bookmarkStart w:id="92" w:name="page93"/>
    <w:bookmarkEnd w:id="92"/>
    <w:p>
      <w:pPr>
        <w:jc w:val="both"/>
        <w:ind w:firstLine="1304"/>
        <w:spacing w:after="0" w:line="263" w:lineRule="auto"/>
        <w:tabs>
          <w:tab w:leader="none" w:pos="24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All fees required to be paid to the Administrative Agent and the Arranger on or before the Closing Date, including pursuant to the Fee Letter, shall have been paid and (ii) all fees required to be paid to the Lenders on or before the Closing Date, including pursuant to the Fee Letter, shall have been paid.</w:t>
      </w:r>
    </w:p>
    <w:p>
      <w:pPr>
        <w:spacing w:after="0" w:line="183" w:lineRule="exact"/>
        <w:rPr>
          <w:rFonts w:ascii="Arial" w:cs="Arial" w:eastAsia="Arial" w:hAnsi="Arial"/>
          <w:sz w:val="18"/>
          <w:szCs w:val="18"/>
          <w:color w:val="auto"/>
        </w:rPr>
      </w:pPr>
    </w:p>
    <w:p>
      <w:pPr>
        <w:ind w:firstLine="1304"/>
        <w:spacing w:after="0" w:line="277" w:lineRule="auto"/>
        <w:tabs>
          <w:tab w:leader="none" w:pos="26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have paid all reasonable and documented fees, charges and disbursements of counsel to the Administrative Agent directly to such counsel to the extent invoiced within two Business Days prior to the Closing Date.</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225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(i)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that has been requested at least ten (10) days prior to the Closing Date and (ii) any Loan Party that qualifies as a “legal entity customer” under the Beneficial Ownership Regulation shall have delivered, to each Lender that so requests, a Beneficial Ownership Certification in relation to such Loan Party.</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1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from Parent the Audited Financial Statements referred to in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and the unaudited financial statements referred to in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(it being understood that the audited financial statements filed on Form 10-K or Form 10-Q with the SEC shall satisfy the condition set forth in this </w:t>
      </w:r>
      <w:r>
        <w:rPr>
          <w:rFonts w:ascii="Arial" w:cs="Arial" w:eastAsia="Arial" w:hAnsi="Arial"/>
          <w:sz w:val="18"/>
          <w:szCs w:val="18"/>
          <w:u w:val="single" w:color="auto"/>
          <w:color w:val="auto"/>
        </w:rPr>
        <w:t>clause (e)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1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 event, circumstance or change shall have occurred since the date of the Audited Financial Statements that has resulted,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65" w:lineRule="exact"/>
        <w:rPr>
          <w:rFonts w:ascii="Arial" w:cs="Arial" w:eastAsia="Arial" w:hAnsi="Arial"/>
          <w:sz w:val="17"/>
          <w:szCs w:val="17"/>
          <w:color w:val="auto"/>
        </w:rPr>
      </w:pPr>
    </w:p>
    <w:p>
      <w:pPr>
        <w:jc w:val="both"/>
        <w:ind w:firstLine="1304"/>
        <w:spacing w:after="0" w:line="275" w:lineRule="auto"/>
        <w:tabs>
          <w:tab w:leader="none" w:pos="229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representations and warranties of the Loan Parties contained in Article V or any other Loan Document, or which are contained in any document furnished at any time under or in connection herewith or therewith, shall be true and correct in all material respects (except to the extent any such representation and warranty itself is qualified by “materiality”, “Material Adverse Effect” or any similar qualifier, in which case, it shall be true and correct in all respects) on and as of the date of such Credit Extension, except to the extent that such representations and warranties specifically refer to an earlier date, in which case they shall be true and correct as of such earlier date.</w:t>
      </w:r>
    </w:p>
    <w:p>
      <w:pPr>
        <w:spacing w:after="0" w:line="176" w:lineRule="exact"/>
        <w:rPr>
          <w:rFonts w:ascii="Arial" w:cs="Arial" w:eastAsia="Arial" w:hAnsi="Arial"/>
          <w:sz w:val="17"/>
          <w:szCs w:val="17"/>
          <w:color w:val="auto"/>
        </w:rPr>
      </w:pPr>
    </w:p>
    <w:p>
      <w:pPr>
        <w:ind w:left="2140" w:hanging="836"/>
        <w:spacing w:after="0"/>
        <w:tabs>
          <w:tab w:leader="none" w:pos="21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Default shall exist, or would result from such proposed Credit Extension or from the application of the proceeds thereof.</w:t>
      </w:r>
    </w:p>
    <w:p>
      <w:pPr>
        <w:spacing w:after="0" w:line="248" w:lineRule="exact"/>
        <w:rPr>
          <w:rFonts w:ascii="Arial" w:cs="Arial" w:eastAsia="Arial" w:hAnsi="Arial"/>
          <w:sz w:val="16"/>
          <w:szCs w:val="16"/>
          <w:color w:val="auto"/>
        </w:rPr>
      </w:pPr>
    </w:p>
    <w:p>
      <w:pPr>
        <w:ind w:left="2200" w:hanging="896"/>
        <w:spacing w:after="0"/>
        <w:tabs>
          <w:tab w:leader="none" w:pos="22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Administrative Agent shall have received a Committed Loan Notice in accordance with the requirements hereof.</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3" w:lineRule="auto"/>
        <w:rPr>
          <w:sz w:val="20"/>
          <w:szCs w:val="20"/>
          <w:color w:val="auto"/>
        </w:rPr>
      </w:pPr>
      <w:r>
        <w:rPr>
          <w:rFonts w:ascii="Arial" w:cs="Arial" w:eastAsia="Arial" w:hAnsi="Arial"/>
          <w:sz w:val="18"/>
          <w:szCs w:val="18"/>
          <w:color w:val="auto"/>
        </w:rPr>
        <w:t xml:space="preserve">Each Committed Loan Notice (other than a Committed Loan Notice requesting only a conversion of Loans to the other Type or a continuation of Term SOFR Loans) submitted by the Borrower shall be deemed to be a representation and warranty that the conditions specified in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have been satisfied on and as of the date of the applicable Credit Extension.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Without limiting the generality of the provisions of clause (f)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Loan Parties represents and warrants to the Administrative Agent and the Lenders that: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Each Loan Party and each of their respective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Authorization; No Contravention</w:t>
      </w:r>
      <w:r>
        <w:rPr>
          <w:rFonts w:ascii="Arial" w:cs="Arial" w:eastAsia="Arial" w:hAnsi="Arial"/>
          <w:sz w:val="17"/>
          <w:szCs w:val="17"/>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(c) result in the creation or imposition of any Lien upon or with respect to any property or assets now owned or hereafter acquired by such Person or any of its Subsidiaries (other than Liens created under the Collateral Documents); or (d) violate any material Law.</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5.03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xml:space="preserve">.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(subject to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of the Security Agreement in the case of IP Rights)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except for (i) the authorizations, approvals, actions, notices and filings listed on </w:t>
      </w:r>
      <w:r>
        <w:rPr>
          <w:rFonts w:ascii="Arial" w:cs="Arial" w:eastAsia="Arial" w:hAnsi="Arial"/>
          <w:sz w:val="17"/>
          <w:szCs w:val="17"/>
          <w:u w:val="single" w:color="auto"/>
          <w:color w:val="auto"/>
        </w:rPr>
        <w:t>Schedule 5.03</w:t>
      </w:r>
      <w:r>
        <w:rPr>
          <w:rFonts w:ascii="Arial" w:cs="Arial" w:eastAsia="Arial" w:hAnsi="Arial"/>
          <w:sz w:val="17"/>
          <w:szCs w:val="17"/>
          <w:color w:val="auto"/>
        </w:rPr>
        <w:t>, which will be sought, (ii) any immaterial actions, consents, approvals, registrations or filings, (iii) any additional filings in connection with any IP Rights acquired after the date hereof and (iv) approvals, consents, exemptions, authorizations, or other actions by, or notices to, or filings with, FERC or state regulatory authorities under the FPA or state laws respecting the rates of, or the financial or organizational regulation of, public utilities that may be required in connection with the exercise of certain foreclosure remedies allowed under the Loan Documents.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73"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the enforceability hereof or thereof may be limited by (a) bankruptcy, insolvency, reorganization, moratorium, fraudulent transfer or other laws now or hereafter in effect relating to creditors’ rights generally (including specific performance) and (b) general equitable principles (whether considered in a proceeding in equity or at law), and to the discretion of the court before which any proceeding may be brought.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5.05 </w:t>
      </w:r>
      <w:r>
        <w:rPr>
          <w:rFonts w:ascii="Arial" w:cs="Arial" w:eastAsia="Arial" w:hAnsi="Arial"/>
          <w:sz w:val="17"/>
          <w:szCs w:val="17"/>
          <w:u w:val="single" w:color="auto"/>
          <w:color w:val="auto"/>
        </w:rPr>
        <w:t>Financial Statements; No Material Adverse Effect</w:t>
      </w:r>
      <w:r>
        <w:rPr>
          <w:rFonts w:ascii="Arial" w:cs="Arial" w:eastAsia="Arial" w:hAnsi="Arial"/>
          <w:sz w:val="17"/>
          <w:szCs w:val="17"/>
          <w:color w:val="auto"/>
        </w:rPr>
        <w:t>. (a) The Audited Financial Statements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in accordance with GAAP consistently applied throughout the period covered thereby, except as otherwise expressly noted therein.</w:t>
      </w:r>
    </w:p>
    <w:p>
      <w:pPr>
        <w:spacing w:after="0" w:line="171" w:lineRule="exact"/>
        <w:rPr>
          <w:sz w:val="20"/>
          <w:szCs w:val="20"/>
          <w:color w:val="auto"/>
        </w:rPr>
      </w:pPr>
    </w:p>
    <w:p>
      <w:pPr>
        <w:jc w:val="both"/>
        <w:ind w:firstLine="1304"/>
        <w:spacing w:after="0" w:line="275" w:lineRule="auto"/>
        <w:tabs>
          <w:tab w:leader="none" w:pos="254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unaudited consolidated balance sheets of Parent and its Subsidiaries dated September 30, 2021,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subject, in the case of clauses (i) and (ii), to the absence of footnotes and to normal year-end audit adjustments.</w:t>
      </w:r>
    </w:p>
    <w:p>
      <w:pPr>
        <w:spacing w:after="0" w:line="176" w:lineRule="exact"/>
        <w:rPr>
          <w:rFonts w:ascii="Arial" w:cs="Arial" w:eastAsia="Arial" w:hAnsi="Arial"/>
          <w:sz w:val="17"/>
          <w:szCs w:val="17"/>
          <w:color w:val="auto"/>
        </w:rPr>
      </w:pPr>
    </w:p>
    <w:p>
      <w:pPr>
        <w:ind w:firstLine="1304"/>
        <w:spacing w:after="0" w:line="277" w:lineRule="auto"/>
        <w:tabs>
          <w:tab w:leader="none" w:pos="23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2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Projections were prepared in good faith upon accounting principles consistent with the Audited Financial Statements and upon assumptions that are reasonable at the time made and at the time the related Projections are made available to the Administrative Agent and the Arranger, it being understood that the Projections are not to be viewed as facts and are subject to significant uncertainties and contingencies, many of which are beyond the Borrower’s control (and that may be material) and that no assurance can be given that any Projection will be realized.</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55"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There are no actions, suits, proceedings, claims or disputes pending or, to the knowledge of the Loan Parties, threatened in writing, at law, in equity, in arbitration or before any Governmental Authority, by or against any Loan Party or any of its Subsidiaries or against any of their properties or revenues that (a) purport to affect or pertain to this Agreement, any other Loan Document or the consummation of the Transaction or (b) 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or in SEC filings made prior to the Closing Date (the “</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either individually or in the aggregate, if there is a reasonable possibility of an adverse determination and if determined adversely, could reasonably be expected to have a Material Adverse Effect.</w:t>
      </w:r>
    </w:p>
    <w:p>
      <w:pPr>
        <w:spacing w:after="0" w:line="19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has occurred and is continuing or would result from the consummation of the Transactions.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5.08 </w:t>
      </w:r>
      <w:r>
        <w:rPr>
          <w:rFonts w:ascii="Arial" w:cs="Arial" w:eastAsia="Arial" w:hAnsi="Arial"/>
          <w:sz w:val="16"/>
          <w:szCs w:val="16"/>
          <w:u w:val="single" w:color="auto"/>
          <w:color w:val="auto"/>
        </w:rPr>
        <w:t>Ownership of Properties</w:t>
      </w:r>
      <w:r>
        <w:rPr>
          <w:rFonts w:ascii="Arial" w:cs="Arial" w:eastAsia="Arial" w:hAnsi="Arial"/>
          <w:sz w:val="16"/>
          <w:szCs w:val="16"/>
          <w:color w:val="auto"/>
        </w:rPr>
        <w:t>. Each Loan Party and each of their respective Subsidiaries has good record and marketable title in all property used in the ordinary conduct of its business, except as could not, individually or in the aggregate, reasonably be expected to have a Material Adverse Effect.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35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Loan Party and their respective Subsidiaries is in compliance in all material respects with the requirements of all Environmental Laws and all orders, writs, injunctions and decrees applicable to it or to its material properties under Environmental Law, except in such instances in which (a) such requirement of Environmental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1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firstLine="1304"/>
        <w:spacing w:after="0" w:line="270" w:lineRule="auto"/>
        <w:tabs>
          <w:tab w:leader="none" w:pos="210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None of the properties currently or formerly owned or operated by any Loan Party or any of their respective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any of their respective Subsidiaries or, to the knowledge of the Loan Parties, on any property formerly owned or operated by any Loan Party or any of their respective Subsidiaries; (iii) there is no asbestos or asbestos-containing material on any property currently owned or operated by any Loan Party or any of their respective Subsidiaries; and (iv) Hazardous Materials have not been Released, discharged or disposed of on any property currently or formerly owned or operated by any Loan Party or any of their respective Subsidiaries that in each case referred to in clauses (i) through (iv) above individually or in the aggregate has had, or could reasonably be expected to have, a Material Adverse Effect.</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1304"/>
        <w:spacing w:after="0" w:line="291" w:lineRule="auto"/>
        <w:tabs>
          <w:tab w:leader="none" w:pos="220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in each case that individually or in the aggregate has had, or could reasonably be expected to have, a Material Adverse Effect; and all Hazardous Materials generated, used, treated, handled or stored at, or transported to or from, any property currently or formerly owned or operated by any Loan Party or any of their respective Subsidiaries have been disposed of in a manner not reasonably expected to result in liability to any Loan Party or any of their respective Subsidiaries that could reasonably be expected to have a Material Adverse Effect.</w:t>
      </w:r>
    </w:p>
    <w:p>
      <w:pPr>
        <w:spacing w:after="0" w:line="166" w:lineRule="exact"/>
        <w:rPr>
          <w:rFonts w:ascii="Arial" w:cs="Arial" w:eastAsia="Arial" w:hAnsi="Arial"/>
          <w:sz w:val="16"/>
          <w:szCs w:val="16"/>
          <w:color w:val="auto"/>
        </w:rPr>
      </w:pPr>
    </w:p>
    <w:p>
      <w:pPr>
        <w:jc w:val="both"/>
        <w:ind w:firstLine="1304"/>
        <w:spacing w:after="0" w:line="279" w:lineRule="auto"/>
        <w:tabs>
          <w:tab w:leader="none" w:pos="227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There are no actions, suits, proceedings, claims or disputes pending or, to the knowledge of the Loan Parties, threatened in writing, at law, in equity, in arbitration or before any Governmental Authority under any Environmental Law, by or against any Loan Party or any of its Subsidiaries or against any of their properties, either individually or in the aggregate, in respect of which there is a reasonable possibility of an adverse determination and which, if determined adversely, could reasonably be expected to have a Material Adverse Effect.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anything set forth in this Agreement or any other Loan Document to the contrary, the representations and warranties set forth in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are the sole representations and warranties in any Loan Document with respect to environmental matters, including those relating to Environmental Laws or Hazardous Materials.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Insurance</w:t>
      </w:r>
      <w:r>
        <w:rPr>
          <w:rFonts w:ascii="Arial" w:cs="Arial" w:eastAsia="Arial" w:hAnsi="Arial"/>
          <w:sz w:val="17"/>
          <w:szCs w:val="17"/>
          <w:color w:val="auto"/>
        </w:rPr>
        <w:t>. The properties of the Loan Parties and their respective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Loan Party or its applicable Subsidiary operates.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either individually or in the aggregate, reasonably be expected to result in a Material Adverse Effect, the Loan Parties and each of their respective Subsidiaries have filed all Federal, state and other Tax returns and reports required to be filed, and have paid all Federal, state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Loan Parties or any of their respective Subsidiaries that would, if made, have a Material Adverse Effect. Neither any Loan Party nor any Subsidiary thereof is party to any Tax sharing agreement. No Tax liability with respect to any of the Loan Parties or their respective Subsidiaries could reasonably be expected to result in, either in any case or in the aggregate, a Material Adverse Effect.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75"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ERISA Compliance</w:t>
      </w:r>
      <w:r>
        <w:rPr>
          <w:rFonts w:ascii="Arial" w:cs="Arial" w:eastAsia="Arial" w:hAnsi="Arial"/>
          <w:sz w:val="17"/>
          <w:szCs w:val="17"/>
          <w:color w:val="auto"/>
        </w:rPr>
        <w:t>. (a) Except as could not reasonably be expected to have a Material Adverse Effect: (i) each Plan is in compliance with the applicable provisions of ERISA, the Code and other Federal or state Laws; (ii) each Plan that is intended to qualify under Section 401(a) of the Code has received a favorable determination letter from the IRS or an application for such a letter is currently being processed by the IRS with respect thereto and, to the knowledge of the Borrower, nothing has occurred which would prevent, or cause the loss of, such qualification; and (iii) the Borrower and each ERISA Affiliate have made all required contributions to each Plan subject to Section 412 of the Code.</w:t>
      </w:r>
    </w:p>
    <w:p>
      <w:pPr>
        <w:spacing w:after="0" w:line="176" w:lineRule="exact"/>
        <w:rPr>
          <w:sz w:val="20"/>
          <w:szCs w:val="20"/>
          <w:color w:val="auto"/>
        </w:rPr>
      </w:pPr>
    </w:p>
    <w:p>
      <w:pPr>
        <w:jc w:val="both"/>
        <w:ind w:firstLine="1304"/>
        <w:spacing w:after="0" w:line="259" w:lineRule="auto"/>
        <w:tabs>
          <w:tab w:leader="none" w:pos="25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242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Except as could not reasonably be expected to have a Material Adverse Effect: (i) no ERISA Event has occurred or is reasonably expected to occur; (ii) neither the Borrower nor any ERISA Affiliate has incurred, or reasonably expects to incur, any liability under Title IV of ERISA with respect to any Pension Plan (other than premiums due and not delinquent under Section 4007 of ERISA); (iii) neither the Borrower nor any ERISA Affiliate has incurred any liability that remains outstanding (and no event has occurred which, with the giving of notice under Section 4219 of ERISA, would result in such liability) under Section 4201 of ERISA with respect to a Multiemployer Plan; and (iv) neither the Borrower nor any ERISA Affiliate has engaged in a transaction that could reasonably be expected to be subject to Section 4069 or 4212(c) of ERISA.</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Subsidiaries; Equity Interests; Loan Parties; Project Companies</w:t>
      </w:r>
      <w:r>
        <w:rPr>
          <w:rFonts w:ascii="Arial" w:cs="Arial" w:eastAsia="Arial" w:hAnsi="Arial"/>
          <w:sz w:val="17"/>
          <w:szCs w:val="17"/>
          <w:color w:val="auto"/>
        </w:rPr>
        <w:t xml:space="preserve">. As of the Closing Date, no Loan Party has any Subsidiaries other than those specifically disclosed in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in the case of Pledged Equity, free and clear of all Liens except Liens set forth in </w:t>
      </w:r>
      <w:r>
        <w:rPr>
          <w:rFonts w:ascii="Arial" w:cs="Arial" w:eastAsia="Arial" w:hAnsi="Arial"/>
          <w:sz w:val="17"/>
          <w:szCs w:val="17"/>
          <w:u w:val="single" w:color="auto"/>
          <w:color w:val="auto"/>
        </w:rPr>
        <w:t>Sections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As of the Closing Date, no Loan Party has any equity investments in any other Person other than those specifically disclosed in Part (b)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All of the outstanding Equity Interests in the Borrower have been validly issued, are fully paid and are owned by Holdings in the amounts specified on Part (c)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free and clear of all Liens (other than Liens set forth in </w:t>
      </w:r>
      <w:r>
        <w:rPr>
          <w:rFonts w:ascii="Arial" w:cs="Arial" w:eastAsia="Arial" w:hAnsi="Arial"/>
          <w:sz w:val="17"/>
          <w:szCs w:val="17"/>
          <w:u w:val="single" w:color="auto"/>
          <w:color w:val="auto"/>
        </w:rPr>
        <w:t>Sections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except those created under the Collateral Documents. Set forth on Part (d)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all Loan Parties, showing as of the Closing Date its jurisdiction of its incorporation, the address of its principal place of business and its U.S. taxpayer identification number. Set forth on Part (e)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Project Company as of the Closing Date. Set forth on Part (f)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Company Group Party that is not a Loan Party as of the Closing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8" w:name="page99"/>
    <w:bookmarkEnd w:id="98"/>
    <w:p>
      <w:pPr>
        <w:jc w:val="both"/>
        <w:ind w:firstLine="648"/>
        <w:spacing w:after="0" w:line="296"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Margin Regulations; Investment Company Act</w:t>
      </w:r>
      <w:r>
        <w:rPr>
          <w:rFonts w:ascii="Arial" w:cs="Arial" w:eastAsia="Arial" w:hAnsi="Arial"/>
          <w:sz w:val="16"/>
          <w:szCs w:val="16"/>
          <w:color w:val="auto"/>
        </w:rPr>
        <w:t>. (a) None of the Loan Parties is engaged and none of the Loan Parties will engage, principally or as one of its important activities, in the business of purchasing or carrying margin stock (within the meaning of Regulation U issued by the FRB), or extending credit for the purpose of purchasing or carrying margin stock. No portion of the proceeds of the Credit Extension shall be used in any manner, whether directly or indirectly, that causes or could reasonably be expected to cause, the Credit Extension or the application of such proceeds to violate Regulation T, Regulation U or Regulation X of the Board of Governors or any other regulation thereof or to violate the Exchange Act.</w:t>
      </w:r>
    </w:p>
    <w:p>
      <w:pPr>
        <w:spacing w:after="0" w:line="161" w:lineRule="exact"/>
        <w:rPr>
          <w:sz w:val="20"/>
          <w:szCs w:val="20"/>
          <w:color w:val="auto"/>
        </w:rPr>
      </w:pPr>
    </w:p>
    <w:p>
      <w:pPr>
        <w:ind w:firstLine="1304"/>
        <w:spacing w:after="0" w:line="277" w:lineRule="auto"/>
        <w:tabs>
          <w:tab w:leader="none" w:pos="245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None of the Loan Parties, or any of the Loan Parties’ Subsidiaries is or is required to be registered as an “investment company” under the Investment Company Act of 1940.</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Neither this Agreement nor any other document, certificate or written statement, in each case concerning any Loan Party or any Subsidiary thereof (expressly excluding projections and other forward-looking statements and, to the extent not prepared by Parent or its Subsidiaries, general market data and information of a general economic or industry specific nature), furnished to the Administrative Agent by or on behalf of any Loan Party in connection herewith contains, as of the date prepared and taken as a whole, any untrue statement of a material fact or omits to state any material fact necessary in order to make the statements contained herein and therein not materially misleading, in light of the circumstances under which they were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such other document, certificate or statement constitutes a forecast or projection, the Loan Parties represent only that they acted in good faith and utilized assumptions believed by them to be reasonable at the time made and furnished (it being understood that forecasts and projections are subject to significant contingencies and assumptions, many of which are beyond the control of the Loan Parties and their respective Subsidiaries, and that no assurance can be given that the projections or forecasts will be realized).</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Loan Party and each of their respective Subsidiaries is in compliance in all material respects with the requirements of all Laws and all orders, writs, injunctions and decrees applicable to it or to its material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Energy 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25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Each Generation Portfolio Company that owns or operates facilities used for the generation, transmission, or distribution of electric energy for sale meets the requirements for, and has been determined by FERC to be, either an “exempt wholesale generator” (“</w:t>
      </w:r>
      <w:r>
        <w:rPr>
          <w:rFonts w:ascii="Arial" w:cs="Arial" w:eastAsia="Arial" w:hAnsi="Arial"/>
          <w:sz w:val="17"/>
          <w:szCs w:val="17"/>
          <w:u w:val="single" w:color="auto"/>
          <w:color w:val="auto"/>
        </w:rPr>
        <w:t>Exempt Wholesale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Generator</w:t>
      </w:r>
      <w:r>
        <w:rPr>
          <w:rFonts w:ascii="Arial" w:cs="Arial" w:eastAsia="Arial" w:hAnsi="Arial"/>
          <w:sz w:val="17"/>
          <w:szCs w:val="17"/>
          <w:color w:val="auto"/>
        </w:rPr>
        <w:t>”) within the meaning of PUHCA or such facilities meet the requirements of a “qualifying cogeneration facility” or a “qualifying small power production facility” (either a “</w:t>
      </w:r>
      <w:r>
        <w:rPr>
          <w:rFonts w:ascii="Arial" w:cs="Arial" w:eastAsia="Arial" w:hAnsi="Arial"/>
          <w:sz w:val="17"/>
          <w:szCs w:val="17"/>
          <w:u w:val="single" w:color="auto"/>
          <w:color w:val="auto"/>
        </w:rPr>
        <w:t>Qualifying Facility</w:t>
      </w:r>
      <w:r>
        <w:rPr>
          <w:rFonts w:ascii="Arial" w:cs="Arial" w:eastAsia="Arial" w:hAnsi="Arial"/>
          <w:sz w:val="17"/>
          <w:szCs w:val="17"/>
          <w:color w:val="auto"/>
        </w:rPr>
        <w:t>”) within the meaning of PURPA. The Loan Parties, the Company Group Parties and the Generation Portfolio Companies are not subject to or are exempt from regulation under PUHCA (other than, with respect to the Generation Portfolio Companies that own or operate facilities used for the generation, transmission, or distribution of electric energy for sale, maintaining status as a Qualifying Facility under PURPA or an Exempt Wholesale Generator within the meaning of PUHCA).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1304"/>
        <w:spacing w:after="0" w:line="287" w:lineRule="auto"/>
        <w:tabs>
          <w:tab w:leader="none" w:pos="227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of (i) the Generation Portfolio Companies that are a “public utility” within the meaning of the FPA and not otherwise exempt from regulation under Sections 205 and 206 of the FPA (“</w:t>
      </w:r>
      <w:r>
        <w:rPr>
          <w:rFonts w:ascii="Arial" w:cs="Arial" w:eastAsia="Arial" w:hAnsi="Arial"/>
          <w:sz w:val="16"/>
          <w:szCs w:val="16"/>
          <w:u w:val="single" w:color="auto"/>
          <w:color w:val="auto"/>
        </w:rPr>
        <w:t>FPA-Jurisdictional Generation Portfolio Companies</w:t>
      </w:r>
      <w:r>
        <w:rPr>
          <w:rFonts w:ascii="Arial" w:cs="Arial" w:eastAsia="Arial" w:hAnsi="Arial"/>
          <w:sz w:val="16"/>
          <w:szCs w:val="16"/>
          <w:color w:val="auto"/>
        </w:rPr>
        <w:t>”) have a validly-issued order from FERC, not subject to any pending challenge or investigation: (x) authorizing it to engage in wholesale sales of electricity and, to the extent permitted under its market-based rate tariff, other products and services at market-based rates; and (y) granting such waivers and authorizations as are customarily granted to power marketers by FERC, including blanket authorizations to issue securities and assume liabilities pursuant to Section 204 of the FPA (together, “</w:t>
      </w:r>
      <w:r>
        <w:rPr>
          <w:rFonts w:ascii="Arial" w:cs="Arial" w:eastAsia="Arial" w:hAnsi="Arial"/>
          <w:sz w:val="16"/>
          <w:szCs w:val="16"/>
          <w:u w:val="single" w:color="auto"/>
          <w:color w:val="auto"/>
        </w:rPr>
        <w:t>FPA</w:t>
      </w:r>
      <w:r>
        <w:rPr>
          <w:rFonts w:ascii="Arial" w:cs="Arial" w:eastAsia="Arial" w:hAnsi="Arial"/>
          <w:sz w:val="16"/>
          <w:szCs w:val="16"/>
          <w:color w:val="auto"/>
        </w:rPr>
        <w:t xml:space="preserve"> </w:t>
      </w:r>
      <w:r>
        <w:rPr>
          <w:rFonts w:ascii="Arial" w:cs="Arial" w:eastAsia="Arial" w:hAnsi="Arial"/>
          <w:sz w:val="16"/>
          <w:szCs w:val="16"/>
          <w:u w:val="single" w:color="auto"/>
          <w:color w:val="auto"/>
        </w:rPr>
        <w:t>MBR Authorizations, Exemptions and Waivers</w:t>
      </w:r>
      <w:r>
        <w:rPr>
          <w:rFonts w:ascii="Arial" w:cs="Arial" w:eastAsia="Arial" w:hAnsi="Arial"/>
          <w:sz w:val="16"/>
          <w:szCs w:val="16"/>
          <w:color w:val="auto"/>
        </w:rPr>
        <w:t>”). As of the Closing Date, FERC had not issued any orders imposing a rate cap, mitigation measure, or other limitation on the FPA MBR Authorizations, Exemptions and Waivers of the FPA-Jurisdictional Generation Portfolio Companies or any of the FPA-Jurisdictional Generation Portfolio Companies’ authority to engage in sales of electricity at market-based rates, other than rate caps and mitigation measures generally applicable to wholesale suppliers participating in the applicable FERC-jurisdictional electric market (although, to the knowledge of the Loan Parties, there are no generally applicable challenges currently pending before FERC to the market-based rate authorization of wholesale suppliers in the electric markets in which the Generation Portfolio Companies make wholesale sales under their market-based rate tariffs).</w:t>
      </w:r>
    </w:p>
    <w:p>
      <w:pPr>
        <w:spacing w:after="0" w:line="171" w:lineRule="exact"/>
        <w:rPr>
          <w:rFonts w:ascii="Arial" w:cs="Arial" w:eastAsia="Arial" w:hAnsi="Arial"/>
          <w:sz w:val="16"/>
          <w:szCs w:val="16"/>
          <w:color w:val="auto"/>
        </w:rPr>
      </w:pPr>
    </w:p>
    <w:p>
      <w:pPr>
        <w:jc w:val="both"/>
        <w:ind w:firstLine="1304"/>
        <w:spacing w:after="0" w:line="311" w:lineRule="auto"/>
        <w:tabs>
          <w:tab w:leader="none" w:pos="231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of the Generation Portfolio Companies that are not a FPA-Jurisdictional Generation Portfolio Company (“</w:t>
      </w:r>
      <w:r>
        <w:rPr>
          <w:rFonts w:ascii="Arial" w:cs="Arial" w:eastAsia="Arial" w:hAnsi="Arial"/>
          <w:sz w:val="16"/>
          <w:szCs w:val="16"/>
          <w:u w:val="single" w:color="auto"/>
          <w:color w:val="auto"/>
        </w:rPr>
        <w:t>Non-FPA-Jurisdictional Generation Portfolio Companies</w:t>
      </w:r>
      <w:r>
        <w:rPr>
          <w:rFonts w:ascii="Arial" w:cs="Arial" w:eastAsia="Arial" w:hAnsi="Arial"/>
          <w:sz w:val="16"/>
          <w:szCs w:val="16"/>
          <w:color w:val="auto"/>
        </w:rPr>
        <w:t>”) have made all filings with and obtained all authorizations necessary from the applicable Governmental Authority to generate electric energy and sell electric energy, capacity or ancillary services at wholesale or retail (“</w:t>
      </w:r>
      <w:r>
        <w:rPr>
          <w:rFonts w:ascii="Arial" w:cs="Arial" w:eastAsia="Arial" w:hAnsi="Arial"/>
          <w:sz w:val="16"/>
          <w:szCs w:val="16"/>
          <w:u w:val="single" w:color="auto"/>
          <w:color w:val="auto"/>
        </w:rPr>
        <w:t>Non-FPA Sales Authorizations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2180" w:hanging="876"/>
        <w:spacing w:after="0"/>
        <w:tabs>
          <w:tab w:leader="none" w:pos="21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Thermal Utilities are subject to state public utility commission regulation with respect to rates or financial organization.</w:t>
      </w:r>
    </w:p>
    <w:p>
      <w:pPr>
        <w:spacing w:after="0" w:line="248" w:lineRule="exact"/>
        <w:rPr>
          <w:rFonts w:ascii="Arial" w:cs="Arial" w:eastAsia="Arial" w:hAnsi="Arial"/>
          <w:sz w:val="16"/>
          <w:szCs w:val="16"/>
          <w:color w:val="auto"/>
        </w:rPr>
      </w:pPr>
    </w:p>
    <w:p>
      <w:pPr>
        <w:jc w:val="both"/>
        <w:ind w:firstLine="1304"/>
        <w:spacing w:after="0" w:line="255" w:lineRule="auto"/>
        <w:tabs>
          <w:tab w:leader="none" w:pos="22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Loan Party, Company Group Party or Project Company will, as the result of the ownership, construction, testing, repair, maintenance, use and/or operation of any facility or the sale of electricity and other services related to the sale of electricity from the facilities or the entering into of, or the performance of any obligations under any of the agreements to which any of them are a party or the consummation of any transaction contemplated thereby, be subject to regulation under the laws of any state governing the rates charged by, or the financial or organizational regulation of, electric utilities, electrical transmission and distribution utilities, retail electric utilities, electrical public utilities, electric public service companies, or other similar entities relating to the sale of electricity.</w:t>
      </w:r>
    </w:p>
    <w:p>
      <w:pPr>
        <w:spacing w:after="0" w:line="192" w:lineRule="exact"/>
        <w:rPr>
          <w:rFonts w:ascii="Arial" w:cs="Arial" w:eastAsia="Arial" w:hAnsi="Arial"/>
          <w:sz w:val="18"/>
          <w:szCs w:val="18"/>
          <w:color w:val="auto"/>
        </w:rPr>
      </w:pPr>
    </w:p>
    <w:p>
      <w:pPr>
        <w:jc w:val="both"/>
        <w:ind w:firstLine="1304"/>
        <w:spacing w:after="0" w:line="291" w:lineRule="auto"/>
        <w:tabs>
          <w:tab w:leader="none" w:pos="233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None of the Lenders nor any “affiliate” (as that term is defined in PUHCA) of any of them will, solely as a result of each Generation Portfolio Company’s respective ownership, leasing or operation of its facility, the sale or transmission of thermal energy or electricity therefrom or the Borrower’s, any Loan Party’s, any Project Company’s, or any Generation Portfolio Company’s entering into any Loan Document, or any transaction contemplated hereby or thereby, be subject to regulation under the FPA, PUHCA, or state laws and regulations respecting the rates of, or the financial or organizational regulation of, public utilities, except that the exercise by the Administrative Agent or the Lenders of certain foreclosure remedies allowed under the Loan Documents may subject the Administrative Agent, the Lenders and their “affiliates” (as that term is defined in PUHCA) to regulation under the FPA, PUHCA or state laws respecting the rates of, or the financial or organizational regulation of, public utilities.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57"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Intellectual Property; Licenses, Etc</w:t>
      </w:r>
      <w:r>
        <w:rPr>
          <w:rFonts w:ascii="Arial" w:cs="Arial" w:eastAsia="Arial" w:hAnsi="Arial"/>
          <w:sz w:val="18"/>
          <w:szCs w:val="18"/>
          <w:color w:val="auto"/>
        </w:rPr>
        <w:t>. Each Loan Party and each of its Subsidiaries owns, or possesses rights to use, all of the IP Rights that are reasonably necessary for the operation of their respective businesses, except where failure to so own or possess such right, either individually or in the aggregate, could not reasonably be expected to have a Material Adverse Effect. To the knowledge of the Borrower, the conduct of the respective businesses of the Loan Parties or any of their respective Subsidiaries is not infringing upon any IP Rights owned by any other Person, except where such infringement could reasonably be expected to have a Material Adverse Effect.</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As of the Closing Date, each Loan Party, and the Loan Parties and their Subsidiaries taken as a whole, is Solvent.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5.20 </w:t>
      </w:r>
      <w:r>
        <w:rPr>
          <w:rFonts w:ascii="Arial" w:cs="Arial" w:eastAsia="Arial" w:hAnsi="Arial"/>
          <w:sz w:val="16"/>
          <w:szCs w:val="16"/>
          <w:u w:val="single" w:color="auto"/>
          <w:color w:val="auto"/>
        </w:rPr>
        <w:t>Casualty, Etc</w:t>
      </w:r>
      <w:r>
        <w:rPr>
          <w:rFonts w:ascii="Arial" w:cs="Arial" w:eastAsia="Arial" w:hAnsi="Arial"/>
          <w:sz w:val="16"/>
          <w:szCs w:val="16"/>
          <w:color w:val="auto"/>
        </w:rPr>
        <w:t>. Neither the businesses nor the properties of any Loan Party or any of their respective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Labor Matters</w:t>
      </w:r>
      <w:r>
        <w:rPr>
          <w:rFonts w:ascii="Arial" w:cs="Arial" w:eastAsia="Arial" w:hAnsi="Arial"/>
          <w:sz w:val="18"/>
          <w:szCs w:val="18"/>
          <w:color w:val="auto"/>
        </w:rPr>
        <w:t>. Neither any Loan Party nor any of their respective Subsidiaries has suffered any strikes, walkouts, work stoppages or other material labor difficulty within the last five years, that either individually or in the aggregate could reasonably be expected to have a Material Adverse Effect.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Collateral Documents are effective to create in favor of the Administrative Agent for the benefit of the Secured Parties a legal, valid and enforceable first priority Lien (subject to Permitted Prior Liens) on all right, title and interest of the respective Loan Parties in the Collateral described therein. Except for filings completed on or prior to the Closing Date or as contemplated hereby or by the Collateral Documents (subject to </w:t>
      </w:r>
      <w:r>
        <w:rPr>
          <w:rFonts w:ascii="Arial" w:cs="Arial" w:eastAsia="Arial" w:hAnsi="Arial"/>
          <w:sz w:val="18"/>
          <w:szCs w:val="18"/>
          <w:u w:val="single" w:color="auto"/>
          <w:color w:val="auto"/>
        </w:rPr>
        <w:t>Section 4.7(b)</w:t>
      </w:r>
      <w:r>
        <w:rPr>
          <w:rFonts w:ascii="Arial" w:cs="Arial" w:eastAsia="Arial" w:hAnsi="Arial"/>
          <w:sz w:val="18"/>
          <w:szCs w:val="18"/>
          <w:color w:val="auto"/>
        </w:rPr>
        <w:t xml:space="preserve"> of the Security Agreement in the case of IP Rights), no filing or other action will be necessary to perfect or protect such Liens.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has implemented and maintains in effect policies and procedures designed to ensure compliance by the Borrower, its Subsidiaries and their respective directors, officers and employees with Anti-Corruption Laws and applicable Sanctions. The Borrower and its Subsidiaries and, to the knowledge of the Borrower, their respective officers, directors and employees, are not Sanctioned Persons. No Borrowing will be used, directly, or to the knowledge of the Borrower, indirectly, in violation of Anti-Corruption Laws or applicable Sanctions.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As of the A Closing Date, no Contractual Obligation limits the ability of any Subsidiary of the Borrower to make Restricted Payments, directly or through one or more intermediate Subsidiaries of the Borrower, to the Borrower or to otherwise transfer property to or invest in the Borrower, except for any agreement in effect on the date hereof and set forth on </w:t>
      </w:r>
      <w:r>
        <w:rPr>
          <w:rFonts w:ascii="Arial" w:cs="Arial" w:eastAsia="Arial" w:hAnsi="Arial"/>
          <w:sz w:val="18"/>
          <w:szCs w:val="18"/>
          <w:u w:val="single" w:color="auto"/>
          <w:color w:val="auto"/>
        </w:rPr>
        <w:t>Schedule 5.24</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91" w:lineRule="auto"/>
        <w:rPr>
          <w:sz w:val="20"/>
          <w:szCs w:val="20"/>
          <w:color w:val="auto"/>
        </w:rPr>
      </w:pPr>
      <w:r>
        <w:rPr>
          <w:rFonts w:ascii="Arial" w:cs="Arial" w:eastAsia="Arial" w:hAnsi="Arial"/>
          <w:sz w:val="16"/>
          <w:szCs w:val="16"/>
          <w:color w:val="auto"/>
        </w:rPr>
        <w:t xml:space="preserve">5.25 </w:t>
      </w:r>
      <w:r>
        <w:rPr>
          <w:rFonts w:ascii="Arial" w:cs="Arial" w:eastAsia="Arial" w:hAnsi="Arial"/>
          <w:sz w:val="16"/>
          <w:szCs w:val="16"/>
          <w:u w:val="single" w:color="auto"/>
          <w:color w:val="auto"/>
        </w:rPr>
        <w:t>PATRIOT Act, Etc.</w:t>
      </w:r>
      <w:r>
        <w:rPr>
          <w:rFonts w:ascii="Arial" w:cs="Arial" w:eastAsia="Arial" w:hAnsi="Arial"/>
          <w:sz w:val="16"/>
          <w:szCs w:val="16"/>
          <w:color w:val="auto"/>
        </w:rPr>
        <w:t xml:space="preserve"> To the extent applicable, each Loan Party and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Term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any of the foreign assets control regulations of the United States Treasury Department (31 C.F. R., Subtitle B, Chapter V, as amended), any Sanctions or any other applicable Anti-Corruption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So long as any Lender shall have a Term Loan Commitment hereunder or the Term Loan or any other Obligation hereunder shall remain unpaid or unsatisfied (in each case, other than Contingent Obligations as to which no claim has been made, Obligations in respect of Secured Cash Management Agreements and Obligations in respect of Secured Hedge Agreements) each of Holdings and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Company Group Party 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 and each Lender, in form reasonably satisfactory to the Administrative Agent and the Required Lenders:</w:t>
      </w:r>
    </w:p>
    <w:p>
      <w:pPr>
        <w:spacing w:after="0" w:line="170" w:lineRule="exact"/>
        <w:rPr>
          <w:sz w:val="20"/>
          <w:szCs w:val="20"/>
          <w:color w:val="auto"/>
        </w:rPr>
      </w:pPr>
    </w:p>
    <w:p>
      <w:pPr>
        <w:jc w:val="both"/>
        <w:ind w:firstLine="1304"/>
        <w:spacing w:after="0" w:line="287" w:lineRule="auto"/>
        <w:tabs>
          <w:tab w:leader="none" w:pos="229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120 days (or earlier as may be required for the filing of the Parent’s financial statements by the SEC) after the end of each fiscal year of Parent (commencing with the fiscal year ended December 31, 2021), a consolidated balance sheet of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commencing with the first fiscal year for which such corresponding figures are available,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(other than (x) as a result of the pending maturity of the Term Loan Facility or (y) a potential Event of Default as a result of the failure to comply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(provided that, in the case of clause (y), the Borrower shall have delivered to the Administrative Agent a certificate of a Responsible Officer of the Borrower certifying as to the Borrower’s intention to exercise the Cure Right));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1304"/>
        <w:spacing w:after="0" w:line="270" w:lineRule="auto"/>
        <w:tabs>
          <w:tab w:leader="none" w:pos="232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as soon as available, but in any event within 60 days (or earlier as may be required for the filing of the Parent’s financial statements by the SEC) after the end of each of the first three fiscal quarters of each fiscal year of Parent (commencing with the fiscal quarter ended March 31, 2022), a consolidated balance sheet of Parent and its Subsidiaries as at the end of such fiscal quarter, and the related consolidated statements of income or operations, changes in shareholders’ equity, and cash flows for such fiscal quarter and for the portion of Parent’s fiscal year then ended, setting forth in each case in comparative form the figures for the corresponding fiscal quarter of the previous fiscal year and the corresponding portion of the previous fiscal year, commencing with the first fiscal quarter for which such corresponding figures are available, all in reasonable detail, such consolidated statements to be certified by the chief executive officer, chief financial officer, treasurer or controller of Parent as fairly presenting, in all material respects, the financial condition, results of operations, shareholders’ equity and cash flows of Parent and its Subsidiaries in accordance with GAAP, subject only to normal year-end audit adjustments and the absence of footnotes; and</w:t>
      </w:r>
    </w:p>
    <w:p>
      <w:pPr>
        <w:spacing w:after="0" w:line="180" w:lineRule="exact"/>
        <w:rPr>
          <w:rFonts w:ascii="Arial" w:cs="Arial" w:eastAsia="Arial" w:hAnsi="Arial"/>
          <w:sz w:val="17"/>
          <w:szCs w:val="17"/>
          <w:color w:val="auto"/>
        </w:rPr>
      </w:pPr>
    </w:p>
    <w:p>
      <w:pPr>
        <w:jc w:val="both"/>
        <w:ind w:firstLine="1304"/>
        <w:spacing w:after="0" w:line="275" w:lineRule="auto"/>
        <w:tabs>
          <w:tab w:leader="none" w:pos="226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as soon as available, but in any event no later than the earlier of (i) twenty (20) Business Days following the occurrence of the annual investor earnings presentation with respect to Parent and (ii) ninety (90) days following the beginning of each fiscal year of Holdings, forecasts and projections prepared by management of Holdings consistent with the type of information that would be customarily found in earnings presentations delivered by public filing companies (it being understood that delivery of earnings presentation material that contain such forecasts and projections which are made available to the public shall be sufficient for purposes hereof) (the “</w:t>
      </w:r>
      <w:r>
        <w:rPr>
          <w:rFonts w:ascii="Arial" w:cs="Arial" w:eastAsia="Arial" w:hAnsi="Arial"/>
          <w:sz w:val="17"/>
          <w:szCs w:val="17"/>
          <w:u w:val="single" w:color="auto"/>
          <w:color w:val="auto"/>
        </w:rPr>
        <w:t>Annual Projections</w:t>
      </w:r>
      <w:r>
        <w:rPr>
          <w:rFonts w:ascii="Arial" w:cs="Arial" w:eastAsia="Arial" w:hAnsi="Arial"/>
          <w:sz w:val="17"/>
          <w:szCs w:val="17"/>
          <w:color w:val="auto"/>
        </w:rPr>
        <w:t>”).</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Deliver to the Administrative Agent, in form reasonably satisfactory to the Administrative Agent:</w:t>
      </w:r>
    </w:p>
    <w:p>
      <w:pPr>
        <w:spacing w:after="0" w:line="225" w:lineRule="exact"/>
        <w:rPr>
          <w:sz w:val="20"/>
          <w:szCs w:val="20"/>
          <w:color w:val="auto"/>
        </w:rPr>
      </w:pPr>
    </w:p>
    <w:p>
      <w:pPr>
        <w:jc w:val="both"/>
        <w:ind w:firstLine="1304"/>
        <w:spacing w:after="0" w:line="259" w:lineRule="auto"/>
        <w:tabs>
          <w:tab w:leader="none" w:pos="24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(b) (commencing with the delivery of the financial statements for the fiscal year ended December 31, 2021), (i) a duly completed Compliance Certificate signed by the chief executive officer, chief financial officer, treasurer or controller of Parent or Holdings and (ii) a copy of management’s discussion and analysis with respect to such financial statements;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1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copies of any audit reports, management letters or recommendations submitted to the board of directors or similar governing authority (or the audit committee thereof) of any Loan Party by independent accountants in connection with the accounts or books of any Loan Party or any of its Subsidiaries, or any audit of any of them;</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221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promptly, and in any event within fifteen (15) Business Days after receipt thereof by any Loan Party or any Company Group Party, copies of (i) each amendment to any Organization Document of any Loan Party or any Company Group Party and (ii) each notice or other correspondence received from the SEC (or comparable agency in any applicable non-U.S. jurisdiction) concerning any investigation or possible investigation or other inquiry by such agency regarding financial or other operational results of any Loan Party, any Company Group Party or Parent;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1304"/>
        <w:spacing w:after="0" w:line="263" w:lineRule="auto"/>
        <w:tabs>
          <w:tab w:leader="none" w:pos="2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any Loan Party or any of their respective Subsidiaries with any Environmental Law or Environmental Permit that could reasonably be expected to have a Material Adverse Effect;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2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each year, at the time of delivery of annual financial statements with respect to the preceding fiscal year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a certificate of a Responsible Officer of the Borrower either confirming that there has been no change in the information set forth in the Collateral Questionnaire delivered on the Closing Date or the date of the most recent certificate delivered pursuant to this </w:t>
      </w:r>
      <w:r>
        <w:rPr>
          <w:rFonts w:ascii="Arial" w:cs="Arial" w:eastAsia="Arial" w:hAnsi="Arial"/>
          <w:sz w:val="18"/>
          <w:szCs w:val="18"/>
          <w:u w:val="single" w:color="auto"/>
          <w:color w:val="auto"/>
        </w:rPr>
        <w:t>Section 6.02(e)</w:t>
      </w:r>
      <w:r>
        <w:rPr>
          <w:rFonts w:ascii="Arial" w:cs="Arial" w:eastAsia="Arial" w:hAnsi="Arial"/>
          <w:sz w:val="18"/>
          <w:szCs w:val="18"/>
          <w:color w:val="auto"/>
        </w:rPr>
        <w:t>, as applicable, and/or identifying any such changes;</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234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if the Borrower elects to have an Acquisition Period apply with respect to a Qualified Acquisition, written notice of such election no later than the earlier of (i) 10 Business Days following the Qualified Acquisition Closing Date with respect thereto and (ii) the date of delivery of the Compliance Certificate required under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for the fiscal quarter during which the Qualified Acquisition occurred; and</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236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legal or corporate affairs of any Loan Party, any Company Group Party or any Project Company, or compliance with the terms of the Loan Documents, as the Administrative Agent may from time to time reasonably request.</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Any 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may be delivered electronically (including by having been publicly filed with the SEC) and if so delivered, shall be deemed to have been delivered on the date (i) on which Parent posts such documents, or provides a link thereto on Parent’s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(ii) on which such documents are posted on the Borrower’s behalf on an Internet or intranet website, if any, to which each Lender and the Administrative Agent has access (whether a commercial, third-party website or whether sponsored by the Administrative Agent); or (iii) if publicly filed with the SEC, as of the date of such filing;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promptly notify the Administrative Agent (by telecopier or electronic mail) of the posting of any such documents and provide to the Administrative Agent by electronic mail electronic versions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48"/>
        <w:spacing w:after="0" w:line="286" w:lineRule="auto"/>
        <w:rPr>
          <w:sz w:val="20"/>
          <w:szCs w:val="20"/>
          <w:color w:val="auto"/>
        </w:rPr>
      </w:pPr>
      <w:r>
        <w:rPr>
          <w:rFonts w:ascii="Arial" w:cs="Arial" w:eastAsia="Arial" w:hAnsi="Arial"/>
          <w:sz w:val="16"/>
          <w:szCs w:val="16"/>
          <w:color w:val="auto"/>
        </w:rPr>
        <w:t>The Borrower hereby acknowledges that (a) the Administrative Agent and/or the Arranger will make available to the Lenders materials and/or information provided by or on behalf of the Loan Parties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 and the Lenders to treat such Borrower Materials as not containing any material non-public information (although it may be sensitive and proprietary) with respect to the Loan Parties or their respective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Unless otherwise marked “PUBLIC” all Borrower Materials will be presumed to be available for non-Public Lenders only.</w:t>
      </w:r>
    </w:p>
    <w:p>
      <w:pPr>
        <w:spacing w:after="0" w:line="16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Promptly notify the Administrative Agent:</w:t>
      </w:r>
    </w:p>
    <w:p>
      <w:pPr>
        <w:spacing w:after="0" w:line="225" w:lineRule="exact"/>
        <w:rPr>
          <w:sz w:val="20"/>
          <w:szCs w:val="20"/>
          <w:color w:val="auto"/>
        </w:rPr>
      </w:pPr>
    </w:p>
    <w:p>
      <w:pPr>
        <w:ind w:left="2180" w:hanging="876"/>
        <w:spacing w:after="0"/>
        <w:tabs>
          <w:tab w:leader="none" w:pos="2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the existence of any Default;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19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(including as a result of a violation by any Loan Party or any of their respective Subsidiaries of, or a liability of any Loan Party or any of their respective Subsidiaries arising under, Environmental Laws);</w:t>
      </w:r>
    </w:p>
    <w:p>
      <w:pPr>
        <w:spacing w:after="0" w:line="183" w:lineRule="exact"/>
        <w:rPr>
          <w:rFonts w:ascii="Arial" w:cs="Arial" w:eastAsia="Arial" w:hAnsi="Arial"/>
          <w:sz w:val="18"/>
          <w:szCs w:val="18"/>
          <w:color w:val="auto"/>
        </w:rPr>
      </w:pPr>
    </w:p>
    <w:p>
      <w:pPr>
        <w:ind w:firstLine="1304"/>
        <w:spacing w:after="0" w:line="277" w:lineRule="auto"/>
        <w:tabs>
          <w:tab w:leader="none" w:pos="22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within ten (10) days after any officer of a Loan Party knows of the occurrence of any ERISA Event that could reasonably be expected to have a Material Adverse Effect;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the making of any Holdings Tax Equity Payments.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notice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xml:space="preserve">. Except as could not reasonably be expected to result in a Material 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Company Group Party and (b) all lawful claims which, if unpaid, would by law become a Lien upon its property (except for Liens described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648"/>
        <w:spacing w:after="0" w:line="255"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(i) issued patents and (ii) registered trademarks, trade names and service marks, in each case with respect to clauses (i) and (ii), owned by any Loan Party, the non-preservation of which could reasonably be expected to have a Material Adverse Effect.</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(a) Maintain, preserve and protect all of its material tangible properties and equipment necessary in the operation of its business in good working order and condition, ordinary wear and tear excepted; and (b) make all necessary repairs thereto and renewals and replacements thereof, in each case, except where the failure to do so could not reasonably be expected to have a Material Adverse Effect.</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by the Borrower (or the Borrower’s insurance agent and/or broker) of termination, lapse or cancellation of such insurance.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6.08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Comply in all material respects with the requirements of all Laws (including the United States Foreign Corrupt Practices Act of 1977, as amended, and each of the foreign assets control regulations of the United States Treasury Department (31 C.F.R., Subtitle B, Chapter V, as amended))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6.09 </w:t>
      </w:r>
      <w:r>
        <w:rPr>
          <w:rFonts w:ascii="Arial" w:cs="Arial" w:eastAsia="Arial" w:hAnsi="Arial"/>
          <w:sz w:val="17"/>
          <w:szCs w:val="17"/>
          <w:u w:val="single" w:color="auto"/>
          <w:color w:val="auto"/>
        </w:rPr>
        <w:t>Books and Records</w:t>
      </w:r>
      <w:r>
        <w:rPr>
          <w:rFonts w:ascii="Arial" w:cs="Arial" w:eastAsia="Arial" w:hAnsi="Arial"/>
          <w:sz w:val="17"/>
          <w:szCs w:val="17"/>
          <w:color w:val="auto"/>
        </w:rPr>
        <w:t>. (a) Maintain proper books of record and account, in which true and correct entries in conformity with GAAP consistently applied shall be made of all financial transactions and matters involving the assets and business of the applicable Loan Party or such Company Group Party, as the case may be; and (b) maintain such books of record and account in material conformity with all applicable requirements of any Governmental Authority having regulatory jurisdiction over such Loan Party or such Company Group Party, as the case may be.</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Permit representatives of the Administrative Agent to visit and inspect any of the properties of the Loan Parties and their respective material Subsidiaries, to examine the corporate, financial and operating records of the Loan Parties and their respective material Subsidiaries, and make copies thereof or abstracts therefrom, and to discuss the affairs, finances and accounts of the Loan Parties and their respective material Subsidiaries with the directors, officers, and independent public accountants of the Loan Parties, all at the expense of the Borrower and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unless an Event of Default has occurred and is continuing, occur not more than twice during any fiscal year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so long as no Event of Default shall have occurred and be continuing, any visit pursuant to this Section in excess of once per calendar year by the Administrative Agent shall be at the expense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however, that when an Event of Default exists the Administrative Agent may do any of the foregoing at the expense of the Borrower at any time during normal business hours and without advance notice.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48"/>
        <w:spacing w:after="0" w:line="301"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Use of Proceeds</w:t>
      </w:r>
      <w:r>
        <w:rPr>
          <w:rFonts w:ascii="Arial" w:cs="Arial" w:eastAsia="Arial" w:hAnsi="Arial"/>
          <w:sz w:val="16"/>
          <w:szCs w:val="16"/>
          <w:color w:val="auto"/>
        </w:rPr>
        <w:t>. Use the proceeds of the Credit Extensions to consummate the Utah Solar Portfolio Acquisition, and not use, directly or, to the knowledge of the Borrower, indirectly, or otherwise make available such proceeds to any Subsidiary or any other Person to fund, finance or facilitate any activities or business of or with any Person that is, at the time of such funding, a Sanctioned Person or in any country or territory that is at the time of such funding a Sanctioned Country or in any other manner that would result in a violation of any Sanctions applicable to any party hereto.</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Covenant to Give Security</w:t>
      </w:r>
      <w:r>
        <w:rPr>
          <w:rFonts w:ascii="Arial" w:cs="Arial" w:eastAsia="Arial" w:hAnsi="Arial"/>
          <w:sz w:val="18"/>
          <w:szCs w:val="18"/>
          <w:color w:val="auto"/>
        </w:rPr>
        <w:t>. (a) Upon the formation or acquisition of any new Company Group Party or Project Company (unless, in the case of a Company Group Party or Project Company that is not wholly owned by a Loan Party or Affiliate thereof, such Company Group Party’s or Project Company’s Organization Documents prohibit Liens on Equity Interests of such Company Group Party or such Project Company pursuant to the Security Agreement, or in the case of any Project Company, such Lien is prohibited due to the terms of any Project-Level Indebtedness or any Permitted Tax Equity Financing binding upon such Person or another Project Company that is the direct or indirect parent of such Person or expected to become binding upon such Person or another Project Company that is the direct or indirect parent of such Person within one hundred eighty (180) days (or such longer period not to exceed 270 days as is reasonably acceptable to the Administrative Agent), following its formation or acquisition by any Loan Party) owned directly by any Loan Party, then the Borrower shall, at the Borrower’s expense, with respect to the Equity Interests in each such Company Group Party or Project Company:</w:t>
      </w:r>
    </w:p>
    <w:p>
      <w:pPr>
        <w:spacing w:after="0" w:line="196" w:lineRule="exact"/>
        <w:rPr>
          <w:sz w:val="20"/>
          <w:szCs w:val="20"/>
          <w:color w:val="auto"/>
        </w:rPr>
      </w:pPr>
    </w:p>
    <w:p>
      <w:pPr>
        <w:jc w:val="both"/>
        <w:ind w:left="740" w:firstLine="1293"/>
        <w:spacing w:after="0" w:line="284" w:lineRule="auto"/>
        <w:tabs>
          <w:tab w:leader="none" w:pos="299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within 15 Business Days (or such longer period as may be agreed to by the Administrative Agent in its reasonable discretion) after such formation or acquisition, duly execute and deliver to the Administrative Agent Security Agreement Supplements and other security and pledge agreements, as specified by and in form and substance reasonably satisfactory to the Administrative Agent, together with all Pledged Equity issued by such Company Group Party or Project Company and owned by a Loan Party and other instruments of the type specified in </w:t>
      </w:r>
      <w:r>
        <w:rPr>
          <w:rFonts w:ascii="Arial" w:cs="Arial" w:eastAsia="Arial" w:hAnsi="Arial"/>
          <w:sz w:val="16"/>
          <w:szCs w:val="16"/>
          <w:u w:val="single" w:color="auto"/>
          <w:color w:val="auto"/>
        </w:rPr>
        <w:t>clause (a)(iv)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securing payment of all the Obligations of such Loan Party and constituting Liens on all such properties (provided that in no event shall such security interests or Liens apply to, in the case of any Foreign Subsidiary, more than 65% of the voting equity interests and 100% of non-voting equity interests in such Foreign Subsidiary; provided further, that in no event shall any Foreign Subsidiary or any direct or indirect Subsidiary of a Foreign Subsidiary be required to pledge or grant a security interest in any of its assets pursuant to this </w:t>
      </w:r>
      <w:r>
        <w:rPr>
          <w:rFonts w:ascii="Arial" w:cs="Arial" w:eastAsia="Arial" w:hAnsi="Arial"/>
          <w:sz w:val="16"/>
          <w:szCs w:val="16"/>
          <w:u w:val="single" w:color="auto"/>
          <w:color w:val="auto"/>
        </w:rPr>
        <w:t>Section 6.12(a)</w:t>
      </w:r>
    </w:p>
    <w:p>
      <w:pPr>
        <w:ind w:left="740"/>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740" w:firstLine="1293"/>
        <w:spacing w:after="0" w:line="273" w:lineRule="auto"/>
        <w:tabs>
          <w:tab w:leader="none" w:pos="293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within 15 Business Days (or such longer period as may be agreed to by the Administrative Agent in its reasonable discretion) after such formation or acquisition, cause the Loan Parties or their Subsidiaries to take whatever action (including the filing of Uniform Commercial Code financing statements and the giving of notices) may be necessary to vest in the Administrative Agent (or in any representative of the Administrative Agent designated by it) valid and subsisting first priority Liens (other than with respect to Permitted Prior Liens) on the properties purported to be subject to the Security Agreement Supplements and security and pledge agreements delivered pursuant to this </w:t>
      </w:r>
      <w:r>
        <w:rPr>
          <w:rFonts w:ascii="Arial" w:cs="Arial" w:eastAsia="Arial" w:hAnsi="Arial"/>
          <w:sz w:val="17"/>
          <w:szCs w:val="17"/>
          <w:u w:val="single" w:color="auto"/>
          <w:color w:val="auto"/>
        </w:rPr>
        <w:t>Section 6.12</w:t>
      </w:r>
      <w:r>
        <w:rPr>
          <w:rFonts w:ascii="Arial" w:cs="Arial" w:eastAsia="Arial" w:hAnsi="Arial"/>
          <w:sz w:val="17"/>
          <w:szCs w:val="17"/>
          <w:color w:val="auto"/>
        </w:rPr>
        <w:t>, enforceable against all third parties in accordance with their terms;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left="740" w:firstLine="1293"/>
        <w:spacing w:after="0" w:line="255" w:lineRule="auto"/>
        <w:tabs>
          <w:tab w:leader="none" w:pos="291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within 15 Business Days (or such longer period as may be agreed to by the Administrative Agent in its reasonable discretion) after such formation or acquisition, to the extent reasonably requested by the Administrative Agent, deliver to the Administrative Agent a signed copy of a favorable opinion, addressed to the Administrative Agent and the other Secured Parties, of counsel for the Loan Parties reasonably acceptable to the Administrative Agent as to the matters contained in clauses (i) and (ii) above, and as to such other matters as the Administrative Agent may reasonably request and being substantially consistent with the opinions delivered pursuant to </w:t>
      </w:r>
      <w:r>
        <w:rPr>
          <w:rFonts w:ascii="Arial" w:cs="Arial" w:eastAsia="Arial" w:hAnsi="Arial"/>
          <w:sz w:val="18"/>
          <w:szCs w:val="18"/>
          <w:u w:val="single" w:color="auto"/>
          <w:color w:val="auto"/>
        </w:rPr>
        <w:t>clause (a)(vii)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on the Closing Date.</w:t>
      </w:r>
    </w:p>
    <w:p>
      <w:pPr>
        <w:spacing w:after="0" w:line="192" w:lineRule="exact"/>
        <w:rPr>
          <w:rFonts w:ascii="Arial" w:cs="Arial" w:eastAsia="Arial" w:hAnsi="Arial"/>
          <w:sz w:val="18"/>
          <w:szCs w:val="18"/>
          <w:color w:val="auto"/>
        </w:rPr>
      </w:pPr>
    </w:p>
    <w:p>
      <w:pPr>
        <w:jc w:val="both"/>
        <w:ind w:firstLine="1304"/>
        <w:spacing w:after="0" w:line="267" w:lineRule="auto"/>
        <w:tabs>
          <w:tab w:leader="none" w:pos="207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Subject to any limitations set forth in the Security Agreement with respect to particular types of assets or property, in the event that any Loan Party acquires any assets or property not referred to in </w:t>
      </w:r>
      <w:r>
        <w:rPr>
          <w:rFonts w:ascii="Arial" w:cs="Arial" w:eastAsia="Arial" w:hAnsi="Arial"/>
          <w:sz w:val="17"/>
          <w:szCs w:val="17"/>
          <w:u w:val="single" w:color="auto"/>
          <w:color w:val="auto"/>
        </w:rPr>
        <w:t>Section 6.12(a)</w:t>
      </w:r>
      <w:r>
        <w:rPr>
          <w:rFonts w:ascii="Arial" w:cs="Arial" w:eastAsia="Arial" w:hAnsi="Arial"/>
          <w:sz w:val="17"/>
          <w:szCs w:val="17"/>
          <w:color w:val="auto"/>
        </w:rPr>
        <w:t xml:space="preserve"> or any fee interest in any real property (with a fair market value, inclusive of fixtures located thereon, in excess of the greater of (i) $20,000,000 and (ii) 0.50% of Total Assets in the case of such real property), or any Person owns any such assets or property at the time it becomes a Loan Party, and such assets, property or interest in real property have not otherwise been made subject to the Lien of the Collateral Documents in favor of the Administrative Agent, for the benefit of Secured Parties, then such Loan Party shall promptly take all such actions and execute and deliver, or cause to be executed and delivered, all such documents, instruments, agreements, opinions and certificates, including those which are similar to those described in </w:t>
      </w:r>
      <w:r>
        <w:rPr>
          <w:rFonts w:ascii="Arial" w:cs="Arial" w:eastAsia="Arial" w:hAnsi="Arial"/>
          <w:sz w:val="17"/>
          <w:szCs w:val="17"/>
          <w:u w:val="single" w:color="auto"/>
          <w:color w:val="auto"/>
        </w:rPr>
        <w:t>clause (a)(iv)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 respect to each such asset, property or interest in real property (other than Excluded Assets (as defined in the Security Agreement)), that the Administrative Agent shall reasonably request to create in favor of the Administrative Agent, for the benefit of Secured Parties, a valid and perfected (subject to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of the Security Agreement in the case of IP Rights) first priority (other than with respect to Permitted Prior Liens) security interest in such assets, property or interest in real property. The Administrative Agent shall receive from the applicable Loan Party within 90 days following the date that such Loan Party acquires any fee interest in any real property with a fair market value, inclusive of fixtures located thereon, in excess of the greater of (i) $20,000,000 and (ii) 0.50% of Total Assets (“</w:t>
      </w:r>
      <w:r>
        <w:rPr>
          <w:rFonts w:ascii="Arial" w:cs="Arial" w:eastAsia="Arial" w:hAnsi="Arial"/>
          <w:sz w:val="17"/>
          <w:szCs w:val="17"/>
          <w:u w:val="single" w:color="auto"/>
          <w:color w:val="auto"/>
        </w:rPr>
        <w:t>Mortgaged Property</w:t>
      </w:r>
      <w:r>
        <w:rPr>
          <w:rFonts w:ascii="Arial" w:cs="Arial" w:eastAsia="Arial" w:hAnsi="Arial"/>
          <w:sz w:val="17"/>
          <w:szCs w:val="17"/>
          <w:color w:val="auto"/>
        </w:rPr>
        <w:t xml:space="preserve">”) (or such longer period of time as may be agreed to by the Administrative Agent in its reasonable discretion or as may be required to comply with the requirements of the last paragraph of this </w:t>
      </w:r>
      <w:r>
        <w:rPr>
          <w:rFonts w:ascii="Arial" w:cs="Arial" w:eastAsia="Arial" w:hAnsi="Arial"/>
          <w:sz w:val="17"/>
          <w:szCs w:val="17"/>
          <w:u w:val="single" w:color="auto"/>
          <w:color w:val="auto"/>
        </w:rPr>
        <w:t>Section 6.12(b)</w:t>
      </w:r>
      <w:r>
        <w:rPr>
          <w:rFonts w:ascii="Arial" w:cs="Arial" w:eastAsia="Arial" w:hAnsi="Arial"/>
          <w:sz w:val="17"/>
          <w:szCs w:val="17"/>
          <w:color w:val="auto"/>
        </w:rPr>
        <w:t xml:space="preserve">) or, in the case of any real property owned by a Person at the time it becomes a Loan Party, within 90 days following the date that such Person becomes a Loan Party (or such longer period of time as may be agreed to by the Administrative Agent in its reasonable discretion or as may be required to comply with the requirements of the last paragraph of this </w:t>
      </w:r>
      <w:r>
        <w:rPr>
          <w:rFonts w:ascii="Arial" w:cs="Arial" w:eastAsia="Arial" w:hAnsi="Arial"/>
          <w:sz w:val="17"/>
          <w:szCs w:val="17"/>
          <w:u w:val="single" w:color="auto"/>
          <w:color w:val="auto"/>
        </w:rPr>
        <w:t>Section 6.12(b)</w:t>
      </w:r>
      <w:r>
        <w:rPr>
          <w:rFonts w:ascii="Arial" w:cs="Arial" w:eastAsia="Arial" w:hAnsi="Arial"/>
          <w:sz w:val="17"/>
          <w:szCs w:val="17"/>
          <w:color w:val="auto"/>
        </w:rPr>
        <w:t>), the following documents and instruments: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left="-380" w:firstLine="645"/>
        <w:spacing w:after="0" w:line="273" w:lineRule="auto"/>
        <w:tabs>
          <w:tab w:leader="none" w:pos="106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 mortgage duly authorized and executed, in proper form for recording in the recording office of each jurisdiction where such Mortgaged Property to be encumbered thereby is situated, in favor of the Administrative Agent, for the benefit of the Secured Parties, together with such other instruments as shall be necessary or appropriate (in the reasonable judgment of the Administrative Agent) to create a Lien under applicable law, all of which shall be in form and substance reasonably satisfactory to the Administrative Agent, which mortgage and other instruments shall be effective to create and/or maintain a first priority Lien on such Mortgaged Property, as the case may be, subject to no Liens other than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applicable to such Mortgaged Property;</w:t>
      </w:r>
    </w:p>
    <w:p>
      <w:pPr>
        <w:spacing w:after="0" w:line="177" w:lineRule="exact"/>
        <w:rPr>
          <w:rFonts w:ascii="Arial" w:cs="Arial" w:eastAsia="Arial" w:hAnsi="Arial"/>
          <w:sz w:val="17"/>
          <w:szCs w:val="17"/>
          <w:color w:val="auto"/>
        </w:rPr>
      </w:pPr>
    </w:p>
    <w:p>
      <w:pPr>
        <w:jc w:val="both"/>
        <w:ind w:left="-380" w:firstLine="645"/>
        <w:spacing w:after="0" w:line="272" w:lineRule="auto"/>
        <w:tabs>
          <w:tab w:leader="none" w:pos="109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fully paid American Land Title Association Lender’s Extended Coverage title insurance policies (the “</w:t>
      </w:r>
      <w:r>
        <w:rPr>
          <w:rFonts w:ascii="Arial" w:cs="Arial" w:eastAsia="Arial" w:hAnsi="Arial"/>
          <w:sz w:val="17"/>
          <w:szCs w:val="17"/>
          <w:u w:val="single" w:color="auto"/>
          <w:color w:val="auto"/>
        </w:rPr>
        <w:t>Mortgage Policies</w:t>
      </w:r>
      <w:r>
        <w:rPr>
          <w:rFonts w:ascii="Arial" w:cs="Arial" w:eastAsia="Arial" w:hAnsi="Arial"/>
          <w:sz w:val="17"/>
          <w:szCs w:val="17"/>
          <w:color w:val="auto"/>
        </w:rPr>
        <w:t xml:space="preserve">”), with endorsements and in amounts reasonably acceptable to the Administrative Agent, issued, coinsured and reinsured by title insurers reasonably acceptable to and reasonably required by the Administrative Agent, insuring the mortgages to be valid first and subsisting Liens on the property described therein, free and clear of all defects (including, but not limited to, mechanics’ and materialmen’s Liens) and encumbrances, other than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and providing for such other affirmative insurance (including endorsements for future advances under the Loan Documents and for zoning of the applicable property) and such coinsurance and direct access reinsurance as the Administrative Agent may deem reasonably necessary or desirable and are available in the relevant jurisdiction;</w:t>
      </w:r>
    </w:p>
    <w:p>
      <w:pPr>
        <w:spacing w:after="0" w:line="177" w:lineRule="exact"/>
        <w:rPr>
          <w:rFonts w:ascii="Arial" w:cs="Arial" w:eastAsia="Arial" w:hAnsi="Arial"/>
          <w:sz w:val="17"/>
          <w:szCs w:val="17"/>
          <w:color w:val="auto"/>
        </w:rPr>
      </w:pPr>
    </w:p>
    <w:p>
      <w:pPr>
        <w:jc w:val="both"/>
        <w:ind w:left="-380" w:firstLine="645"/>
        <w:spacing w:after="0" w:line="287" w:lineRule="auto"/>
        <w:tabs>
          <w:tab w:leader="none" w:pos="95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American Land Title Association/American Congress on Surveying and Mapping form surveys or such other forms of surveys as are reasonably acceptable to the Administrative Agent, including ExpressMaps prepared by First American Commercial Due Diligence Services, for which all necessary fees (where applicable) have been paid, and dated no more than 90 days before the date on which a mortgage in respect thereof is required to be delivered hereby (or such other dates as shall be reasonably acceptable to the Administrative Agent), either (i) certified by a land surveyor duly registered and licensed in the States in which the property described in such surveys is located and reasonably acceptable to the Administrative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reasonably acceptable to the Administrative Agent or (ii) as to ExpressMaps, in form and substance reasonably acceptable to the issuer of the Mortgage Policies to delete the standard survey exceptions and to issue endorsements to the same extent as such exceptions could have been deleted and such endorsements issued had an ALTA/ACSM Survey been provided rather than an ExpressMap;</w:t>
      </w:r>
    </w:p>
    <w:p>
      <w:pPr>
        <w:spacing w:after="0" w:line="171" w:lineRule="exact"/>
        <w:rPr>
          <w:rFonts w:ascii="Arial" w:cs="Arial" w:eastAsia="Arial" w:hAnsi="Arial"/>
          <w:sz w:val="16"/>
          <w:szCs w:val="16"/>
          <w:color w:val="auto"/>
        </w:rPr>
      </w:pPr>
    </w:p>
    <w:p>
      <w:pPr>
        <w:ind w:left="-380" w:right="20" w:firstLine="645"/>
        <w:spacing w:after="0" w:line="308" w:lineRule="auto"/>
        <w:tabs>
          <w:tab w:leader="none" w:pos="107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all such other items as shall be reasonably necessary in the opinion of counsel to the Administrative Agent to create a valid and perfected first priority mortgage Lien on such Mortgaged Property, subject only to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380" w:firstLine="645"/>
        <w:spacing w:after="0" w:line="263" w:lineRule="auto"/>
        <w:tabs>
          <w:tab w:leader="none" w:pos="116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opinions of local counsel for the Loan Parties in states in which the Mortgaged Properties are located, with respect to the enforceability and validity of the mortgages and any related fixture filings in form and substance reasonably satisfactory to the Administrative Agent; and</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9" w:name="page110"/>
    <w:bookmarkEnd w:id="109"/>
    <w:p>
      <w:pPr>
        <w:jc w:val="both"/>
        <w:ind w:left="740" w:firstLine="645"/>
        <w:spacing w:after="0" w:line="273" w:lineRule="auto"/>
        <w:tabs>
          <w:tab w:leader="none" w:pos="219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the extent any Mortgaged Property is subject to the provisions of the Flood Insurance Laws, (i) (x) concurrently with the delivery of the mortgage in favor of the Administrative Agent in connection therewith and (y) at any other time if necessary for compliance with applicable Flood Insurance Laws, a standard flood hazard determination form for such Mortgaged Property and (ii) if improvements located on such Mortgaged Property are located in an area designated a “flood hazard area” in any Flood Insurance Rate Map published by the Federal Emergency Management Agency (or any successor agency), evidence of flood insurance in such amount as the Administrative Agent may from time to time reasonably require, and otherwise to ensure compliance with Flood Insurance Laws.</w:t>
      </w:r>
    </w:p>
    <w:p>
      <w:pPr>
        <w:spacing w:after="0" w:line="178"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 xml:space="preserve">Notwithstanding anything contained in this Agreement to the contrary, no mortgage on any Mortgaged Property may be submitted for recording unless and until (x) the Administrative Agent and all Lenders have received at least thirty (30) days’ prior written notice thereof, together with a draft of such proposed mortgage and any other documents required pursuant to this </w:t>
      </w:r>
      <w:r>
        <w:rPr>
          <w:rFonts w:ascii="Arial" w:cs="Arial" w:eastAsia="Arial" w:hAnsi="Arial"/>
          <w:sz w:val="18"/>
          <w:szCs w:val="18"/>
          <w:u w:val="single" w:color="auto"/>
          <w:color w:val="auto"/>
        </w:rPr>
        <w:t>Section 6.12(b)</w:t>
      </w:r>
      <w:r>
        <w:rPr>
          <w:rFonts w:ascii="Arial" w:cs="Arial" w:eastAsia="Arial" w:hAnsi="Arial"/>
          <w:sz w:val="18"/>
          <w:szCs w:val="18"/>
          <w:color w:val="auto"/>
        </w:rPr>
        <w:t xml:space="preserve"> (each of which may be provided via email or via posting on any datasite to which the Lenders have access), and (y) the Administrative Agent has notified the Borrower in writing (which notice may be provided via email) that Administrative Agent has completed its flood insurance due diligence and compliance procedures with respect thereto.</w:t>
      </w:r>
    </w:p>
    <w:p>
      <w:pPr>
        <w:spacing w:after="0" w:line="192" w:lineRule="exact"/>
        <w:rPr>
          <w:sz w:val="20"/>
          <w:szCs w:val="20"/>
          <w:color w:val="auto"/>
        </w:rPr>
      </w:pPr>
    </w:p>
    <w:p>
      <w:pPr>
        <w:jc w:val="both"/>
        <w:ind w:firstLine="1304"/>
        <w:spacing w:after="0" w:line="288" w:lineRule="auto"/>
        <w:tabs>
          <w:tab w:leader="none" w:pos="226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If any Loan Party is prohibited from providing a Lien on the Equity Interests it owns in a Project Company pursuant to the requirements of </w:t>
      </w:r>
      <w:r>
        <w:rPr>
          <w:rFonts w:ascii="Arial" w:cs="Arial" w:eastAsia="Arial" w:hAnsi="Arial"/>
          <w:sz w:val="16"/>
          <w:szCs w:val="16"/>
          <w:u w:val="single" w:color="auto"/>
          <w:color w:val="auto"/>
        </w:rPr>
        <w:t>Section 6.12(a)</w:t>
      </w:r>
      <w:r>
        <w:rPr>
          <w:rFonts w:ascii="Arial" w:cs="Arial" w:eastAsia="Arial" w:hAnsi="Arial"/>
          <w:sz w:val="16"/>
          <w:szCs w:val="16"/>
          <w:color w:val="auto"/>
        </w:rPr>
        <w:t xml:space="preserve"> due to the terms of any Project-Level Indebtedness or Permitted Tax Equity Financing entered into by such Project Company or any other Project Company that is the direct or indirect parent of such Project Company after the Closing Date, and such prohibition was not implemented by the Borrower or any of its Affiliates primarily to prevent such Equity Interests from being Collateral (as determined from the standpoint of the Borrower (rather than any lenders of Project-Level Indebtedness)), then the Borrower shall provide written notice of the foregoing to the Administrative Agent and any such Lien on such Equity Interests under the Loan Documents shall automatically be discharged and released without any further action by any Person effective as of the time of entering into of such Project-Level Indebtedness Document or Permitted Tax Equity Financing Document or containing such prohibition. The Administrative Agent hereby agrees to execute and deliver such documentation (including, without limitation, releases and UCC termination statements with respect to any such pledge) at the Borrower’s expense as the Borrower may reasonably request to evidence any such discharge and release provided for in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the Lenders hereby authorize the Administrative Agent to do so.</w:t>
      </w:r>
    </w:p>
    <w:p>
      <w:pPr>
        <w:spacing w:after="0" w:line="168" w:lineRule="exact"/>
        <w:rPr>
          <w:rFonts w:ascii="Arial" w:cs="Arial" w:eastAsia="Arial" w:hAnsi="Arial"/>
          <w:sz w:val="16"/>
          <w:szCs w:val="16"/>
          <w:color w:val="auto"/>
        </w:rPr>
      </w:pPr>
    </w:p>
    <w:p>
      <w:pPr>
        <w:jc w:val="both"/>
        <w:ind w:firstLine="1304"/>
        <w:spacing w:after="0" w:line="287" w:lineRule="auto"/>
        <w:tabs>
          <w:tab w:leader="none" w:pos="220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In the event that any Subsidiary of any Loan Party which is a Project Company shall no longer constitute a Project Company or any Loan Party acquires any Subsidiary which is not a Project Company (unless, in the case of a Subsidiary that is not wholly owned by a Loan Party or Affiliate thereof, such Subsidiary’s Organization Documents prohibit the guarantee by such Subsidiary of the Obligations pursuant to the Guaranty or the granting of a security interest by such Subsidiary to secure the Obligations), and, in each case, such Subsidiary is not a Foreign Subsidiary, the Borrower shall (a) cause such Subsidiary to become a Guarantor hereunder and a Grantor under the Security Agreement within fifteen (15) Business Days of the date thereof (or up to twenty (20) Business Days of the date thereof if reasonably acceptable to the Administrative Agent) by executing and delivering to the Administrative Agent a Counterpart Agreement and a Joinder Agreement under, and as defined in, the Security Agreement and (b) take all such actions and execute and deliver, or cause to be executed and delivered, all such documents, instruments, agreements and certificates reasonably requested by the Administrative Agent, including those which are similar to those described in </w:t>
      </w:r>
      <w:r>
        <w:rPr>
          <w:rFonts w:ascii="Arial" w:cs="Arial" w:eastAsia="Arial" w:hAnsi="Arial"/>
          <w:sz w:val="16"/>
          <w:szCs w:val="16"/>
          <w:u w:val="single" w:color="auto"/>
          <w:color w:val="auto"/>
        </w:rPr>
        <w:t>clauses (a)(iv)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joinders thereto, as applicable. With respect to each such Subsidiary, the Borrower shall promptly send to the Administrative Agent written notice setting forth with respect to such Subsidiary (i) the date on which such Subsidiary shall no longer constitute a Project Company or the date of acquisition of such Subsidiary, as applicable and (ii) all of the data required to be set forth in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with respect to all Subsidiaries of the Borrower.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right="20"/>
        <w:spacing w:after="0" w:line="263" w:lineRule="auto"/>
        <w:rPr>
          <w:sz w:val="20"/>
          <w:szCs w:val="20"/>
          <w:color w:val="auto"/>
        </w:rPr>
      </w:pPr>
      <w:r>
        <w:rPr>
          <w:rFonts w:ascii="Arial" w:cs="Arial" w:eastAsia="Arial" w:hAnsi="Arial"/>
          <w:sz w:val="18"/>
          <w:szCs w:val="18"/>
          <w:color w:val="auto"/>
        </w:rPr>
        <w:t>Notwithstanding anything to the contrary herein or in any other Loan Document, any requirement to give the Administrative Agent possession or control of any Collateral will be satisfied if (i) such possession or control is given to the Revolving Administrative Agent and (ii) the First Lien Pari Passu Intercreditor Agreement is then in effect.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Compliance with Environmental Law</w:t>
      </w:r>
      <w:r>
        <w:rPr>
          <w:rFonts w:ascii="Arial" w:cs="Arial" w:eastAsia="Arial" w:hAnsi="Arial"/>
          <w:sz w:val="17"/>
          <w:szCs w:val="17"/>
          <w:color w:val="auto"/>
        </w:rPr>
        <w:t xml:space="preserve">. Except as could not reasonably be expected to have a Material Adverse Effect (i) comply, and cause all lessees and other Persons operating or occupying properties and facilities owned, leased or operated by it or the Company Group Parties to comply, in all material respects, with all applicable Environmental Laws and Environmental Permits; (ii) timely obtain and renew all Environmental Permits necessary for the ownership, leasing, use, and operation of its and the Company Group Parties’ properties; and (iii) if required pursuant to applicable Environmental Law, conduct any investigation, study, sampling and testing, and undertake any cleanup, removal, remedial or other action necessary to remove and clean up all Hazardous Materials from any of its and the Company Group Parties’ properties, in accordance with the requirements of all Environmental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Loan Parties nor any of the Company Group Parties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and documents as the Administrative Agent, or any Lender through the Administrative Agent, may reasonably require from time to time in order to perfect (subject to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of the Security Agreement in the case of IP Rights), preserve and maintain the validity, effectiveness and priority of the Guaranty, the Collateral Documents and the Liens intended to be created thereunder.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Maintenance of Energy Regulatory Authorizations and Status</w:t>
      </w:r>
      <w:r>
        <w:rPr>
          <w:rFonts w:ascii="Arial" w:cs="Arial" w:eastAsia="Arial" w:hAnsi="Arial"/>
          <w:sz w:val="18"/>
          <w:szCs w:val="18"/>
          <w:color w:val="auto"/>
        </w:rPr>
        <w:t>. (a) Each of the FPA-Jurisdictional Generation Portfolio Companies shall maintain and preserve its (i) FPA MBR Authorizations, Exemptions and Waivers and (ii) status as either an Exempt Wholesale Generator within the meaning of PUHCA or a Qualifying Facility under PURPA, except to the extent failure to do so could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1304"/>
        <w:spacing w:after="0" w:line="279" w:lineRule="auto"/>
        <w:tabs>
          <w:tab w:leader="none" w:pos="242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of the Non-FPA-Jurisdictional Generation Portfolio Companies shall maintain and preserve (i) its Non-FPA Sales Authorizations and (ii) to the extent such Non-FPA-Jurisdictional Portfolio Company owns or operates facilities used for the generation, transmission, or distribution of electric energy for sale, its status as either an Exempt Wholesale Generator within the meaning of PUHCA or a Qualifying Facility under PURPA, except to the extent failure to do so could not reasonably be expected to have a Material Adverse Effect.</w:t>
      </w:r>
    </w:p>
    <w:p>
      <w:pPr>
        <w:spacing w:after="0" w:line="171" w:lineRule="exact"/>
        <w:rPr>
          <w:rFonts w:ascii="Arial" w:cs="Arial" w:eastAsia="Arial" w:hAnsi="Arial"/>
          <w:sz w:val="17"/>
          <w:szCs w:val="17"/>
          <w:color w:val="auto"/>
        </w:rPr>
      </w:pPr>
    </w:p>
    <w:p>
      <w:pPr>
        <w:ind w:firstLine="1304"/>
        <w:spacing w:after="0" w:line="277" w:lineRule="auto"/>
        <w:tabs>
          <w:tab w:leader="none" w:pos="21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the Thermal Utilities shall maintain and preserve its authority under the appropriate state public utility commission to produce and sell thermal energy.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So long as any Lender shall have a Term Loan Commitment hereunder or any Term Loan or other Obligation hereunder shall remain unpaid or unsatisfied (in each case, other than Contingent Obligations as to which no claim has been made, Obligations in respect of Secured Cash Management Agreements and Obligations in respect of Secured Hedge Agreements) the Borrower shall not, nor shall it permit any Company Group Party to, and, solely in the case of </w:t>
      </w:r>
      <w:r>
        <w:rPr>
          <w:rFonts w:ascii="Arial" w:cs="Arial" w:eastAsia="Arial" w:hAnsi="Arial"/>
          <w:sz w:val="18"/>
          <w:szCs w:val="18"/>
          <w:u w:val="single" w:color="auto"/>
          <w:color w:val="auto"/>
        </w:rPr>
        <w:t>Section 7.17</w:t>
      </w:r>
      <w:r>
        <w:rPr>
          <w:rFonts w:ascii="Arial" w:cs="Arial" w:eastAsia="Arial" w:hAnsi="Arial"/>
          <w:sz w:val="18"/>
          <w:szCs w:val="18"/>
          <w:color w:val="auto"/>
        </w:rPr>
        <w:t>, Holdings shall not: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upon any of its property, assets or revenues, whether now owned or hereafter acquired other than the following:</w:t>
      </w:r>
    </w:p>
    <w:p>
      <w:pPr>
        <w:spacing w:after="0" w:line="170" w:lineRule="exact"/>
        <w:rPr>
          <w:sz w:val="20"/>
          <w:szCs w:val="20"/>
          <w:color w:val="auto"/>
        </w:rPr>
      </w:pPr>
    </w:p>
    <w:p>
      <w:pPr>
        <w:ind w:left="2180" w:hanging="876"/>
        <w:spacing w:after="0"/>
        <w:tabs>
          <w:tab w:leader="none" w:pos="2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223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Liens existing on the Closing Date and listed on </w:t>
      </w:r>
      <w:r>
        <w:rPr>
          <w:rFonts w:ascii="Arial" w:cs="Arial" w:eastAsia="Arial" w:hAnsi="Arial"/>
          <w:sz w:val="17"/>
          <w:szCs w:val="17"/>
          <w:u w:val="single" w:color="auto"/>
          <w:color w:val="auto"/>
        </w:rPr>
        <w:t>Schedule 7.01</w:t>
      </w:r>
      <w:r>
        <w:rPr>
          <w:rFonts w:ascii="Arial" w:cs="Arial" w:eastAsia="Arial" w:hAnsi="Arial"/>
          <w:sz w:val="17"/>
          <w:szCs w:val="17"/>
          <w:color w:val="auto"/>
        </w:rPr>
        <w:t xml:space="preserve"> and any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property covered thereby is not changed (except for additions, improvements or other similar ancillary assets thereto), (ii) the amount secured thereby is not increased except as contemplated by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and except for underwriting, issuance and other related transaction fees and expenses and (iii) any renewal or extension of the obligations secured or benefited thereby is permitted by </w:t>
      </w:r>
      <w:r>
        <w:rPr>
          <w:rFonts w:ascii="Arial" w:cs="Arial" w:eastAsia="Arial" w:hAnsi="Arial"/>
          <w:sz w:val="17"/>
          <w:szCs w:val="17"/>
          <w:u w:val="single" w:color="auto"/>
          <w:color w:val="auto"/>
        </w:rPr>
        <w:t>Section 7.02(d)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304"/>
        <w:spacing w:after="0" w:line="277" w:lineRule="auto"/>
        <w:tabs>
          <w:tab w:leader="none" w:pos="218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4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45 days or which are being contested in good faith and by appropriate proceedings diligently conducted, if adequate reserves with respect thereto are maintained on the books of the applicable Person;</w:t>
      </w:r>
    </w:p>
    <w:p>
      <w:pPr>
        <w:spacing w:after="0" w:line="183" w:lineRule="exact"/>
        <w:rPr>
          <w:rFonts w:ascii="Arial" w:cs="Arial" w:eastAsia="Arial" w:hAnsi="Arial"/>
          <w:sz w:val="18"/>
          <w:szCs w:val="18"/>
          <w:color w:val="auto"/>
        </w:rPr>
      </w:pPr>
    </w:p>
    <w:p>
      <w:pPr>
        <w:ind w:firstLine="1304"/>
        <w:spacing w:after="0" w:line="277" w:lineRule="auto"/>
        <w:tabs>
          <w:tab w:leader="none" w:pos="22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4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contractual obligations and leases (in each case, other than Indebtedness), statutory obligations, surety and appeal bonds, performance bonds and other obligations of a like nature incurred in the ordinary course of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1304"/>
        <w:spacing w:after="0" w:line="263" w:lineRule="auto"/>
        <w:tabs>
          <w:tab w:leader="none" w:pos="220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4"/>
        <w:spacing w:after="0" w:line="311" w:lineRule="auto"/>
        <w:tabs>
          <w:tab w:leader="none" w:pos="232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on Equity Interests of Project Companies owned by Company Group Parties securing Project-Level Indebtedness or Permitted Tax Equity Financing or otherwise created pursuant to Contractual Obligations of such Project Company, or Liens on Equity Interests of Equity Investor Subsidiaries or other joint ventures owned by Company Group Parties securing Indebtedness of such Equity Investor Subsidiary or joint venture;</w:t>
      </w:r>
    </w:p>
    <w:p>
      <w:pPr>
        <w:spacing w:after="0" w:line="148" w:lineRule="exact"/>
        <w:rPr>
          <w:rFonts w:ascii="Arial" w:cs="Arial" w:eastAsia="Arial" w:hAnsi="Arial"/>
          <w:sz w:val="16"/>
          <w:szCs w:val="16"/>
          <w:color w:val="auto"/>
        </w:rPr>
      </w:pPr>
    </w:p>
    <w:p>
      <w:pPr>
        <w:jc w:val="both"/>
        <w:ind w:firstLine="1304"/>
        <w:spacing w:after="0" w:line="279" w:lineRule="auto"/>
        <w:tabs>
          <w:tab w:leader="none" w:pos="223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Liens on cash deposits and other funds maintained with a depositary institution, in each case arising in the ordinary course of business by virtue of any statutory or common law provision relating to a banker’s lien, including Section 4-210 of the UCC, and/or arising from customary contractual fee provisions, the reimbursement of funds advanced by a depositary or intermediary institution (and/or its Affiliates) on account of investments made or securities purchased, indemnity, returned check and other similar provisions;</w:t>
      </w:r>
    </w:p>
    <w:p>
      <w:pPr>
        <w:spacing w:after="0" w:line="171" w:lineRule="exact"/>
        <w:rPr>
          <w:rFonts w:ascii="Arial" w:cs="Arial" w:eastAsia="Arial" w:hAnsi="Arial"/>
          <w:sz w:val="17"/>
          <w:szCs w:val="17"/>
          <w:color w:val="auto"/>
        </w:rPr>
      </w:pPr>
    </w:p>
    <w:p>
      <w:pPr>
        <w:ind w:firstLine="1304"/>
        <w:spacing w:after="0" w:line="277" w:lineRule="auto"/>
        <w:tabs>
          <w:tab w:leader="none" w:pos="23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on assets or securities deemed to arise in connection with the execution, delivery or performance of contracts to sell such assets or stock otherwise permitted under this Agreement;</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227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Liens resulting from restrictions on any Equity Interest or undivided interests, as the case may be, of a Person providing for a breach, termination or default under any joint venture, stockholder, membership, limited liability company, partnership, owners’, participation or other similar agreement between such Person and one or more other holders of Equity Interests or undivided interests of such Person, as the case may be, if a Lien is created on such Equity Interest or undivided interest, as the case may be, as a result thereof;</w:t>
      </w:r>
    </w:p>
    <w:p>
      <w:pPr>
        <w:spacing w:after="0" w:line="171" w:lineRule="exact"/>
        <w:rPr>
          <w:rFonts w:ascii="Arial" w:cs="Arial" w:eastAsia="Arial" w:hAnsi="Arial"/>
          <w:sz w:val="17"/>
          <w:szCs w:val="17"/>
          <w:color w:val="auto"/>
        </w:rPr>
      </w:pPr>
    </w:p>
    <w:p>
      <w:pPr>
        <w:jc w:val="both"/>
        <w:ind w:firstLine="1304"/>
        <w:spacing w:after="0" w:line="311" w:lineRule="auto"/>
        <w:tabs>
          <w:tab w:leader="none" w:pos="215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other Liens securing Indebtedness outstanding in an aggregate principal amount not to exceed the greater of (x) $100,000,000 and (y) 10% of Unencumbered Total Assets (which shall be measured as of the date such Lien is created, incurred or assumed and shall take into account any Lien previously or concurrently created, incurred or assumed pursuant to this clause (m) and then outstanding as of such date);</w:t>
      </w:r>
    </w:p>
    <w:p>
      <w:pPr>
        <w:spacing w:after="0" w:line="148" w:lineRule="exact"/>
        <w:rPr>
          <w:rFonts w:ascii="Arial" w:cs="Arial" w:eastAsia="Arial" w:hAnsi="Arial"/>
          <w:sz w:val="16"/>
          <w:szCs w:val="16"/>
          <w:color w:val="auto"/>
        </w:rPr>
      </w:pPr>
    </w:p>
    <w:p>
      <w:pPr>
        <w:jc w:val="both"/>
        <w:ind w:firstLine="1304"/>
        <w:spacing w:after="0" w:line="269" w:lineRule="auto"/>
        <w:tabs>
          <w:tab w:leader="none" w:pos="228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 Liens securing Indebtedness permitted by </w:t>
      </w:r>
      <w:r>
        <w:rPr>
          <w:rFonts w:ascii="Arial" w:cs="Arial" w:eastAsia="Arial" w:hAnsi="Arial"/>
          <w:sz w:val="17"/>
          <w:szCs w:val="17"/>
          <w:u w:val="single" w:color="auto"/>
          <w:color w:val="auto"/>
        </w:rPr>
        <w:t>Section 7.02(k)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Lien incurred in connection with such Indebtedness shall extend to or cover property other than the respective property so acquired, and additions, improvements, warranties, and other similar assets, and the principal amount of Indebtedness secured by any such Lien shall at no time exceed the original purchase price of such property plus brokerage, acquisition, financing and other similar fees, costs and expenses and (ii) Liens existing on any property or asset prior to the acquisition thereof by any Company Group Party or existing prior to the time such Person becomes a Company Group Party on any property or asset of any Person that becomes a Company Group Party after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is not created in contemplation of or in connection with such acquisition or such Person becoming a Subsidiary, as the case may be, (B) such Lien shall not apply to any other property or asset of any Loan Party or Company Group Party and (C) such Lien shall secure only those obligations that it secures on the date of such acquisition or the date such Person becomes a Company Group Party, as the case may be, and extensions, renewals and replacements thereof so long as the principal amount secured does not exceed the principal amount of the obligations being extended, renewed or replaced (plus any accrued but unpaid interest and premium thereon and fees, costs and expenses associated with such extensions, renewals and replacements);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2180" w:hanging="876"/>
        <w:spacing w:after="0"/>
        <w:tabs>
          <w:tab w:leader="none" w:pos="2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w:t>
      </w:r>
    </w:p>
    <w:p>
      <w:pPr>
        <w:spacing w:after="0" w:line="225" w:lineRule="exact"/>
        <w:rPr>
          <w:rFonts w:ascii="Arial" w:cs="Arial" w:eastAsia="Arial" w:hAnsi="Arial"/>
          <w:sz w:val="18"/>
          <w:szCs w:val="18"/>
          <w:color w:val="auto"/>
        </w:rPr>
      </w:pPr>
    </w:p>
    <w:p>
      <w:pPr>
        <w:ind w:firstLine="1304"/>
        <w:spacing w:after="0" w:line="277" w:lineRule="auto"/>
        <w:tabs>
          <w:tab w:leader="none" w:pos="234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in an aggregate principal amount not to exceed $40,000,000 at any time pledged by a Company Group Party or the Borrower to secure Swap Contracts permitted under </w:t>
      </w:r>
      <w:r>
        <w:rPr>
          <w:rFonts w:ascii="Arial" w:cs="Arial" w:eastAsia="Arial" w:hAnsi="Arial"/>
          <w:sz w:val="18"/>
          <w:szCs w:val="18"/>
          <w:u w:val="single" w:color="auto"/>
          <w:color w:val="auto"/>
        </w:rPr>
        <w:t>Section 7.02(a)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680" w:hanging="1376"/>
        <w:spacing w:after="0"/>
        <w:tabs>
          <w:tab w:leader="none" w:pos="2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Liens securing Incremental Equivalent Debt incurred pursuant to </w:t>
      </w:r>
      <w:r>
        <w:rPr>
          <w:rFonts w:ascii="Arial" w:cs="Arial" w:eastAsia="Arial" w:hAnsi="Arial"/>
          <w:sz w:val="17"/>
          <w:szCs w:val="17"/>
          <w:u w:val="single" w:color="auto"/>
          <w:color w:val="auto"/>
        </w:rPr>
        <w:t>Section 7.02(p)</w:t>
      </w:r>
      <w:r>
        <w:rPr>
          <w:rFonts w:ascii="Arial" w:cs="Arial" w:eastAsia="Arial" w:hAnsi="Arial"/>
          <w:sz w:val="17"/>
          <w:szCs w:val="17"/>
          <w:color w:val="auto"/>
        </w:rPr>
        <w:t xml:space="preserve"> and any Permitted Refinancing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 in respect thereof; and</w:t>
      </w:r>
    </w:p>
    <w:p>
      <w:pPr>
        <w:spacing w:after="0" w:line="210" w:lineRule="exact"/>
        <w:rPr>
          <w:rFonts w:ascii="Arial" w:cs="Arial" w:eastAsia="Arial" w:hAnsi="Arial"/>
          <w:sz w:val="17"/>
          <w:szCs w:val="17"/>
          <w:color w:val="auto"/>
        </w:rPr>
      </w:pPr>
    </w:p>
    <w:p>
      <w:pPr>
        <w:ind w:firstLine="1304"/>
        <w:spacing w:after="0" w:line="277" w:lineRule="auto"/>
        <w:tabs>
          <w:tab w:leader="none" w:pos="22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securing the “Obligations” as defined in the Revolving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Administrative Agent shall be a party to, and subject such Liens to the requirements of, the First Lien Pari Passu Intercreditor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 Create, incur, assume or suffer to exist any Indebtedness, except:</w:t>
      </w:r>
    </w:p>
    <w:p>
      <w:pPr>
        <w:spacing w:after="0" w:line="225" w:lineRule="exact"/>
        <w:rPr>
          <w:sz w:val="20"/>
          <w:szCs w:val="20"/>
          <w:color w:val="auto"/>
        </w:rPr>
      </w:pPr>
    </w:p>
    <w:p>
      <w:pPr>
        <w:jc w:val="both"/>
        <w:ind w:firstLine="1304"/>
        <w:spacing w:after="0" w:line="257" w:lineRule="auto"/>
        <w:tabs>
          <w:tab w:leader="none" w:pos="229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(i) of the Borrower existing or arising under any Swap Contract in respect of interest rates on the Term Loan or Incremental Equivalent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obligations are (or were) entered into by such Person in the ordinary course of business for the purpose of directly mitigating risks associated with fluctuations in interest rates and (y) such Swap Contract is not for speculative purposes and (ii) of the Borrower or any Company Group Party existing or arising under any other Swap Contract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Swap Contract is not for speculative purposes;</w:t>
      </w:r>
    </w:p>
    <w:p>
      <w:pPr>
        <w:spacing w:after="0" w:line="187" w:lineRule="exact"/>
        <w:rPr>
          <w:rFonts w:ascii="Arial" w:cs="Arial" w:eastAsia="Arial" w:hAnsi="Arial"/>
          <w:sz w:val="18"/>
          <w:szCs w:val="18"/>
          <w:color w:val="auto"/>
        </w:rPr>
      </w:pPr>
    </w:p>
    <w:p>
      <w:pPr>
        <w:jc w:val="both"/>
        <w:ind w:right="20" w:firstLine="1304"/>
        <w:spacing w:after="0" w:line="263" w:lineRule="auto"/>
        <w:tabs>
          <w:tab w:leader="none" w:pos="261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Indebtedness of a Company Group Party owed to the Borrower or a wholly-owned Company Group Party, which Indebtedness shall (i) in the case of Indebtedness owed to a Loan Party, constitute “Pledged Debt” under the Security Agreement and (ii) be otherwise permitted under the provisions of </w:t>
      </w:r>
      <w:r>
        <w:rPr>
          <w:rFonts w:ascii="Arial" w:cs="Arial" w:eastAsia="Arial" w:hAnsi="Arial"/>
          <w:sz w:val="18"/>
          <w:szCs w:val="18"/>
          <w:u w:val="single" w:color="auto"/>
          <w:color w:val="auto"/>
        </w:rPr>
        <w:t>Section 7.03 (c)</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219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 Indebtedness outstanding on the Closing Date and listed on </w:t>
      </w:r>
      <w:r>
        <w:rPr>
          <w:rFonts w:ascii="Arial" w:cs="Arial" w:eastAsia="Arial" w:hAnsi="Arial"/>
          <w:sz w:val="16"/>
          <w:szCs w:val="16"/>
          <w:u w:val="single" w:color="auto"/>
          <w:color w:val="auto"/>
        </w:rPr>
        <w:t>Schedule 7.02(d)</w:t>
      </w:r>
      <w:r>
        <w:rPr>
          <w:rFonts w:ascii="Arial" w:cs="Arial" w:eastAsia="Arial" w:hAnsi="Arial"/>
          <w:sz w:val="16"/>
          <w:szCs w:val="16"/>
          <w:color w:val="auto"/>
        </w:rPr>
        <w:t xml:space="preserve"> and any Permitted Refinancing Indebtedness in respect thereof and (ii) Indebtedness constituting the Bridge Financing and any Permitted Refinancing Indebtedness (but without giving effect to clause</w:t>
      </w: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of the definition thereof) in respect thereof;</w:t>
      </w:r>
    </w:p>
    <w:p>
      <w:pPr>
        <w:spacing w:after="0" w:line="210" w:lineRule="exact"/>
        <w:rPr>
          <w:rFonts w:ascii="Arial" w:cs="Arial" w:eastAsia="Arial" w:hAnsi="Arial"/>
          <w:sz w:val="18"/>
          <w:szCs w:val="18"/>
          <w:color w:val="auto"/>
        </w:rPr>
      </w:pPr>
    </w:p>
    <w:p>
      <w:pPr>
        <w:jc w:val="both"/>
        <w:ind w:firstLine="1304"/>
        <w:spacing w:after="0" w:line="263" w:lineRule="auto"/>
        <w:tabs>
          <w:tab w:leader="none" w:pos="245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Guarantees by any Loan Party in respect of Indebtedness otherwise permitted hereunder of any other Loan Party, and Guarantees by any Company Group Party that is not a Loan Party in respect of Indebtedness otherwise permitted hereunder of any other Company Group Party that is not a Loan Party;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1304"/>
        <w:spacing w:after="0" w:line="263" w:lineRule="auto"/>
        <w:tabs>
          <w:tab w:leader="none" w:pos="227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incurrence by the Borrower or any Company Group Party of Indebtedness arising from the honoring by a bank or other financial institution of a check, draft or similar instrument (except in the case of daylight overdrafts) inadvertently drawn against insufficient funds in the ordinary course of business, so long as such Indebtedness is covered within five (5) Business Days;</w:t>
      </w:r>
    </w:p>
    <w:p>
      <w:pPr>
        <w:spacing w:after="0" w:line="183" w:lineRule="exact"/>
        <w:rPr>
          <w:rFonts w:ascii="Arial" w:cs="Arial" w:eastAsia="Arial" w:hAnsi="Arial"/>
          <w:sz w:val="18"/>
          <w:szCs w:val="18"/>
          <w:color w:val="auto"/>
        </w:rPr>
      </w:pPr>
    </w:p>
    <w:p>
      <w:pPr>
        <w:ind w:firstLine="1304"/>
        <w:spacing w:after="0" w:line="308" w:lineRule="auto"/>
        <w:tabs>
          <w:tab w:leader="none" w:pos="21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incurrence by the Borrower or any Company Group Party of Indebtedness consisting of (i) workers’ compensation claims and self-insurance obligations and (ii) surety, performance, statutory or appeal bonds or similar obligations in the ordinary course of business;</w:t>
      </w:r>
    </w:p>
    <w:p>
      <w:pPr>
        <w:spacing w:after="0" w:line="146" w:lineRule="exact"/>
        <w:rPr>
          <w:rFonts w:ascii="Arial" w:cs="Arial" w:eastAsia="Arial" w:hAnsi="Arial"/>
          <w:sz w:val="17"/>
          <w:szCs w:val="17"/>
          <w:color w:val="auto"/>
        </w:rPr>
      </w:pPr>
    </w:p>
    <w:p>
      <w:pPr>
        <w:jc w:val="both"/>
        <w:ind w:firstLine="1304"/>
        <w:spacing w:after="0" w:line="279" w:lineRule="auto"/>
        <w:tabs>
          <w:tab w:leader="none" w:pos="21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the incurrence of Indebtedness that may be deemed to arise as a result of agreements of the Borrower or any Company Group Party providing for indemnification, adjustment of purchase price or any similar obligations, in each case, incurred in connection with the disposition of any business, assets or Equity Interests of any Subsidiary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maximum liability associated with such provisions may not exceed the gross proceeds (including non-cash proceeds) of such disposition;</w:t>
      </w:r>
    </w:p>
    <w:p>
      <w:pPr>
        <w:spacing w:after="0" w:line="171" w:lineRule="exact"/>
        <w:rPr>
          <w:rFonts w:ascii="Arial" w:cs="Arial" w:eastAsia="Arial" w:hAnsi="Arial"/>
          <w:sz w:val="17"/>
          <w:szCs w:val="17"/>
          <w:color w:val="auto"/>
        </w:rPr>
      </w:pPr>
    </w:p>
    <w:p>
      <w:pPr>
        <w:ind w:firstLine="1304"/>
        <w:spacing w:after="0" w:line="277" w:lineRule="auto"/>
        <w:tabs>
          <w:tab w:leader="none" w:pos="240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Indebtedness of the Borrower or any Company Group Party consisting of (i) the financing of insurance premiums or (ii) take-or-pay obligations contained in supply arrangements, in each case, in the ordinary course of business;</w:t>
      </w:r>
    </w:p>
    <w:p>
      <w:pPr>
        <w:spacing w:after="0" w:line="170" w:lineRule="exact"/>
        <w:rPr>
          <w:rFonts w:ascii="Arial" w:cs="Arial" w:eastAsia="Arial" w:hAnsi="Arial"/>
          <w:sz w:val="18"/>
          <w:szCs w:val="18"/>
          <w:color w:val="auto"/>
        </w:rPr>
      </w:pPr>
    </w:p>
    <w:p>
      <w:pPr>
        <w:jc w:val="both"/>
        <w:ind w:firstLine="1304"/>
        <w:spacing w:after="0" w:line="271" w:lineRule="auto"/>
        <w:tabs>
          <w:tab w:leader="none" w:pos="241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(i) Guarantees and/or other credit support by a Company Group Party of Indebtedness of a Project Company directly or indirectly owned by such Company Group Party to the extent such Guarantees are required by the terms of Project-Level Indebtedness; (ii) Guarantees and/or other credit support by the Borrower of Indebtedness of a Project Company that constitute an Investment in such Project Company permitted by </w:t>
      </w:r>
      <w:r>
        <w:rPr>
          <w:rFonts w:ascii="Arial" w:cs="Arial" w:eastAsia="Arial" w:hAnsi="Arial"/>
          <w:sz w:val="17"/>
          <w:szCs w:val="17"/>
          <w:u w:val="single" w:color="auto"/>
          <w:color w:val="auto"/>
        </w:rPr>
        <w:t>Section 7.03(c)(i)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7.03(c)(iii)(A)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Guarantees and/or other credit support will be deemed to be an Investment pursuant to such </w:t>
      </w:r>
      <w:r>
        <w:rPr>
          <w:rFonts w:ascii="Arial" w:cs="Arial" w:eastAsia="Arial" w:hAnsi="Arial"/>
          <w:sz w:val="17"/>
          <w:szCs w:val="17"/>
          <w:u w:val="single" w:color="auto"/>
          <w:color w:val="auto"/>
        </w:rPr>
        <w:t>Section 7.03(c)(i)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7.03(c)(iii)(A)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(iii) to the extent constituting Indebtedness and otherwise permitted by </w:t>
      </w:r>
      <w:r>
        <w:rPr>
          <w:rFonts w:ascii="Arial" w:cs="Arial" w:eastAsia="Arial" w:hAnsi="Arial"/>
          <w:sz w:val="17"/>
          <w:szCs w:val="17"/>
          <w:u w:val="single" w:color="auto"/>
          <w:color w:val="auto"/>
        </w:rPr>
        <w:t>Section 7.03(c)</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Letters of Credit, surety, performance, statutory or appeal bonds and other credit support by a Company Group Party to any Subsidiary or joint venture of such Company Group Party; and (iv) (A) Permitted Guarantees and obligations in respect of Letters of Credit and/or (B) other credit support in respect of obligations that otherwise could have been guaranteed pursuant to a Permitted Guarantee.</w:t>
      </w:r>
    </w:p>
    <w:p>
      <w:pPr>
        <w:spacing w:after="0" w:line="178" w:lineRule="exact"/>
        <w:rPr>
          <w:rFonts w:ascii="Arial" w:cs="Arial" w:eastAsia="Arial" w:hAnsi="Arial"/>
          <w:sz w:val="17"/>
          <w:szCs w:val="17"/>
          <w:color w:val="auto"/>
        </w:rPr>
      </w:pPr>
    </w:p>
    <w:p>
      <w:pPr>
        <w:jc w:val="both"/>
        <w:ind w:firstLine="1304"/>
        <w:spacing w:after="0" w:line="283" w:lineRule="auto"/>
        <w:tabs>
          <w:tab w:leader="none" w:pos="243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the incurrence by the Borrower or any Company Group Party of Indebtedness represented by obligations in respect of Capitalized Leases, mortgage financings or purchase money obligations, in each case, incurred for the purpose of financing all or any part of the purchase price or cost of design, construction, installation or improvement or lease of property (real or personal), plant or equipment used or useful in the business of the Borrower or any Company Group Party or incurred within 180 days thereafter, in an aggregate principal amount, including all Permitted Refinancing Indebtedness incurred to refund, refinance, replace, defease or discharge any Indebtedness incurred pursuant to this </w:t>
      </w:r>
      <w:r>
        <w:rPr>
          <w:rFonts w:ascii="Arial" w:cs="Arial" w:eastAsia="Arial" w:hAnsi="Arial"/>
          <w:sz w:val="16"/>
          <w:szCs w:val="16"/>
          <w:u w:val="single" w:color="auto"/>
          <w:color w:val="auto"/>
        </w:rPr>
        <w:t>clause (k)</w:t>
      </w:r>
      <w:r>
        <w:rPr>
          <w:rFonts w:ascii="Arial" w:cs="Arial" w:eastAsia="Arial" w:hAnsi="Arial"/>
          <w:sz w:val="16"/>
          <w:szCs w:val="16"/>
          <w:color w:val="auto"/>
        </w:rPr>
        <w:t>, not to exceed at any time outstanding (x) in the case of property (real or personal) that, following the purchase thereof, is intended to be contributed to one or more Project Companies, an amount equal to 10% of Unencumbered Total Assets (which shall be measured as of the date such Indebtedness is created, incurred or assumed and shall take into account any Indebtedness previously or concurrently created, incurred or assumed pursuant to this clause (k)(x) and then outstanding as of such date) (provided that, following such contribution to one or more Project Companies, such amount shall be reinstated in the amount of the Capitalized Lease, mortgage financing or purchase money obligation actually contributed to the applicable Project Company (so long as the Borrower and Company Group Parties are no longer liable with respect to such Capitalized Lease, mortgage financing or purchase money obligation)) and</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all other cases, $50,000,000;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left="2300" w:hanging="996"/>
        <w:spacing w:after="0"/>
        <w:tabs>
          <w:tab w:leader="none" w:pos="2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Indebtedness of the Borrower and/or a Company Group Party in an aggregate principal amount not to exceed the greater of</w:t>
      </w:r>
    </w:p>
    <w:p>
      <w:pPr>
        <w:spacing w:after="0" w:line="46" w:lineRule="exact"/>
        <w:rPr>
          <w:rFonts w:ascii="Arial" w:cs="Arial" w:eastAsia="Arial" w:hAnsi="Arial"/>
          <w:sz w:val="16"/>
          <w:szCs w:val="16"/>
          <w:color w:val="auto"/>
        </w:rPr>
      </w:pPr>
    </w:p>
    <w:p>
      <w:pPr>
        <w:jc w:val="both"/>
        <w:ind w:firstLine="8"/>
        <w:spacing w:after="0" w:line="255" w:lineRule="auto"/>
        <w:tabs>
          <w:tab w:leader="none" w:pos="2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$100,000,000 and (ii) 2.00% of Total Assets (which shall be measured as of the date such Indebtedness is created, incurred or assumed and shall take into account any Indebtedness previously or concurrently created, incurred or assumed pursuant to this clause (l) and then outstanding as of such date) at any time outstanding for all such Persons;</w:t>
      </w:r>
    </w:p>
    <w:p>
      <w:pPr>
        <w:spacing w:after="0" w:line="189" w:lineRule="exact"/>
        <w:rPr>
          <w:rFonts w:ascii="Arial" w:cs="Arial" w:eastAsia="Arial" w:hAnsi="Arial"/>
          <w:sz w:val="18"/>
          <w:szCs w:val="18"/>
          <w:color w:val="auto"/>
        </w:rPr>
      </w:pPr>
    </w:p>
    <w:p>
      <w:pPr>
        <w:ind w:firstLine="1304"/>
        <w:spacing w:after="0" w:line="308" w:lineRule="auto"/>
        <w:tabs>
          <w:tab w:leader="none" w:pos="2194"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Company Group Party consisting of obligations under deferred compensation, deferred purchase price, earn-outs or similar arrangements incurred in connection with any acquisition permitted under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228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(x) Indebtedness incurred by a Loan Party and owed to the Equity Investor and (y) Indebtedness incurred by the Borrower and owed to the Parent (including the Parent CSN Proceeds Loan); provided that, in the case of each of clauses (x) and (y), (i) except in the case of the Parent CSN Proceeds Loan, such Indebtedness is subordinated to the Obligations on terms and conditions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(which subordinated debt may allow for interest payments in cash and payments of principal to the extent such payments could be made under </w:t>
      </w:r>
      <w:r>
        <w:rPr>
          <w:rFonts w:ascii="Arial" w:cs="Arial" w:eastAsia="Arial" w:hAnsi="Arial"/>
          <w:sz w:val="16"/>
          <w:szCs w:val="16"/>
          <w:u w:val="single" w:color="auto"/>
          <w:color w:val="auto"/>
        </w:rPr>
        <w:t>Section 7.06(f)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Convertible Senior Notes shall no longer exist for any reason or (B) following the conversion of all of the outstanding Convertible Senior Notes into equity pursuant to the terms thereof, in the case of each of the foregoing clauses (A) and (B), payments may continue to be made with respect to the Parent CSN Proceeds Loan only if such Indebtedness is subordinated to the Obligations on terms and conditions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(ii) immediately before and immediately after giving effect to the incurrence of any such Indebtedness, no Default or Event of Default shall have occurred and be continuing and (iii) immediately after giving effect to the incurrence of such Indebtedness, the Borrower shall be in pro forma compliance with the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compliance to be determined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(provided that in the case of any Indebtedness incurred by the Borrower pursuant to the preceding clause (y) at any time from and after the Closing Date until but not including the date of delivery of the audited financial statements for the fiscal year ended December 31, 2021 in accordance with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the financial calculations for determining compliance with the preceding clause (iii) shall be based upon the financial information delivered to the Administrative Agent pursuant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as though such Indebtedness had been incurred as of the first day of the most recently completed Measurement Period and remained outstanding;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1304"/>
        <w:spacing w:after="0" w:line="263" w:lineRule="auto"/>
        <w:tabs>
          <w:tab w:leader="none" w:pos="221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unsecured guarantees by (x) the Borrower of the Indebtedness represented by the Convertible Senior Notes and (y) any Company Group Party of the Indebtedness represented by the Convertible Senior Notes, but solely in the case of this clause (y) to the extent that such Company Group Party guarantees the Obligations;</w:t>
      </w:r>
    </w:p>
    <w:p>
      <w:pPr>
        <w:spacing w:after="0" w:line="183" w:lineRule="exact"/>
        <w:rPr>
          <w:rFonts w:ascii="Arial" w:cs="Arial" w:eastAsia="Arial" w:hAnsi="Arial"/>
          <w:sz w:val="18"/>
          <w:szCs w:val="18"/>
          <w:color w:val="auto"/>
        </w:rPr>
      </w:pPr>
    </w:p>
    <w:p>
      <w:pPr>
        <w:jc w:val="both"/>
        <w:ind w:firstLine="1304"/>
        <w:spacing w:after="0" w:line="284" w:lineRule="auto"/>
        <w:tabs>
          <w:tab w:leader="none" w:pos="198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senior secured first lien or junior lien debt securities or term loans or revolving credit facilities, senior unsecured debt securities or term loans or subordinated debt securities or term loans, in each case borrowed by the Borrower or issued by the Borrower in a public offering, Rule 144A or other private placement or bridge financing in an amount not to exceed the Incremental Equivalent Facility Amount minus the outstanding principal amount and/or commitments, as applicable, of any other Indebtedness incurred pursuant to this clause (p) on or prior to the date of the incurrence of any such Indebtedness pursuant to this clause (p) (such Indebtedness, “</w:t>
      </w: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Event of Default shall exist before or after giving effect to the incurrence of such Incremental Equivalent Debt; (ii)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date of incurrence of such Incremental Equivalent Debt,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7.02(p)</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Incremental Equivalent Debt will be used concurrently with the initial provision of such Incremental Equivalent Debt to finance any Investment permitted pursuant to </w:t>
      </w:r>
      <w:r>
        <w:rPr>
          <w:rFonts w:ascii="Arial" w:cs="Arial" w:eastAsia="Arial" w:hAnsi="Arial"/>
          <w:sz w:val="16"/>
          <w:szCs w:val="16"/>
          <w:u w:val="single" w:color="auto"/>
          <w:color w:val="auto"/>
        </w:rPr>
        <w:t>Section 7.03(g)</w:t>
      </w:r>
      <w:r>
        <w:rPr>
          <w:rFonts w:ascii="Arial" w:cs="Arial" w:eastAsia="Arial" w:hAnsi="Arial"/>
          <w:sz w:val="16"/>
          <w:szCs w:val="16"/>
          <w:color w:val="auto"/>
        </w:rPr>
        <w:t xml:space="preserve">,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(iii) such Incremental Equivalent Debt shall not be Guaranteed by any Person that is not a Guarantor; (iv) subject to the limitations in clauses (v) and (vi) below, the terms and provisions of such Incremental Equivalent Debt shall not be more restrictive, taken as a whole, to the Borrower and the other Loan Parties than those applicable to the Term Loan Facility at the time of incurrence of such Incremental Equivalent Debt, unless such other terms (1) apply only after the Maturity Date, (2) shall also apply to the Term Loan Facility (which such application shall not require the consent of the Lenders or the Administrative Agent if so reasonably determined by the Borrower) or (3) relate only to mandatory prepayments customary for such type of debt securities or revolving or term loan facilities, premiums (including make-whole provisions), interest, fees or (subject to the foregoing) maturity or amortization; (v) the Weighted Average Life to Maturity of such Incremental Equivalent Debt shall be no shorter than that of the Term Loan Facility; (vi) the Stated Maturity of such Incremental Equivalent Debt shall be no shorter than the Maturity Date; and (vii) if such Incremental Equivalent Debt is in the form of secured Indebtedness, a representative acting on behalf of the holders of such Incremental Equivalent Debt shall be a party to or shall have executed and delivered a joinder to the Pari Passu Intercreditor Agreement or the Second Lien Intercreditor Agreement, as applicable, to the Administrative Agent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issuance of Indebtedness designated as “Second Lien Obligations” thereunder, then the Borrower, the Guarantors, the Administrative Agent and the representative for such Indebtedness shall have executed and delivered the 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1304"/>
        <w:spacing w:after="0" w:line="257" w:lineRule="auto"/>
        <w:tabs>
          <w:tab w:leader="none" w:pos="22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other senior unsecured Indebtedness of the Borrower; provided that (i) no Default or Event of Default shall exist before or after giving effect to the incurrence of such Indebtedness and (ii) the Borrower shall be in pro forma compliance with the covenants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such compliance to be determined on the basis of the financial information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though such Indebtedness had been incurred as of the first day of the most recently completed Measurement Period and remained outstanding; and</w:t>
      </w:r>
    </w:p>
    <w:p>
      <w:pPr>
        <w:spacing w:after="0" w:line="187" w:lineRule="exact"/>
        <w:rPr>
          <w:rFonts w:ascii="Arial" w:cs="Arial" w:eastAsia="Arial" w:hAnsi="Arial"/>
          <w:sz w:val="18"/>
          <w:szCs w:val="18"/>
          <w:color w:val="auto"/>
        </w:rPr>
      </w:pPr>
    </w:p>
    <w:p>
      <w:pPr>
        <w:ind w:firstLine="1304"/>
        <w:spacing w:after="0" w:line="277" w:lineRule="auto"/>
        <w:tabs>
          <w:tab w:leader="none" w:pos="22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incurred under the Revolving Credit Agreement (including, for the purposes hereof, the face amount of Letters of Credit issued and outstanding thereunder) in an aggregate principal amount not to exceed $495,000,000.</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Make or hold any Investments, except:</w:t>
      </w:r>
    </w:p>
    <w:p>
      <w:pPr>
        <w:spacing w:after="0" w:line="225" w:lineRule="exact"/>
        <w:rPr>
          <w:sz w:val="20"/>
          <w:szCs w:val="20"/>
          <w:color w:val="auto"/>
        </w:rPr>
      </w:pPr>
    </w:p>
    <w:p>
      <w:pPr>
        <w:ind w:left="2180" w:hanging="876"/>
        <w:spacing w:after="0"/>
        <w:tabs>
          <w:tab w:leader="none" w:pos="21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Investments held by the Borrower and the Company Group Parties in the form of cash and Cash Equivalents;</w:t>
      </w:r>
    </w:p>
    <w:p>
      <w:pPr>
        <w:spacing w:after="0" w:line="225" w:lineRule="exact"/>
        <w:rPr>
          <w:rFonts w:ascii="Arial" w:cs="Arial" w:eastAsia="Arial" w:hAnsi="Arial"/>
          <w:sz w:val="18"/>
          <w:szCs w:val="18"/>
          <w:color w:val="auto"/>
        </w:rPr>
      </w:pPr>
    </w:p>
    <w:p>
      <w:pPr>
        <w:ind w:firstLine="1304"/>
        <w:spacing w:after="0" w:line="277" w:lineRule="auto"/>
        <w:tabs>
          <w:tab w:leader="none" w:pos="23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advances to officers, directors and employees of the Borrower and Company Group Parties in an aggregate amount not to exceed $2,000,000 at any time outstanding, for travel, entertainment, relocation and analogous ordinary business purposes;</w:t>
      </w:r>
    </w:p>
    <w:p>
      <w:pPr>
        <w:spacing w:after="0" w:line="170" w:lineRule="exact"/>
        <w:rPr>
          <w:rFonts w:ascii="Arial" w:cs="Arial" w:eastAsia="Arial" w:hAnsi="Arial"/>
          <w:sz w:val="18"/>
          <w:szCs w:val="18"/>
          <w:color w:val="auto"/>
        </w:rPr>
      </w:pPr>
    </w:p>
    <w:p>
      <w:pPr>
        <w:ind w:firstLine="1304"/>
        <w:spacing w:after="0" w:line="342" w:lineRule="auto"/>
        <w:tabs>
          <w:tab w:leader="none" w:pos="2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 Investments by the Borrower and the Company Group Parties in their respective Subsidiaries in an amount equal to the sum of (A) amounts outstanding on the date hereof,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any returns thereon from and after the date hereof that do not constitute Available Cash;</w:t>
      </w:r>
    </w:p>
    <w:p>
      <w:pPr>
        <w:spacing w:after="0" w:line="123" w:lineRule="exact"/>
        <w:rPr>
          <w:rFonts w:ascii="Arial" w:cs="Arial" w:eastAsia="Arial" w:hAnsi="Arial"/>
          <w:sz w:val="16"/>
          <w:szCs w:val="16"/>
          <w:color w:val="auto"/>
        </w:rPr>
      </w:pPr>
    </w:p>
    <w:p>
      <w:pPr>
        <w:ind w:left="660" w:firstLine="1292"/>
        <w:spacing w:after="0" w:line="277" w:lineRule="auto"/>
        <w:tabs>
          <w:tab w:leader="none" w:pos="304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Investments by the Borrower or any Company Group Party in the Borrower or another Company Group Party wholly-owned, directly or indirectly, by the Borrower; and</w:t>
      </w:r>
    </w:p>
    <w:p>
      <w:pPr>
        <w:spacing w:after="0" w:line="170" w:lineRule="exact"/>
        <w:rPr>
          <w:rFonts w:ascii="Arial" w:cs="Arial" w:eastAsia="Arial" w:hAnsi="Arial"/>
          <w:sz w:val="18"/>
          <w:szCs w:val="18"/>
          <w:color w:val="auto"/>
        </w:rPr>
      </w:pPr>
    </w:p>
    <w:p>
      <w:pPr>
        <w:jc w:val="both"/>
        <w:ind w:left="660" w:firstLine="1292"/>
        <w:spacing w:after="0" w:line="271" w:lineRule="auto"/>
        <w:tabs>
          <w:tab w:leader="none" w:pos="2914"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Investments by the Borrower or a Company Group Party in a Subsidiary owned, in whole or in part, by it on the Closing Date, plus Investments that would be permitted by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(without giving effect to clause (iii)(y)(B) thereof) and other Investments, in each case made from, without duplication, (A) an issuance of Equity Interests or debt by Parent that is contributed to or loaned, in each case within six months prior to the date of such Investment (subject to the delivery of a certificate from a Responsible Officer certifying that the proceeds used to finance such Investment were derived from such contribution or loan) to Holdings, and by Holdings to the Borrower, on a subordinated basis in the form of Indebtedness of Holdings or the Borrower (as applicable) permitted by </w:t>
      </w:r>
      <w:r>
        <w:rPr>
          <w:rFonts w:ascii="Arial" w:cs="Arial" w:eastAsia="Arial" w:hAnsi="Arial"/>
          <w:sz w:val="17"/>
          <w:szCs w:val="17"/>
          <w:u w:val="single" w:color="auto"/>
          <w:color w:val="auto"/>
        </w:rPr>
        <w:t>Section 7.02(n)</w:t>
      </w:r>
      <w:r>
        <w:rPr>
          <w:rFonts w:ascii="Arial" w:cs="Arial" w:eastAsia="Arial" w:hAnsi="Arial"/>
          <w:sz w:val="17"/>
          <w:szCs w:val="17"/>
          <w:color w:val="auto"/>
        </w:rPr>
        <w:t xml:space="preserve">, that does not constitute Available Cash or (B) Available Cash that is not being used to support Other Permitted Guarantees as contemplated by clause (b) of the definition thereof pursuant to </w:t>
      </w:r>
      <w:r>
        <w:rPr>
          <w:rFonts w:ascii="Arial" w:cs="Arial" w:eastAsia="Arial" w:hAnsi="Arial"/>
          <w:sz w:val="17"/>
          <w:szCs w:val="17"/>
          <w:u w:val="single" w:color="auto"/>
          <w:color w:val="auto"/>
        </w:rPr>
        <w:t>Section 7.02(j)(iv)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7.03(e)</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8" w:name="page119"/>
    <w:bookmarkEnd w:id="118"/>
    <w:p>
      <w:pPr>
        <w:jc w:val="both"/>
        <w:ind w:firstLine="1304"/>
        <w:spacing w:after="0" w:line="263" w:lineRule="auto"/>
        <w:tabs>
          <w:tab w:leader="none" w:pos="22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(x) 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(y) Permitted Guarantees;</w:t>
      </w:r>
    </w:p>
    <w:p>
      <w:pPr>
        <w:spacing w:after="0" w:line="225" w:lineRule="exact"/>
        <w:rPr>
          <w:rFonts w:ascii="Arial" w:cs="Arial" w:eastAsia="Arial" w:hAnsi="Arial"/>
          <w:sz w:val="18"/>
          <w:szCs w:val="18"/>
          <w:color w:val="auto"/>
        </w:rPr>
      </w:pPr>
    </w:p>
    <w:p>
      <w:pPr>
        <w:ind w:left="2480" w:hanging="1176"/>
        <w:spacing w:after="0"/>
        <w:tabs>
          <w:tab w:leader="none" w:pos="24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Investments existing on the Closing Date (other than those referred to in </w:t>
      </w:r>
      <w:r>
        <w:rPr>
          <w:rFonts w:ascii="Arial" w:cs="Arial" w:eastAsia="Arial" w:hAnsi="Arial"/>
          <w:sz w:val="16"/>
          <w:szCs w:val="16"/>
          <w:u w:val="single" w:color="auto"/>
          <w:color w:val="auto"/>
        </w:rPr>
        <w:t>Section 7.03(c)(i)</w:t>
      </w:r>
      <w:r>
        <w:rPr>
          <w:rFonts w:ascii="Arial" w:cs="Arial" w:eastAsia="Arial" w:hAnsi="Arial"/>
          <w:sz w:val="16"/>
          <w:szCs w:val="16"/>
          <w:color w:val="auto"/>
        </w:rPr>
        <w:t xml:space="preserve">) and set forth on </w:t>
      </w:r>
      <w:r>
        <w:rPr>
          <w:rFonts w:ascii="Arial" w:cs="Arial" w:eastAsia="Arial" w:hAnsi="Arial"/>
          <w:sz w:val="16"/>
          <w:szCs w:val="16"/>
          <w:u w:val="single" w:color="auto"/>
          <w:color w:val="auto"/>
        </w:rPr>
        <w:t>Schedule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7.03(f)</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1304"/>
        <w:spacing w:after="0" w:line="296" w:lineRule="auto"/>
        <w:tabs>
          <w:tab w:leader="none" w:pos="220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 the formation of any Person in connection with a Permitted Tax Equity Financing, (ii) the purchase or other acquisition of all or any portion of the Equity Interests in any Person, (iii) the purchase by any Company Group Party of all or substantially all of the property of any Person, in each case, where the Equity Interests in, or the assets of, such Person, upon the consummation of such formation, transaction, purchase or other acquisition, will be owned directly by the Borrower or one or more of the Company Group Parties (including as a result of a merger or consolidation with a Company Group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formation, transaction, purchase or other acquisition made pursuant to this </w:t>
      </w:r>
      <w:r>
        <w:rPr>
          <w:rFonts w:ascii="Arial" w:cs="Arial" w:eastAsia="Arial" w:hAnsi="Arial"/>
          <w:sz w:val="16"/>
          <w:szCs w:val="16"/>
          <w:u w:val="single" w:color="auto"/>
          <w:color w:val="auto"/>
        </w:rPr>
        <w:t>Section 7.03(g)</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2780" w:hanging="828"/>
        <w:spacing w:after="0"/>
        <w:tabs>
          <w:tab w:leader="none" w:pos="27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the Loan Parties shall comply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to the extent applicable;</w:t>
      </w:r>
    </w:p>
    <w:p>
      <w:pPr>
        <w:spacing w:after="0" w:line="225" w:lineRule="exact"/>
        <w:rPr>
          <w:rFonts w:ascii="Arial" w:cs="Arial" w:eastAsia="Arial" w:hAnsi="Arial"/>
          <w:sz w:val="18"/>
          <w:szCs w:val="18"/>
          <w:color w:val="auto"/>
        </w:rPr>
      </w:pPr>
    </w:p>
    <w:p>
      <w:pPr>
        <w:jc w:val="both"/>
        <w:ind w:left="660" w:firstLine="1292"/>
        <w:spacing w:after="0" w:line="301" w:lineRule="auto"/>
        <w:tabs>
          <w:tab w:leader="none" w:pos="305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lines of business of the Person to be (or the property of which is to be) so formed, purchased or otherwise acquired shall be substantially the same lines of business as one or more of the principal businesses of the Borrower and its Subsidiaries in the ordinary course (including, for the avoidance of doubt, the ownership, lease or development of energy generating, transmission or distribution assets, or assets related thereto, or of any other power or energy facility, or any assets relating to any of the foregoing);</w:t>
      </w:r>
    </w:p>
    <w:p>
      <w:pPr>
        <w:spacing w:after="0" w:line="157" w:lineRule="exact"/>
        <w:rPr>
          <w:rFonts w:ascii="Arial" w:cs="Arial" w:eastAsia="Arial" w:hAnsi="Arial"/>
          <w:sz w:val="16"/>
          <w:szCs w:val="16"/>
          <w:color w:val="auto"/>
        </w:rPr>
      </w:pPr>
    </w:p>
    <w:p>
      <w:pPr>
        <w:jc w:val="both"/>
        <w:ind w:left="660" w:firstLine="1292"/>
        <w:spacing w:after="0" w:line="254" w:lineRule="auto"/>
        <w:tabs>
          <w:tab w:leader="none" w:pos="29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(A) immediately before and immediately after giving pro forma effect to any such formation, transaction, purchase or other acquisition, no Event of Default shall have occurred and be continuing and (B) immediately after giving effect to such formation, transaction, purchase or other acquisition, the Borrower and its Subsidiaries shall be in pro forma compliance with all of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compliance to be determined on the basis of the financial statements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though such formation, transaction, purchase or other acquisition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for this clause (B) in reasonable detail; and</w:t>
      </w:r>
    </w:p>
    <w:p>
      <w:pPr>
        <w:spacing w:after="0" w:line="191" w:lineRule="exact"/>
        <w:rPr>
          <w:rFonts w:ascii="Arial" w:cs="Arial" w:eastAsia="Arial" w:hAnsi="Arial"/>
          <w:sz w:val="18"/>
          <w:szCs w:val="18"/>
          <w:color w:val="auto"/>
        </w:rPr>
      </w:pPr>
    </w:p>
    <w:p>
      <w:pPr>
        <w:jc w:val="both"/>
        <w:ind w:left="660" w:firstLine="1292"/>
        <w:spacing w:after="0" w:line="254" w:lineRule="auto"/>
        <w:tabs>
          <w:tab w:leader="none" w:pos="32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to the Administrative Agent and each Lender, solely with respect to the consummation of any Qualified Acquisition, at least one Business Day prior to the date on which any such Qualified Acquisition is to be consummated (provided that if no Borrowing will be made in connection with such Qualified Acquisition, the Borrower shall deliver to the Administrative Agent and each Lender the following certificate no later than thirty (30) days following the closing date of such Qualified Acquisition), a certificate of a Responsible Officer certifying that all of the requirements set forth in this clause (g) have been satisfied or will be satisfied on or prior to the consummation of such formation, transaction, purchase or other acquisition (or, in the case of clause (g)(i), will be satisfied within the periods required by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2180" w:hanging="876"/>
        <w:spacing w:after="0"/>
        <w:tabs>
          <w:tab w:leader="none" w:pos="2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to the extent (if any) constituting an Investment, Swap Contracts permitted by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Investments made pursuant to the RoFo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Investment made pursuant to this </w:t>
      </w:r>
      <w:r>
        <w:rPr>
          <w:rFonts w:ascii="Arial" w:cs="Arial" w:eastAsia="Arial" w:hAnsi="Arial"/>
          <w:sz w:val="18"/>
          <w:szCs w:val="18"/>
          <w:u w:val="single" w:color="auto"/>
          <w:color w:val="auto"/>
        </w:rPr>
        <w:t>Section 7.03(i)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Loan Parties shall comply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to the extent applicable;</w:t>
      </w:r>
    </w:p>
    <w:p>
      <w:pPr>
        <w:spacing w:after="0" w:line="225" w:lineRule="exact"/>
        <w:rPr>
          <w:rFonts w:ascii="Arial" w:cs="Arial" w:eastAsia="Arial" w:hAnsi="Arial"/>
          <w:sz w:val="18"/>
          <w:szCs w:val="18"/>
          <w:color w:val="auto"/>
        </w:rPr>
      </w:pPr>
    </w:p>
    <w:p>
      <w:pPr>
        <w:jc w:val="both"/>
        <w:ind w:left="660" w:firstLine="1292"/>
        <w:spacing w:after="0" w:line="293" w:lineRule="auto"/>
        <w:tabs>
          <w:tab w:leader="none" w:pos="259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(A) immediately before and immediately after giving pro forma effect to any such Investment, no Default shall have occurred and be continuing and (B) immediately after giving effect to such Investment, Borrower and its Subsidiaries shall be in pro forma compliance with all of the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compliance to be determined on the basis of the financial statements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though such Investment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in reasonable detail; and</w:t>
      </w:r>
    </w:p>
    <w:p>
      <w:pPr>
        <w:spacing w:after="0" w:line="164" w:lineRule="exact"/>
        <w:rPr>
          <w:rFonts w:ascii="Arial" w:cs="Arial" w:eastAsia="Arial" w:hAnsi="Arial"/>
          <w:sz w:val="16"/>
          <w:szCs w:val="16"/>
          <w:color w:val="auto"/>
        </w:rPr>
      </w:pPr>
    </w:p>
    <w:p>
      <w:pPr>
        <w:jc w:val="both"/>
        <w:ind w:left="660" w:firstLine="1292"/>
        <w:spacing w:after="0" w:line="286" w:lineRule="auto"/>
        <w:tabs>
          <w:tab w:leader="none" w:pos="2496"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Borrower shall have delivered to the Administrative Agent and each Lender, at least three Business Days prior to the date on which any such Investment is to be consummated, a certificate of a Responsible Officer certifying that all of the requirements set forth in this clause (i) have been satisfied or will be satisfied on or prior to the consummation of such Investment; and</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23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so long as no Default has occurred and is continuing or would result from such Investment, any other Investments made since the Closing Date in an amount not to exceed the greater of (i) $150,000,000 and (ii) 2.00% of Total Assets (which shall be measured as of the date such Investment is made and shall take into account any Investment previously or concurrently made pursuant to this clause (j) and then held as of such date) in the aggregate.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84" w:lineRule="exact"/>
        <w:rPr>
          <w:sz w:val="20"/>
          <w:szCs w:val="20"/>
          <w:color w:val="auto"/>
        </w:rPr>
      </w:pPr>
    </w:p>
    <w:p>
      <w:pPr>
        <w:jc w:val="both"/>
        <w:ind w:firstLine="1304"/>
        <w:spacing w:after="0" w:line="259" w:lineRule="auto"/>
        <w:tabs>
          <w:tab w:leader="none" w:pos="24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Unencumbered Company Group Party may merge with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(ii) any Company Group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Guarantor is merging with another Company Group Party, such Guarantor shall be the continuing or surviving Person and when any wholly-owned Company Group Party is merging with another Company Group Party, such wholly-owned Company Group Party shall be the continuing or surviving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1304"/>
        <w:spacing w:after="0" w:line="259" w:lineRule="auto"/>
        <w:tabs>
          <w:tab w:leader="none" w:pos="247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(x) any Company Group Party that is a Loan Party may dispose of all or substantially all of its assets (including any Disposition that is in the nature of a liquidation) to (i) another Company Group Party that is a Loan Party or (ii) to the Borrower and (y) any Company Group Party that is not a Loan Party may dispose of all or substantially all of its assets (including any Disposition that it is the nature of a liquidation) to any Guarantor; and</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2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 connection with any acquisition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any Company Group Party may merge into or consolidate with any other Person or permit any other Person to merge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Person surviving such merger shall be a wholly-owned Company Group Party.</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Dispositions</w:t>
      </w:r>
      <w:r>
        <w:rPr>
          <w:rFonts w:ascii="Arial" w:cs="Arial" w:eastAsia="Arial" w:hAnsi="Arial"/>
          <w:sz w:val="16"/>
          <w:szCs w:val="16"/>
          <w:color w:val="auto"/>
        </w:rPr>
        <w:t>. Make any Disposition or, in the case of any Company Group Party, issue, sell or otherwise transfer or dispose of any of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Interests, except:</w:t>
      </w:r>
    </w:p>
    <w:p>
      <w:pPr>
        <w:spacing w:after="0" w:line="211" w:lineRule="exact"/>
        <w:rPr>
          <w:sz w:val="20"/>
          <w:szCs w:val="20"/>
          <w:color w:val="auto"/>
        </w:rPr>
      </w:pPr>
    </w:p>
    <w:p>
      <w:pPr>
        <w:ind w:left="2280" w:hanging="976"/>
        <w:spacing w:after="0"/>
        <w:tabs>
          <w:tab w:leader="none" w:pos="22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Dispositions of obsolete, damaged, surplus or worn out property, whether now owned or hereafter acquired,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left="2180" w:hanging="876"/>
        <w:spacing w:after="0"/>
        <w:tabs>
          <w:tab w:leader="none" w:pos="2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30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83" w:lineRule="exact"/>
        <w:rPr>
          <w:rFonts w:ascii="Arial" w:cs="Arial" w:eastAsia="Arial" w:hAnsi="Arial"/>
          <w:sz w:val="18"/>
          <w:szCs w:val="18"/>
          <w:color w:val="auto"/>
        </w:rPr>
      </w:pPr>
    </w:p>
    <w:p>
      <w:pPr>
        <w:ind w:right="20" w:firstLine="1304"/>
        <w:spacing w:after="0" w:line="277" w:lineRule="auto"/>
        <w:tabs>
          <w:tab w:leader="none" w:pos="22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Dispositions of property, or issuances of its Equity Interests, by any Company Group Party to the Borrower or to a Company Group Party that is wholly-owned, directly or indirectly, by the Borrower;</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Sections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Dispositions by the Borrower and the Company Group Parties not otherwise permitted under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jc w:val="both"/>
        <w:ind w:firstLine="8"/>
        <w:spacing w:after="0" w:line="253" w:lineRule="auto"/>
        <w:tabs>
          <w:tab w:leader="none" w:pos="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no Default has occurred and is continuing at the time of and immediately after giving effect to such Disposition and (ii) only if the relevant Disposition is in excess of $20,000,000, after giving effect to such Disposition, the Borrower shall be in pro forma compliance with all of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if such Disposition had occurred on the first day of the applicable Measurement Period, such compliance to be determined on the basis of the financial information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if no such information has yet been delivered, pursuant to clause (e) of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2180" w:hanging="876"/>
        <w:spacing w:after="0"/>
        <w:tabs>
          <w:tab w:leader="none" w:pos="21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Disposition of cash or Cash Equivalents;</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right="20" w:firstLine="1304"/>
        <w:spacing w:after="0" w:line="263" w:lineRule="auto"/>
        <w:tabs>
          <w:tab w:leader="none" w:pos="24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lapse, abandonment, expiration or other Disposition of any IP Rights that are immaterial or otherwise determined by the Borrower or any Company Group Party to be no longer economically practicable to maintain, worth the cost of maintaining, or used or useful in any material respect, or the expiration of IP Rights in accordance with their respective statutory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Disposition pursuant to </w:t>
      </w:r>
      <w:r>
        <w:rPr>
          <w:rFonts w:ascii="Arial" w:cs="Arial" w:eastAsia="Arial" w:hAnsi="Arial"/>
          <w:sz w:val="18"/>
          <w:szCs w:val="18"/>
          <w:u w:val="single" w:color="auto"/>
          <w:color w:val="auto"/>
        </w:rPr>
        <w:t>Section 7.05(b),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shall be for fair market value.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make, directly or indirectly, any Restricted Payment, except that:</w:t>
      </w:r>
    </w:p>
    <w:p>
      <w:pPr>
        <w:spacing w:after="0" w:line="225" w:lineRule="exact"/>
        <w:rPr>
          <w:sz w:val="20"/>
          <w:szCs w:val="20"/>
          <w:color w:val="auto"/>
        </w:rPr>
      </w:pPr>
    </w:p>
    <w:p>
      <w:pPr>
        <w:jc w:val="both"/>
        <w:ind w:firstLine="1304"/>
        <w:spacing w:after="0" w:line="263" w:lineRule="auto"/>
        <w:tabs>
          <w:tab w:leader="none" w:pos="2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Company Group Party may make Restricted Payments to the Borrower, or to any other Person that owns a direct Equity Interest in such Company Group Party, ratably according to their respective holdings of the type of Equity Interests in respect of which such Restricted Payment is being made;</w:t>
      </w:r>
    </w:p>
    <w:p>
      <w:pPr>
        <w:spacing w:after="0" w:line="183" w:lineRule="exact"/>
        <w:rPr>
          <w:rFonts w:ascii="Arial" w:cs="Arial" w:eastAsia="Arial" w:hAnsi="Arial"/>
          <w:sz w:val="18"/>
          <w:szCs w:val="18"/>
          <w:color w:val="auto"/>
        </w:rPr>
      </w:pPr>
    </w:p>
    <w:p>
      <w:pPr>
        <w:ind w:firstLine="1304"/>
        <w:spacing w:after="0" w:line="277" w:lineRule="auto"/>
        <w:tabs>
          <w:tab w:leader="none" w:pos="219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and each Company Group Party may declare and make dividend payments or other distributions payable solely in the common stock or other common Equity Interests of such Person;</w:t>
      </w:r>
    </w:p>
    <w:p>
      <w:pPr>
        <w:spacing w:after="0" w:line="170" w:lineRule="exact"/>
        <w:rPr>
          <w:rFonts w:ascii="Arial" w:cs="Arial" w:eastAsia="Arial" w:hAnsi="Arial"/>
          <w:sz w:val="18"/>
          <w:szCs w:val="18"/>
          <w:color w:val="auto"/>
        </w:rPr>
      </w:pPr>
    </w:p>
    <w:p>
      <w:pPr>
        <w:ind w:right="20" w:firstLine="1304"/>
        <w:spacing w:after="0" w:line="277" w:lineRule="auto"/>
        <w:tabs>
          <w:tab w:leader="none" w:pos="223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and each Company Group Party may purchase, redeem or otherwise acquire its common Equity Interests with the proceeds received from the substantially concurrent issue of new common Equity Interests;</w:t>
      </w:r>
    </w:p>
    <w:p>
      <w:pPr>
        <w:spacing w:after="0" w:line="170" w:lineRule="exact"/>
        <w:rPr>
          <w:rFonts w:ascii="Arial" w:cs="Arial" w:eastAsia="Arial" w:hAnsi="Arial"/>
          <w:sz w:val="18"/>
          <w:szCs w:val="18"/>
          <w:color w:val="auto"/>
        </w:rPr>
      </w:pPr>
    </w:p>
    <w:p>
      <w:pPr>
        <w:jc w:val="both"/>
        <w:ind w:firstLine="1304"/>
        <w:spacing w:after="0" w:line="287" w:lineRule="auto"/>
        <w:tabs>
          <w:tab w:leader="none" w:pos="224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Borrower may declare and pay dividends in cash or Cash Equivalents to Holdings not to exceed an amount necessary to permit Holdings and Parent to pay (i) reasonable and customary corporate (including appropriate allocations of shared costs and expenses of the corporate group of the Equity Investor) and operating expenses (including reasonable out-of-pocket expenses for legal, administrative and accounting services provided by third parties, umbrella insurance costs, and compensation, benefits and other amounts payable to officers and employees in connection with their employment in the ordinary course of business) and (ii) so long as the Borrower is properly treated as a disregarded entity and Holdings is properly treated as a partnership for U.S. federal and applicable state and local income tax purposes, distributions to Holdings which distributions shall be used by its equity holders to discharge the relevant U.S. federal, state and local income tax liabilities of such equity holders attributable to the Borrower; provided that the amount of any distribution pursuant to this clause (ii) shall not exceed the amount that the Borrower would be required to pay in respect of the relevant U.S. federal, state and local income taxes were it to pay such taxes as a stand alone corporate taxpayer, taking into account any net operating loss carryovers and other tax attributes arising from the Closing Date; provided, further, that any distribution pursuant to this clause (ii) shall be used to discharge the relevant tax liability of each such equity owner within 90 days of the distribution;</w:t>
      </w:r>
    </w:p>
    <w:p>
      <w:pPr>
        <w:spacing w:after="0" w:line="171" w:lineRule="exact"/>
        <w:rPr>
          <w:rFonts w:ascii="Arial" w:cs="Arial" w:eastAsia="Arial" w:hAnsi="Arial"/>
          <w:sz w:val="16"/>
          <w:szCs w:val="16"/>
          <w:color w:val="auto"/>
        </w:rPr>
      </w:pPr>
    </w:p>
    <w:p>
      <w:pPr>
        <w:ind w:firstLine="1304"/>
        <w:spacing w:after="0" w:line="277" w:lineRule="auto"/>
        <w:tabs>
          <w:tab w:leader="none" w:pos="242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and each Company Group Party may issue common Equity Interests to a Loan Party or, in the case of a Company Group Party, another Company Group Party, in each case that is its direct parent;</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242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or would result from such Restricted Payment, the Borrower may declare and pay dividends in cash or Cash Equivalents to Holdings from Available Cash that is not being used to support Other Permitted Guarantees as contemplated by clause (b) of the definition thereof pursuant to </w:t>
      </w:r>
      <w:r>
        <w:rPr>
          <w:rFonts w:ascii="Arial" w:cs="Arial" w:eastAsia="Arial" w:hAnsi="Arial"/>
          <w:sz w:val="17"/>
          <w:szCs w:val="17"/>
          <w:u w:val="single" w:color="auto"/>
          <w:color w:val="auto"/>
        </w:rPr>
        <w:t>Section 7.02(j)(iv)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after giving effect to such dividend payment or other distribution, the Borrower shall be in pro forma compliance with all of the covenants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firstLine="1304"/>
        <w:spacing w:after="0" w:line="277" w:lineRule="auto"/>
        <w:tabs>
          <w:tab w:leader="none" w:pos="22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Borrower may declare and pay dividends in cash or Cash Equivalents to Holdings not to exceed an amount necessary to permit Holdings and Parent to pay franchise fees or similar taxes and fees required to maintain its corporate existence;</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Borrower may make Restricted Payments pursuant to the Exchange Agreement;</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239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extent constituting a Restricted Payment, the Borrower may make Restricted Payments as required pursuant to the Management Services Agreement to (i) pay monitoring, consulting, management, transaction, advisory, termination or similar fees payable to the Equity Investor and indemnities, reimbursements and reasonable and documented out-of-pocket fees and expenses of the Equity Investor in connection therewith and (ii) reimburse the Equity Investor for costs and expenses of Holdings and its Subsidiaries incurred in the ordinary course of business, overhead costs and expenses and fees (including administrative, legal, accounting, insurance, cash management, reporting and compliance and/or similar expenses provided by third parties as well as trustee, directors, managers and general partner fees) which are paid by the Equity Investor on behalf of Holdings or its applicable Subsidiary; and</w:t>
      </w:r>
    </w:p>
    <w:p>
      <w:pPr>
        <w:spacing w:after="0" w:line="194" w:lineRule="exact"/>
        <w:rPr>
          <w:rFonts w:ascii="Arial" w:cs="Arial" w:eastAsia="Arial" w:hAnsi="Arial"/>
          <w:sz w:val="18"/>
          <w:szCs w:val="18"/>
          <w:color w:val="auto"/>
        </w:rPr>
      </w:pPr>
    </w:p>
    <w:p>
      <w:pPr>
        <w:jc w:val="both"/>
        <w:ind w:firstLine="1304"/>
        <w:spacing w:after="0" w:line="279" w:lineRule="auto"/>
        <w:tabs>
          <w:tab w:leader="none" w:pos="225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 the Borrower shall be permitted to make payments of principal and interest under the Parent CSN Proceeds Loan so long as the proceeds thereof are directly used to make corresponding payments of principal, interest and other amounts due and payable under the Convertible Senior Notes or (ii) the Borrower may declare and pay dividends to Holdings so as to enable Holdings to satisfy demands made against Holdings under the unsecured guarantee of Holdings of the Indebtedness represented by the Convertible Senior Notes.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7.07 </w:t>
      </w:r>
      <w:r>
        <w:rPr>
          <w:rFonts w:ascii="Arial" w:cs="Arial" w:eastAsia="Arial" w:hAnsi="Arial"/>
          <w:sz w:val="17"/>
          <w:szCs w:val="17"/>
          <w:u w:val="single" w:color="auto"/>
          <w:color w:val="auto"/>
        </w:rPr>
        <w:t>Change in Nature of Business</w:t>
      </w:r>
      <w:r>
        <w:rPr>
          <w:rFonts w:ascii="Arial" w:cs="Arial" w:eastAsia="Arial" w:hAnsi="Arial"/>
          <w:sz w:val="17"/>
          <w:szCs w:val="17"/>
          <w:color w:val="auto"/>
        </w:rPr>
        <w:t>. Engage in any material line of business substantially different from those lines of business conducted by the Borrower and the Company Group Parties on the Closing Date (including, for the avoidance of doubt, the ownership, lease or development of energy generating, transmission or distribution assets, or assets related thereto, or of any other power or energy facility, or any assets relating to any of the foregoing) or any business substantially related or incidental thereto, or permit the Project Companies, taken as a whole, to do the same.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Consummate any transaction of any kind with any of its Affiliates, whether or not in the ordinary course of business, other than:</w:t>
      </w:r>
    </w:p>
    <w:p>
      <w:pPr>
        <w:spacing w:after="0" w:line="170" w:lineRule="exact"/>
        <w:rPr>
          <w:sz w:val="20"/>
          <w:szCs w:val="20"/>
          <w:color w:val="auto"/>
        </w:rPr>
      </w:pPr>
    </w:p>
    <w:p>
      <w:pPr>
        <w:ind w:firstLine="1304"/>
        <w:spacing w:after="0" w:line="342" w:lineRule="auto"/>
        <w:tabs>
          <w:tab w:leader="none" w:pos="217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fair and reasonable terms substantially as favorable to the Borrower or such Company Group Party as would be obtainable by the Borrower or such Company Group Party at the time in a comparable arm’s length transaction with a Person other than an Affiliate thereof;</w:t>
      </w:r>
    </w:p>
    <w:p>
      <w:pPr>
        <w:spacing w:after="0" w:line="123" w:lineRule="exact"/>
        <w:rPr>
          <w:rFonts w:ascii="Arial" w:cs="Arial" w:eastAsia="Arial" w:hAnsi="Arial"/>
          <w:sz w:val="16"/>
          <w:szCs w:val="16"/>
          <w:color w:val="auto"/>
        </w:rPr>
      </w:pPr>
    </w:p>
    <w:p>
      <w:pPr>
        <w:ind w:left="2180" w:hanging="876"/>
        <w:spacing w:after="0"/>
        <w:tabs>
          <w:tab w:leader="none" w:pos="2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transaction between or among one or more of the Borrower and the Company Group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right="20" w:firstLine="1304"/>
        <w:spacing w:after="0" w:line="263" w:lineRule="auto"/>
        <w:tabs>
          <w:tab w:leader="none" w:pos="22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employment agreement or director’s engagement agreement, employee benefit plan, officer and director indemnification agreement or any similar arrangement entered into by the Borrower or any Company Group Party and approved by a Responsible Officer of the Borrower in good faith;</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issuance of Equity Interests (other than Disqualified Equity Interests) of the Borrower or any Company Group Party;</w:t>
      </w:r>
    </w:p>
    <w:p>
      <w:pPr>
        <w:spacing w:after="0" w:line="236" w:lineRule="exact"/>
        <w:rPr>
          <w:rFonts w:ascii="Arial" w:cs="Arial" w:eastAsia="Arial" w:hAnsi="Arial"/>
          <w:sz w:val="17"/>
          <w:szCs w:val="17"/>
          <w:color w:val="auto"/>
        </w:rPr>
      </w:pPr>
    </w:p>
    <w:p>
      <w:pPr>
        <w:ind w:left="2180" w:hanging="876"/>
        <w:spacing w:after="0"/>
        <w:tabs>
          <w:tab w:leader="none" w:pos="2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Restricted Payments that do not violate the provisions of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29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payments or advances to employees or consultants that are incurred in the ordinary course of business or that are approved by a Responsible Officer of the Borrower in good faith;</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222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existence of, or the performance by the Borrower or any Company Group Party of its obligations under the terms of, any stockholders agreement (including any registration rights agreement or purchase agreement related thereto) to which it is a party as of the Closing Date and any similar agreements which it may enter into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existence of, or the performance by the Borrower or any of the Company Group Parties of its obligations under, any future amendment to any such existing agreement or under any similar agreement entered into after the Closing Date shall only be permitted by this </w:t>
      </w:r>
      <w:r>
        <w:rPr>
          <w:rFonts w:ascii="Arial" w:cs="Arial" w:eastAsia="Arial" w:hAnsi="Arial"/>
          <w:sz w:val="18"/>
          <w:szCs w:val="18"/>
          <w:u w:val="single" w:color="auto"/>
          <w:color w:val="auto"/>
        </w:rPr>
        <w:t>Section 7.08(g)</w:t>
      </w:r>
      <w:r>
        <w:rPr>
          <w:rFonts w:ascii="Arial" w:cs="Arial" w:eastAsia="Arial" w:hAnsi="Arial"/>
          <w:sz w:val="18"/>
          <w:szCs w:val="18"/>
          <w:color w:val="auto"/>
        </w:rPr>
        <w:t xml:space="preserve"> to the extent that the terms of any such amendment or new agreement are not otherwise more disadvantageous to the Lenders in any material respect than those such agreements to which the Borrower or the Company Group Parties, as applicable, are party as of Closing Date;</w:t>
      </w:r>
    </w:p>
    <w:p>
      <w:pPr>
        <w:spacing w:after="0" w:line="194" w:lineRule="exact"/>
        <w:rPr>
          <w:rFonts w:ascii="Arial" w:cs="Arial" w:eastAsia="Arial" w:hAnsi="Arial"/>
          <w:sz w:val="18"/>
          <w:szCs w:val="18"/>
          <w:color w:val="auto"/>
        </w:rPr>
      </w:pPr>
    </w:p>
    <w:p>
      <w:pPr>
        <w:ind w:left="2180" w:hanging="876"/>
        <w:spacing w:after="0"/>
        <w:tabs>
          <w:tab w:leader="none" w:pos="2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transactions required pursuant to the RoFo Agreement and the Exchange Agreement;</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transactions pursuant to the Management Services Agreement;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235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incurrence by the Borrower of the Parent CSN Proceeds Loan on the terms substantially similar to those in effect on January 31, 2014 (other than payment terms, which may be substantially similar to (or more favorable to the Borrower than) the payment obligations of the Parent under the corresponding Convertible Senior Notes) and disclosed to the Administrative Agent and without giving effect to any amendments, restatements, supplements or other modifications thereof occurring after such date that would be materially adverse to the interests of the Lenders or the Administrative Agent in their respective capacities as such; or</w:t>
      </w:r>
    </w:p>
    <w:p>
      <w:pPr>
        <w:spacing w:after="0" w:line="187" w:lineRule="exact"/>
        <w:rPr>
          <w:rFonts w:ascii="Arial" w:cs="Arial" w:eastAsia="Arial" w:hAnsi="Arial"/>
          <w:sz w:val="18"/>
          <w:szCs w:val="18"/>
          <w:color w:val="auto"/>
        </w:rPr>
      </w:pPr>
    </w:p>
    <w:p>
      <w:pPr>
        <w:ind w:left="1780" w:hanging="476"/>
        <w:spacing w:after="0"/>
        <w:tabs>
          <w:tab w:leader="none" w:pos="1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Permitted Guarantees.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48"/>
        <w:spacing w:after="0" w:line="269" w:lineRule="auto"/>
        <w:rPr>
          <w:sz w:val="20"/>
          <w:szCs w:val="20"/>
          <w:color w:val="auto"/>
        </w:rPr>
      </w:pPr>
      <w:r>
        <w:rPr>
          <w:rFonts w:ascii="Arial" w:cs="Arial" w:eastAsia="Arial" w:hAnsi="Arial"/>
          <w:sz w:val="17"/>
          <w:szCs w:val="17"/>
          <w:color w:val="auto"/>
        </w:rPr>
        <w:t xml:space="preserve">7.09 </w:t>
      </w:r>
      <w:r>
        <w:rPr>
          <w:rFonts w:ascii="Arial" w:cs="Arial" w:eastAsia="Arial" w:hAnsi="Arial"/>
          <w:sz w:val="17"/>
          <w:szCs w:val="17"/>
          <w:u w:val="single" w:color="auto"/>
          <w:color w:val="auto"/>
        </w:rPr>
        <w:t>Burdensome Agreements</w:t>
      </w:r>
      <w:r>
        <w:rPr>
          <w:rFonts w:ascii="Arial" w:cs="Arial" w:eastAsia="Arial" w:hAnsi="Arial"/>
          <w:sz w:val="17"/>
          <w:szCs w:val="17"/>
          <w:color w:val="auto"/>
        </w:rPr>
        <w:t xml:space="preserve">. Enter into or permit to exist any Contractual Obligation (other than this Agreement or any other Loan Document) that (a) limits the ability (i) of any Company Group Party to make Restricted Payments to the Borrower or to otherwise transfer property to or invest in the Borrower, except for any agreement in effect on the Closing Date and set forth on </w:t>
      </w:r>
      <w:r>
        <w:rPr>
          <w:rFonts w:ascii="Arial" w:cs="Arial" w:eastAsia="Arial" w:hAnsi="Arial"/>
          <w:sz w:val="17"/>
          <w:szCs w:val="17"/>
          <w:u w:val="single" w:color="auto"/>
          <w:color w:val="auto"/>
        </w:rPr>
        <w:t>Schedule 7.09</w:t>
      </w:r>
      <w:r>
        <w:rPr>
          <w:rFonts w:ascii="Arial" w:cs="Arial" w:eastAsia="Arial" w:hAnsi="Arial"/>
          <w:sz w:val="17"/>
          <w:szCs w:val="17"/>
          <w:color w:val="auto"/>
        </w:rPr>
        <w:t xml:space="preserve"> or (ii) of any Loan Party (other than South Trent Holdings LLC (to the extent such restrictions exist in agreements in respect of Indebtedness thereof in effect as of the Closing Date)) to create, incur, assume or suffer to exist Liens on property of such Person to secure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(ii) shall not prohibit any negative pledge incurred or provided in connection with Indebtedness permitted under </w:t>
      </w:r>
      <w:r>
        <w:rPr>
          <w:rFonts w:ascii="Arial" w:cs="Arial" w:eastAsia="Arial" w:hAnsi="Arial"/>
          <w:sz w:val="17"/>
          <w:szCs w:val="17"/>
          <w:u w:val="single" w:color="auto"/>
          <w:color w:val="auto"/>
        </w:rPr>
        <w:t>Section 7.02(j)</w:t>
      </w:r>
      <w:r>
        <w:rPr>
          <w:rFonts w:ascii="Arial" w:cs="Arial" w:eastAsia="Arial" w:hAnsi="Arial"/>
          <w:sz w:val="17"/>
          <w:szCs w:val="17"/>
          <w:color w:val="auto"/>
        </w:rPr>
        <w:t xml:space="preserve"> (solely to the extent any such negative pledge relates to Equity Interests subject to a Lien permitted by </w:t>
      </w:r>
      <w:r>
        <w:rPr>
          <w:rFonts w:ascii="Arial" w:cs="Arial" w:eastAsia="Arial" w:hAnsi="Arial"/>
          <w:sz w:val="17"/>
          <w:szCs w:val="17"/>
          <w:u w:val="single" w:color="auto"/>
          <w:color w:val="auto"/>
        </w:rPr>
        <w:t>Section 7.01(i)</w:t>
      </w:r>
      <w:r>
        <w:rPr>
          <w:rFonts w:ascii="Arial" w:cs="Arial" w:eastAsia="Arial" w:hAnsi="Arial"/>
          <w:sz w:val="17"/>
          <w:szCs w:val="17"/>
          <w:color w:val="auto"/>
        </w:rPr>
        <w:t xml:space="preserve">) or (b) requires the grant of a Lien to secure an obligation of such Person if a Lien is granted to secure another obligation of such Person (other than in respect of Indebtedness permitted under </w:t>
      </w:r>
      <w:r>
        <w:rPr>
          <w:rFonts w:ascii="Arial" w:cs="Arial" w:eastAsia="Arial" w:hAnsi="Arial"/>
          <w:sz w:val="17"/>
          <w:szCs w:val="17"/>
          <w:u w:val="single" w:color="auto"/>
          <w:color w:val="auto"/>
        </w:rPr>
        <w:t>Section 7.02(p)</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7.02(q)</w:t>
      </w:r>
      <w:r>
        <w:rPr>
          <w:rFonts w:ascii="Arial" w:cs="Arial" w:eastAsia="Arial" w:hAnsi="Arial"/>
          <w:sz w:val="17"/>
          <w:szCs w:val="17"/>
          <w:color w:val="auto"/>
        </w:rPr>
        <w:t xml:space="preserve"> or the Bridge Financing (provided that, in the case of the Bridge Financing, such Contractual Obligation shall be on customary terms for equal and ratable springing lien provisions in similar debt instruments in light of then prevailing market conditions)).</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the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33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Borrower Leverage Ratio</w:t>
      </w:r>
      <w:r>
        <w:rPr>
          <w:rFonts w:ascii="Arial" w:cs="Arial" w:eastAsia="Arial" w:hAnsi="Arial"/>
          <w:sz w:val="18"/>
          <w:szCs w:val="18"/>
          <w:color w:val="auto"/>
        </w:rPr>
        <w:t>. Commencing with the fiscal quarter ending December 31, 2021, and as of the last day of each fiscal quarter thereafter, permit the Borrower Leverage Ratio for the most recently completed Measurement Period to be greater than (i) on any date of determination other than during an Acquisition Period, 5.50:1.00 or, during the period from the Closing Date through and including the Leverage Period Termination Date, 6.00:1.00, and (ii) on any date of determination during an Acquisition Period 6.00:1.00 or, during the period from the Closing Date through and including the Leverage Period Termination Date, 6.50:1.00; and</w:t>
      </w:r>
    </w:p>
    <w:p>
      <w:pPr>
        <w:spacing w:after="0" w:line="187" w:lineRule="exact"/>
        <w:rPr>
          <w:rFonts w:ascii="Arial" w:cs="Arial" w:eastAsia="Arial" w:hAnsi="Arial"/>
          <w:sz w:val="18"/>
          <w:szCs w:val="18"/>
          <w:color w:val="auto"/>
        </w:rPr>
      </w:pPr>
    </w:p>
    <w:p>
      <w:pPr>
        <w:ind w:firstLine="1304"/>
        <w:spacing w:after="0" w:line="342" w:lineRule="auto"/>
        <w:tabs>
          <w:tab w:leader="none" w:pos="224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Borrower Interest Coverage Ratio</w:t>
      </w:r>
      <w:r>
        <w:rPr>
          <w:rFonts w:ascii="Arial" w:cs="Arial" w:eastAsia="Arial" w:hAnsi="Arial"/>
          <w:sz w:val="16"/>
          <w:szCs w:val="16"/>
          <w:color w:val="auto"/>
        </w:rPr>
        <w:t>. Commencing with the fiscal quarter ending December 31, 2021 and as of the last day of each fiscal quarter thereafter, permit the Borrower Interest Coverage Ratio for the most recently completed Measurement Period to be less than 1.75:1.00.</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Sanctions</w:t>
      </w:r>
      <w:r>
        <w:rPr>
          <w:rFonts w:ascii="Arial" w:cs="Arial" w:eastAsia="Arial" w:hAnsi="Arial"/>
          <w:sz w:val="18"/>
          <w:szCs w:val="18"/>
          <w:color w:val="auto"/>
        </w:rPr>
        <w:t>. Directly or indirectly, use the proceeds of the Credit Extension, or lend, contribute or otherwise make available such proceeds to any Subsidiary of the Borrower or any Company Group Party, or to any Equity Investor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Amendments of Organization Documents</w:t>
      </w:r>
      <w:r>
        <w:rPr>
          <w:rFonts w:ascii="Arial" w:cs="Arial" w:eastAsia="Arial" w:hAnsi="Arial"/>
          <w:sz w:val="17"/>
          <w:szCs w:val="17"/>
          <w:color w:val="auto"/>
        </w:rPr>
        <w:t>. Amend any of the Organization Documents of any such Person, other than amendments that do not, taken as a whole, materially adversely affect the interests of any Agent, any Lender or any Secured Party in their capacity as such.</w:t>
      </w:r>
    </w:p>
    <w:p>
      <w:pPr>
        <w:spacing w:after="0" w:line="14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u w:val="single" w:color="auto"/>
          <w:color w:val="auto"/>
        </w:rPr>
        <w:t>Accounting Changes</w:t>
      </w:r>
      <w:r>
        <w:rPr>
          <w:rFonts w:ascii="Arial" w:cs="Arial" w:eastAsia="Arial" w:hAnsi="Arial"/>
          <w:sz w:val="16"/>
          <w:szCs w:val="16"/>
          <w:color w:val="auto"/>
        </w:rPr>
        <w:t>. Make any change in (a) accounting policies or reporting practices, except as required by GAAP, or (b) fiscal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285"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Prepayments, Etc. of Indebtedness</w:t>
      </w:r>
      <w:r>
        <w:rPr>
          <w:rFonts w:ascii="Arial" w:cs="Arial" w:eastAsia="Arial" w:hAnsi="Arial"/>
          <w:sz w:val="16"/>
          <w:szCs w:val="16"/>
          <w:color w:val="auto"/>
        </w:rPr>
        <w:t xml:space="preserve">. Prepay, redeem, purchase, defease or otherwise satisfy prior to the scheduled maturity thereof in any manner, or make any payment in violation of any subordination terms of, any unsecured Indebtedness, junior Lien Indebtedness or any Indebtedness which is contractually subordinated to the Obligations, except (a) regularly scheduled payments of principal and interest in respect of such Indebtedness in accordance with the terms of, and only to the extent required by, and subject to any subordination provisions contained in, the indenture or other agreement pursuant to which such Indebtedness was issued or incurred or any subordination agreement (including any subordination agreement entered into pursuant to </w:t>
      </w:r>
      <w:r>
        <w:rPr>
          <w:rFonts w:ascii="Arial" w:cs="Arial" w:eastAsia="Arial" w:hAnsi="Arial"/>
          <w:sz w:val="16"/>
          <w:szCs w:val="16"/>
          <w:u w:val="single" w:color="auto"/>
          <w:color w:val="auto"/>
        </w:rPr>
        <w:t>Section 7.02(n)</w:t>
      </w:r>
      <w:r>
        <w:rPr>
          <w:rFonts w:ascii="Arial" w:cs="Arial" w:eastAsia="Arial" w:hAnsi="Arial"/>
          <w:sz w:val="16"/>
          <w:szCs w:val="16"/>
          <w:color w:val="auto"/>
        </w:rPr>
        <w:t>) in respect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regularly scheduled payments of principal shall not exceed 1.00% per annum of the aggregate principal amount of such Indebtedness), (b) prepayments and repayments of such Indebtedness made from cash of the Borrower that at such time would be permitted to be distributed to Holdings pursuant to </w:t>
      </w:r>
      <w:r>
        <w:rPr>
          <w:rFonts w:ascii="Arial" w:cs="Arial" w:eastAsia="Arial" w:hAnsi="Arial"/>
          <w:sz w:val="16"/>
          <w:szCs w:val="16"/>
          <w:u w:val="single" w:color="auto"/>
          <w:color w:val="auto"/>
        </w:rPr>
        <w:t>Section 7.06(f)</w:t>
      </w:r>
      <w:r>
        <w:rPr>
          <w:rFonts w:ascii="Arial" w:cs="Arial" w:eastAsia="Arial" w:hAnsi="Arial"/>
          <w:sz w:val="16"/>
          <w:szCs w:val="16"/>
          <w:color w:val="auto"/>
        </w:rPr>
        <w:t>, (c) prepayments and repayments of such Indebtedness made with the proceeds of Permitted Refinancing Indebtedness in respect thereof, (d) following the Leverage Period Termination Date, prepayments and repayments of such Indebtedness, unless (i) as result thereof and giving pro forma effect thereto and to any Indebtedness incurred in connection therewith (as though such Indebtedness had been incurred as of the first day of the most recently completed Measurement Period and remained outstanding), the Borrower Leverage Ratio for the most recently completed Measurement Period would be greater than 5.50:1.00, (ii) as result thereof and giving pro forma effect thereto and to any Indebtedness incurred in connection therewith (as though such Indebtedness had been incurred as of the first day of the most recently completed Measurement Period and remained outstanding), the Borrower Interest Coverage Ratio for the most recently completed Measurement Period would be less than 1.75:1.00 or (iii) an Event of Default has occurred and is continuing or would result from such prepayment or repayment, (e) other prepayments, repayments, redemptions or similar transactions in an amount not to exceed the greater of (i) $50,000,000 and (ii) 1.00% of Total Assets (which shall be measured as of the date such transaction is consummated and shall take into account any transaction previously or concurrently consummated pursuant to this clause (e)) and (f) prepayments and repayments of the Convertible Senior Notes with the proceeds of the Bridge Financing or any Permitted Refinancing Indebtedness in respect of the Bridge Financing.</w:t>
      </w:r>
    </w:p>
    <w:p>
      <w:pPr>
        <w:spacing w:after="0" w:line="16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u w:val="single" w:color="auto"/>
          <w:color w:val="auto"/>
        </w:rPr>
        <w:t>Holding Company</w:t>
      </w:r>
      <w:r>
        <w:rPr>
          <w:rFonts w:ascii="Arial" w:cs="Arial" w:eastAsia="Arial" w:hAnsi="Arial"/>
          <w:sz w:val="16"/>
          <w:szCs w:val="16"/>
          <w:color w:val="auto"/>
        </w:rPr>
        <w:t xml:space="preserve">. In the case of Holdings, engage in any business, activity or transaction or own any interest (fee, leasehold or otherwise) in any real property, or incur, assume, or suffer to exist any Indebtedness other than (a) the ownership of all outstanding Equity Interests in the Borrower, (b) maintaining its corporate existence, (c) participating in tax, accounting and other administrative activities as the parent of a consolidated group of companies, including the Borrower, (d) making Restricted Payments of amounts received by it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and making Investments in the Borrower, (e) in respect of the execution and delivery of the Loan Documents to which it is a party and the performance of its obligations thereunder,</w:t>
      </w:r>
    </w:p>
    <w:p>
      <w:pPr>
        <w:spacing w:after="0" w:line="2" w:lineRule="exact"/>
        <w:rPr>
          <w:sz w:val="20"/>
          <w:szCs w:val="20"/>
          <w:color w:val="auto"/>
        </w:rPr>
      </w:pPr>
    </w:p>
    <w:p>
      <w:pPr>
        <w:jc w:val="both"/>
        <w:ind w:firstLine="8"/>
        <w:spacing w:after="0" w:line="288" w:lineRule="auto"/>
        <w:tabs>
          <w:tab w:leader="none" w:pos="23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execution and delivery of the Exchange Agreement and the performance of its obligations thereunder, (g) incurring Indebtedness consisting of an unsecured guarantee of the Indebtedness represented by the Convertible Senior Notes, (h) providing, and complying with its obligations in respect of, Permitted Guarantees, (i) (x) entering into Holdings Tax Equity Credit Support and (y) making Holdings Tax Equity Payments in an amount not to exceed, in the aggregate for all such Holdings Tax Equity Payments made by Holdings during the term of this Agreement, 10% of Holdings’ shareholders’ equity as reported in the most recent financial statements filed by Holdings with the SEC on Form 10-Q or Form 10-K, as applicable, (it being understood that Holdings may enter into Holdings Tax Equity Credit Support without regard to such 10% cap, but that actual payments made by Holdings with respect thereto are subject to such 10% cap) and (j) activities incidental to the businesses or activities described in clauses (a) through (i) of this Section.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left="660"/>
        <w:spacing w:after="0"/>
        <w:tabs>
          <w:tab w:leader="none" w:pos="140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6"/>
          <w:szCs w:val="16"/>
          <w:u w:val="single" w:color="auto"/>
          <w:color w:val="auto"/>
        </w:rPr>
        <w:t>Swap Contracts</w:t>
      </w:r>
      <w:r>
        <w:rPr>
          <w:rFonts w:ascii="Arial" w:cs="Arial" w:eastAsia="Arial" w:hAnsi="Arial"/>
          <w:sz w:val="16"/>
          <w:szCs w:val="16"/>
          <w:color w:val="auto"/>
        </w:rPr>
        <w:t>. Enter into any Swap Contract other than as permitted by</w:t>
      </w:r>
      <w:r>
        <w:rPr>
          <w:rFonts w:ascii="Arial" w:cs="Arial" w:eastAsia="Arial" w:hAnsi="Arial"/>
          <w:sz w:val="16"/>
          <w:szCs w:val="16"/>
          <w:u w:val="single" w:color="auto"/>
          <w:color w:val="auto"/>
        </w:rPr>
        <w:t xml:space="preserve"> Section 7.02(a)</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Sales and Lease-Backs</w:t>
      </w:r>
      <w:r>
        <w:rPr>
          <w:rFonts w:ascii="Arial" w:cs="Arial" w:eastAsia="Arial" w:hAnsi="Arial"/>
          <w:sz w:val="18"/>
          <w:szCs w:val="18"/>
          <w:color w:val="auto"/>
        </w:rPr>
        <w:t>. Become or remain liable as lessee or as a guarantor or other surety with respect to any lease of any property (whether real, personal or mixed), whether now owned or hereafter acquired, which the Borrower or such Company Group Party has sold or transferred or is to sell or to transfer to any other Person.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Permitted Tax Equity Credit Support</w:t>
      </w:r>
      <w:r>
        <w:rPr>
          <w:rFonts w:ascii="Arial" w:cs="Arial" w:eastAsia="Arial" w:hAnsi="Arial"/>
          <w:sz w:val="18"/>
          <w:szCs w:val="18"/>
          <w:color w:val="auto"/>
        </w:rPr>
        <w:t xml:space="preserve">. Enter into any indemnification, guarantee or other credit support agreement in respect of any tax equity financing, or incur any obligations or make any payments thereunder or in connection therewith, other than pursuant to Permitted Guarantees (it being understood that Holdings may enter into Holdings Tax Equity Credit Support and make Holdings Tax Equity Payments pursuant to clause (i) of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 AND REMEDIES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Any of the following shall constitute an Event of Default:</w:t>
      </w:r>
    </w:p>
    <w:p>
      <w:pPr>
        <w:spacing w:after="0" w:line="225" w:lineRule="exact"/>
        <w:rPr>
          <w:sz w:val="20"/>
          <w:szCs w:val="20"/>
          <w:color w:val="auto"/>
        </w:rPr>
      </w:pPr>
    </w:p>
    <w:p>
      <w:pPr>
        <w:jc w:val="both"/>
        <w:ind w:firstLine="1304"/>
        <w:spacing w:after="0" w:line="311" w:lineRule="auto"/>
        <w:tabs>
          <w:tab w:leader="none" w:pos="2238"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The Borrower or any other Loan Party fails to (i) pay when and as required to be paid herein, any amount of principal of the Term Loan, or (ii) pay within five (5) Business Days after the same becomes due any interest on the Term Loan or any fee due hereunder, or (iii) pay within five (5) Business Days after the same becomes due, any other amount payable hereunder or under any other Loan Document; or</w:t>
      </w:r>
    </w:p>
    <w:p>
      <w:pPr>
        <w:spacing w:after="0" w:line="148" w:lineRule="exact"/>
        <w:rPr>
          <w:rFonts w:ascii="Arial" w:cs="Arial" w:eastAsia="Arial" w:hAnsi="Arial"/>
          <w:sz w:val="16"/>
          <w:szCs w:val="16"/>
          <w:color w:val="auto"/>
        </w:rPr>
      </w:pPr>
    </w:p>
    <w:p>
      <w:pPr>
        <w:ind w:firstLine="1304"/>
        <w:spacing w:after="0" w:line="277" w:lineRule="auto"/>
        <w:tabs>
          <w:tab w:leader="none" w:pos="224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8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45 days after written notice by the Administrative Agent or any Lender to the Borrower; or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7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or certification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left="2180" w:hanging="876"/>
        <w:spacing w:after="0"/>
        <w:tabs>
          <w:tab w:leader="none" w:pos="218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40" w:firstLine="1293"/>
        <w:spacing w:after="0" w:line="267" w:lineRule="auto"/>
        <w:tabs>
          <w:tab w:leader="none" w:pos="3105" w:val="left"/>
        </w:tabs>
        <w:numPr>
          <w:ilvl w:val="2"/>
          <w:numId w:val="145"/>
        </w:numPr>
        <w:rPr>
          <w:rFonts w:ascii="Arial" w:cs="Arial" w:eastAsia="Arial" w:hAnsi="Arial"/>
          <w:sz w:val="17"/>
          <w:szCs w:val="17"/>
          <w:color w:val="auto"/>
        </w:rPr>
      </w:pPr>
      <w:r>
        <w:rPr>
          <w:rFonts w:ascii="Arial" w:cs="Arial" w:eastAsia="Arial" w:hAnsi="Arial"/>
          <w:sz w:val="17"/>
          <w:szCs w:val="17"/>
          <w:color w:val="auto"/>
        </w:rPr>
        <w:t xml:space="preserve">Any Loan Party, Company Group Party or Material Project Company (A) fails to make any payment when due (whether by scheduled maturity, required prepayment, acceleration, demand, or otherwise), after giving effect to any grace, waiver and any cure periods, in respect of any Indebtedness or Guarantee (other than Indebtedness hereunder and Indebtedness under Swap Contracts) (x) in the case of any Loan Party or Company Group Party, having an aggregate principal amount then outstanding (excluding, for the avoidance of doubt, any undrawn commitments other than any undrawn commitments under the Revolving Credit Agreement or under any other Indebtedness secured by Liens on any or all of the Collateral on a pari passu basis with the Obligations) of more than the Threshold Amount, and (y) in the case of (1) any Project Company that, individually or together with any other Project Company that is in default under any of its Indebtedness or Guarantees or that is then the subject of an event described in </w:t>
      </w:r>
      <w:r>
        <w:rPr>
          <w:rFonts w:ascii="Arial" w:cs="Arial" w:eastAsia="Arial" w:hAnsi="Arial"/>
          <w:sz w:val="17"/>
          <w:szCs w:val="17"/>
          <w:u w:val="single" w:color="auto"/>
          <w:color w:val="auto"/>
        </w:rPr>
        <w:t>Section 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made Restricted Payments, directly or indirectly through Company Group Parties or otherwise, to the Borrower in an amount equal to or greater than 30% of the Distributed Cash during the most recently completed Measurement Period (any such Project Company, a “</w:t>
      </w:r>
      <w:r>
        <w:rPr>
          <w:rFonts w:ascii="Arial" w:cs="Arial" w:eastAsia="Arial" w:hAnsi="Arial"/>
          <w:sz w:val="17"/>
          <w:szCs w:val="17"/>
          <w:u w:val="single" w:color="auto"/>
          <w:color w:val="auto"/>
        </w:rPr>
        <w:t>Material Project Company</w:t>
      </w:r>
      <w:r>
        <w:rPr>
          <w:rFonts w:ascii="Arial" w:cs="Arial" w:eastAsia="Arial" w:hAnsi="Arial"/>
          <w:sz w:val="17"/>
          <w:szCs w:val="17"/>
          <w:color w:val="auto"/>
        </w:rPr>
        <w:t>”) or (2) any Company Group Party that is not a Loan Party, the terms of which Indebtedness or Guarantee prohibit such Person from making Restricted Payments as a result thereof, or (B) fails to observe or perform any other agreement or condition relating to any such Indebtedness or Guarantee or contained in any instrument or agreement evidencing, securing or relating thereto, or any other event occurs, the effect of which event of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89" w:lineRule="exact"/>
        <w:rPr>
          <w:rFonts w:ascii="Arial" w:cs="Arial" w:eastAsia="Arial" w:hAnsi="Arial"/>
          <w:sz w:val="17"/>
          <w:szCs w:val="17"/>
          <w:color w:val="auto"/>
        </w:rPr>
      </w:pPr>
    </w:p>
    <w:p>
      <w:pPr>
        <w:ind w:left="2880" w:hanging="847"/>
        <w:spacing w:after="0"/>
        <w:tabs>
          <w:tab w:leader="none" w:pos="288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there occurs under any Swap Contract an Early Termination Date (as defined in such Swap Contract) resulting from</w:t>
      </w:r>
    </w:p>
    <w:p>
      <w:pPr>
        <w:spacing w:after="0" w:line="46" w:lineRule="exact"/>
        <w:rPr>
          <w:rFonts w:ascii="Arial" w:cs="Arial" w:eastAsia="Arial" w:hAnsi="Arial"/>
          <w:sz w:val="16"/>
          <w:szCs w:val="16"/>
          <w:color w:val="auto"/>
        </w:rPr>
      </w:pPr>
    </w:p>
    <w:p>
      <w:pPr>
        <w:jc w:val="both"/>
        <w:ind w:left="740" w:hanging="3"/>
        <w:spacing w:after="0" w:line="270" w:lineRule="auto"/>
        <w:tabs>
          <w:tab w:leader="none" w:pos="106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event of default under such Swap Contract as to which a Loan Party, Company Group Party or Material Project Company is the Defaulting Party (as defined in such Swap Contract) or (B) any Termination Event (as so defined) under such Swap Contract as to which a Loan Party, Company Group Party or Material Project Company is an Affected Party (as so defined) and, in either event, (x) in the case of any Loan Party, the Swap Termination Value (after giving effect to any netting arrangements) owed by such Loan Party as a result thereof is greater than the Threshold Amount and (y) in the case of any Company Group Party that is not a Loan Party or Material Project Company, the terms of such Swap Contract prohibit such Person from making Restricted Payments as a result thereof;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shall result under this clause (e) from an event or circumstance limited to a Material Project Company unless, as result thereof and giving pro forma effect thereto, the Borrower would be in violation of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(such calculation to be done on the basis of the financial information most recently delivered to the Administrative Agent and the Lenders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if no such information has yet been delivered, pursuant to clause (e)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 respect of the financial statements delivered pursuant thereto));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1304"/>
        <w:spacing w:after="0" w:line="252" w:lineRule="auto"/>
        <w:tabs>
          <w:tab w:leader="none" w:pos="233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Holdings, the Borrower, any Material Company Group Party, any group of Company Group Parties that, taken together, would constitute a Material Company Group Party, or any Material Project Company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shall result under this clause (f) from an event or circumstance limited to a Material Project Company unless, as result thereof and giving pro forma effect thereto, the Borrower would be in violation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calculation to be done on the basis of the financial information most recently delivered to the Administrative Agent and the Lenders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if no such information has yet been delivered, pursuant to clause (e)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 respect of the financial statements delivered pursuant thereto)); or</w:t>
      </w:r>
    </w:p>
    <w:p>
      <w:pPr>
        <w:spacing w:after="0" w:line="199" w:lineRule="exact"/>
        <w:rPr>
          <w:rFonts w:ascii="Arial" w:cs="Arial" w:eastAsia="Arial" w:hAnsi="Arial"/>
          <w:sz w:val="18"/>
          <w:szCs w:val="18"/>
          <w:color w:val="auto"/>
        </w:rPr>
      </w:pPr>
    </w:p>
    <w:p>
      <w:pPr>
        <w:jc w:val="both"/>
        <w:ind w:firstLine="1304"/>
        <w:spacing w:after="0" w:line="290" w:lineRule="auto"/>
        <w:tabs>
          <w:tab w:leader="none" w:pos="2234"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xml:space="preserve">. (i) Holdings, the Borrower, any Material Company Group Party, any group of Company Group Parties that, taken together, would constitute a Material Company Group Party, or any Material Project Company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result under this clause (g) from an event or circumstance limited to a Material Project Company unless, as result thereof and giving pro forma effect thereto, the Borrower would be in violation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calculation to be done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if no such information has yet been delivered, pursuant to clause (e)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respect of the financial statements delivered pursuant thereto)); or</w:t>
      </w:r>
    </w:p>
    <w:p>
      <w:pPr>
        <w:spacing w:after="0" w:line="165" w:lineRule="exact"/>
        <w:rPr>
          <w:rFonts w:ascii="Arial" w:cs="Arial" w:eastAsia="Arial" w:hAnsi="Arial"/>
          <w:sz w:val="16"/>
          <w:szCs w:val="16"/>
          <w:color w:val="auto"/>
        </w:rPr>
      </w:pPr>
    </w:p>
    <w:p>
      <w:pPr>
        <w:jc w:val="both"/>
        <w:ind w:firstLine="1304"/>
        <w:spacing w:after="0" w:line="273" w:lineRule="auto"/>
        <w:tabs>
          <w:tab w:leader="none" w:pos="2275"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There is entered against any Loan Party or Company Group Party (i) one or more final judgments or orders for the payment of money in an aggregate amount (as to all such judgments and orders) exceeding the Threshold Amount (to the extent not covered by independent third-party insurance, which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232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If a Material Adverse Effect would result as a result thereof: (i) an ERISA Event occurs with respect to a Pension Plan or Multiemployer Plan, or (ii) the Borrower or any ERISA Affiliate fails to pay when due, after the expiration of any applicable grace period, any installment payment with respect to its withdrawal liability under Section 4201 of ERISA under a Multiemployer Plan;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1304"/>
        <w:spacing w:after="0" w:line="255" w:lineRule="auto"/>
        <w:tabs>
          <w:tab w:leader="none" w:pos="232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material provision of any Loan Document, at any time after its execution and delivery and for any reason other than as expressly permitted hereunder or thereunder, or the satisfaction in full of all the Obligations (other than Contingent Obligations as to which no claim has been made), ceases to be in full force and effect; or any Loan Party or any Affiliate thereof that is the Equity Investor or a Subsidiary of the Equity Investor contests in any manner the validity or enforceability of any material provision of any Loan Document; or any Loan Party denies in writing that it has any or further liability or obligation under any provision of any Loan Document, or purports to revoke, terminate or rescind any provision of any Loan Document; or</w:t>
      </w:r>
    </w:p>
    <w:p>
      <w:pPr>
        <w:spacing w:after="0" w:line="192" w:lineRule="exact"/>
        <w:rPr>
          <w:rFonts w:ascii="Arial" w:cs="Arial" w:eastAsia="Arial" w:hAnsi="Arial"/>
          <w:sz w:val="18"/>
          <w:szCs w:val="18"/>
          <w:color w:val="auto"/>
        </w:rPr>
      </w:pPr>
    </w:p>
    <w:p>
      <w:pPr>
        <w:ind w:left="2180" w:hanging="876"/>
        <w:spacing w:after="0"/>
        <w:tabs>
          <w:tab w:leader="none" w:pos="21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232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for any reason (other than pursuant to the terms hereof or thereof) cease to create a valid and perfected (subject to </w:t>
      </w:r>
      <w:r>
        <w:rPr>
          <w:rFonts w:ascii="Arial" w:cs="Arial" w:eastAsia="Arial" w:hAnsi="Arial"/>
          <w:sz w:val="18"/>
          <w:szCs w:val="18"/>
          <w:u w:val="single" w:color="auto"/>
          <w:color w:val="auto"/>
        </w:rPr>
        <w:t>Section 4.7(b)</w:t>
      </w:r>
      <w:r>
        <w:rPr>
          <w:rFonts w:ascii="Arial" w:cs="Arial" w:eastAsia="Arial" w:hAnsi="Arial"/>
          <w:sz w:val="18"/>
          <w:szCs w:val="18"/>
          <w:color w:val="auto"/>
        </w:rPr>
        <w:t xml:space="preserve"> of the Security Agreement in the case of IP Rights) first priority Lien (subject to Permitted Prior Liens) on any material portion of the Collateral purported to be covered thereby, in each case for any reason other than the Administrative Agent’s failure to maintain possession of any equity certificates or other instruments delivered to it under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clause (l), all or any portion of the Pledged Equity shall be deemed to be a material portion of the Collateral.</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in the event that the Borrower fails to comply with the requirements of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until the expiration of the tenth day subsequent to the date the certificate calculating such compliance is required to be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(the period from such failure to comply to such tenth day, the “</w:t>
      </w:r>
      <w:r>
        <w:rPr>
          <w:rFonts w:ascii="Arial" w:cs="Arial" w:eastAsia="Arial" w:hAnsi="Arial"/>
          <w:sz w:val="17"/>
          <w:szCs w:val="17"/>
          <w:u w:val="single" w:color="auto"/>
          <w:color w:val="auto"/>
        </w:rPr>
        <w:t>Cure Period</w:t>
      </w:r>
      <w:r>
        <w:rPr>
          <w:rFonts w:ascii="Arial" w:cs="Arial" w:eastAsia="Arial" w:hAnsi="Arial"/>
          <w:sz w:val="17"/>
          <w:szCs w:val="17"/>
          <w:color w:val="auto"/>
        </w:rPr>
        <w:t>”), the Borrower shall have the right to issue Permitted Cure Securities for cash or otherwise receive cash contributions to the capital of the Borrower (collectively, the “</w:t>
      </w:r>
      <w:r>
        <w:rPr>
          <w:rFonts w:ascii="Arial" w:cs="Arial" w:eastAsia="Arial" w:hAnsi="Arial"/>
          <w:sz w:val="17"/>
          <w:szCs w:val="17"/>
          <w:u w:val="single" w:color="auto"/>
          <w:color w:val="auto"/>
        </w:rPr>
        <w:t>Cure Right</w:t>
      </w:r>
      <w:r>
        <w:rPr>
          <w:rFonts w:ascii="Arial" w:cs="Arial" w:eastAsia="Arial" w:hAnsi="Arial"/>
          <w:sz w:val="17"/>
          <w:szCs w:val="17"/>
          <w:color w:val="auto"/>
        </w:rPr>
        <w:t>”), and upon the receipt by the Borrower of such cash (the “</w:t>
      </w:r>
      <w:r>
        <w:rPr>
          <w:rFonts w:ascii="Arial" w:cs="Arial" w:eastAsia="Arial" w:hAnsi="Arial"/>
          <w:sz w:val="17"/>
          <w:szCs w:val="17"/>
          <w:u w:val="single" w:color="auto"/>
          <w:color w:val="auto"/>
        </w:rPr>
        <w:t>Cure Amount</w:t>
      </w:r>
      <w:r>
        <w:rPr>
          <w:rFonts w:ascii="Arial" w:cs="Arial" w:eastAsia="Arial" w:hAnsi="Arial"/>
          <w:sz w:val="17"/>
          <w:szCs w:val="17"/>
          <w:color w:val="auto"/>
        </w:rPr>
        <w:t xml:space="preserve">”) pursuant to the exercise by the Borrower of such Cure Right compliance with the covenants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shall be recalculated giving effect to the following pro forma adjustments:</w:t>
      </w:r>
    </w:p>
    <w:p>
      <w:pPr>
        <w:spacing w:after="0" w:line="178" w:lineRule="exact"/>
        <w:rPr>
          <w:sz w:val="20"/>
          <w:szCs w:val="20"/>
          <w:color w:val="auto"/>
        </w:rPr>
      </w:pPr>
    </w:p>
    <w:p>
      <w:pPr>
        <w:ind w:left="660" w:right="20" w:firstLine="1373"/>
        <w:spacing w:after="0" w:line="277" w:lineRule="auto"/>
        <w:tabs>
          <w:tab w:leader="none" w:pos="26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Borrower Cash Flow shall be increased, solely for the purpose of measuring compliance with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and not for any other purpose under this Agreement, by an amount equal to the Cure Amount; and</w:t>
      </w:r>
    </w:p>
    <w:p>
      <w:pPr>
        <w:spacing w:after="0" w:line="170" w:lineRule="exact"/>
        <w:rPr>
          <w:rFonts w:ascii="Arial" w:cs="Arial" w:eastAsia="Arial" w:hAnsi="Arial"/>
          <w:sz w:val="18"/>
          <w:szCs w:val="18"/>
          <w:color w:val="auto"/>
        </w:rPr>
      </w:pPr>
    </w:p>
    <w:p>
      <w:pPr>
        <w:jc w:val="both"/>
        <w:ind w:left="660" w:firstLine="1373"/>
        <w:spacing w:after="0" w:line="259" w:lineRule="auto"/>
        <w:tabs>
          <w:tab w:leader="none" w:pos="261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if, after giving effect to the foregoing recalculations, the Borrower shall then be in compliance with the requirements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the Borrower shall be deemed to have satisfied the requirements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relevant date of determination with the same effect as though there had been no failure to comply therewith at such date, and the applicable breach or default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that had occurred shall be deemed cured for the purposes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anything herein to the contrary, (a) in each two-fiscal-quarter period there shall be at least one fiscal quarter in which the Cure Right is not exercised, (b) in each eight-fiscal-quarter period, there shall be a period of at least four consecutive fiscal quarters during which the Cure Right is not exercised, (c) the Cure Amount shall be no greater than the amount required for purposes of complying with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relevant date of determination and (d) no more than five (5) Cure Rights may be exercised in the aggregate.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ind w:left="2180" w:hanging="876"/>
        <w:spacing w:after="0"/>
        <w:tabs>
          <w:tab w:leader="none" w:pos="2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36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declare the unpaid principal amount of the outstanding Term Loan,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at law or in equity;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 Event of Default set forth in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with respect to any Loan Party under the Bankruptcy Code, the unpaid principal amount of the outstanding Term Loan and all interest and other amounts as aforesaid shall automatically become due and payable, without further act of the Administrative Agent or any Lender.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8.03 </w:t>
      </w:r>
      <w:r>
        <w:rPr>
          <w:rFonts w:ascii="Arial" w:cs="Arial" w:eastAsia="Arial" w:hAnsi="Arial"/>
          <w:sz w:val="17"/>
          <w:szCs w:val="17"/>
          <w:u w:val="single" w:color="auto"/>
          <w:color w:val="auto"/>
        </w:rPr>
        <w:t>Application of Funds</w:t>
      </w:r>
      <w:r>
        <w:rPr>
          <w:rFonts w:ascii="Arial" w:cs="Arial" w:eastAsia="Arial" w:hAnsi="Arial"/>
          <w:sz w:val="17"/>
          <w:szCs w:val="17"/>
          <w:color w:val="auto"/>
        </w:rPr>
        <w:t xml:space="preserve">. After the exercise of remedies provided for in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any other Loan Document (or after the Term Loan has automatically become immediately due and payable as set forth in the proviso to </w:t>
      </w:r>
      <w:r>
        <w:rPr>
          <w:rFonts w:ascii="Arial" w:cs="Arial" w:eastAsia="Arial" w:hAnsi="Arial"/>
          <w:sz w:val="17"/>
          <w:szCs w:val="17"/>
          <w:u w:val="single" w:color="auto"/>
          <w:color w:val="auto"/>
        </w:rPr>
        <w:t>Section 8.02</w:t>
      </w:r>
      <w:r>
        <w:rPr>
          <w:rFonts w:ascii="Arial" w:cs="Arial" w:eastAsia="Arial" w:hAnsi="Arial"/>
          <w:sz w:val="17"/>
          <w:szCs w:val="17"/>
          <w:color w:val="auto"/>
        </w:rPr>
        <w:t>), subject to any Intercreditor Agreement then in effect, any amounts received on account of the Obligations shall be applied by the Administrative Agent in the following order:</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interest on the Term Loan and other Obligations arising under the Loan Documents, ratably among the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63"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Term Loan and Obligations then owing under Secured Hedge Agreements and Secured Cash Management Agreements, ratably among the Lenders,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ADMINISTRATIVE AGENT</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(a) Each of the Lenders hereby irrevocably appoints Bank of America to act on its behalf as the Administrative Agent hereunder and under the other Loan Documents and authorizes the Administrative Agent to take such actions on its behalf and to exercise such powers, rights and remedies as are delegated to the Administrative Agent by the terms hereof or thereof, together with such actions, powers, rights and remedies as are reasonably incidental thereto. The provisions of this Article are solely for the benefit of the Administrative Agent and the Lenders, and neither the Borrower nor any other Loan Party shall have rights as a third party beneficiary of any of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77" w:lineRule="exact"/>
        <w:rPr>
          <w:sz w:val="20"/>
          <w:szCs w:val="20"/>
          <w:color w:val="auto"/>
        </w:rPr>
      </w:pPr>
    </w:p>
    <w:p>
      <w:pPr>
        <w:jc w:val="both"/>
        <w:ind w:firstLine="1304"/>
        <w:spacing w:after="0" w:line="253" w:lineRule="auto"/>
        <w:tabs>
          <w:tab w:leader="none" w:pos="24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Administrative Agent shall also act as the “collateral agent” under the Loan Documents, and each of the Lenders (including in its capacities as a potential Hedge Bank and a potential Cash Management Bank)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11.04(c)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48"/>
        <w:spacing w:after="0" w:line="273"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of its Subsidiaries or other Affiliate thereof as if such Person were not the Administrative Agent hereunder and without any duty to account therefor to the Lenders.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The Administrative Agent shall not have any duties or obligations except those expressly set forth herein and in the other Loan Documents. 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 the Administrative Agent:</w:t>
      </w:r>
    </w:p>
    <w:p>
      <w:pPr>
        <w:spacing w:after="0" w:line="171" w:lineRule="exact"/>
        <w:rPr>
          <w:sz w:val="20"/>
          <w:szCs w:val="20"/>
          <w:color w:val="auto"/>
        </w:rPr>
      </w:pPr>
    </w:p>
    <w:p>
      <w:pPr>
        <w:jc w:val="both"/>
        <w:ind w:firstLine="1304"/>
        <w:spacing w:after="0" w:line="273" w:lineRule="auto"/>
        <w:tabs>
          <w:tab w:leader="none" w:pos="226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222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unless the Administrative Agent receives an indemnification satisfactory to it from the Lenders with respect to such action or that is contrary to any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Administrative Agent may seek clarification or direction from the Required Lenders prior to the exercise of any such instructed action and may refrain from acting until such clarification or direction has been provided;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1304"/>
        <w:spacing w:after="0" w:line="263" w:lineRule="auto"/>
        <w:tabs>
          <w:tab w:leader="none" w:pos="22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30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w:t>
      </w:r>
    </w:p>
    <w:p>
      <w:pPr>
        <w:spacing w:after="0" w:line="165" w:lineRule="exact"/>
        <w:rPr>
          <w:rFonts w:ascii="Arial" w:cs="Arial" w:eastAsia="Arial" w:hAnsi="Arial"/>
          <w:sz w:val="17"/>
          <w:szCs w:val="17"/>
          <w:color w:val="auto"/>
        </w:rPr>
      </w:pPr>
    </w:p>
    <w:p>
      <w:pPr>
        <w:ind w:firstLine="1304"/>
        <w:spacing w:after="0" w:line="277" w:lineRule="auto"/>
        <w:tabs>
          <w:tab w:leader="none" w:pos="219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be deemed not to have knowledge of any Default unless and until notice describing such Default as such is given to the Administrative Agent by the Borrower or a Lender;</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220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 or (vii) the creation, perfection or priority of Liens on the Collateral; and</w:t>
      </w:r>
    </w:p>
    <w:p>
      <w:pPr>
        <w:spacing w:after="0" w:line="191" w:lineRule="exact"/>
        <w:rPr>
          <w:rFonts w:ascii="Arial" w:cs="Arial" w:eastAsia="Arial" w:hAnsi="Arial"/>
          <w:sz w:val="18"/>
          <w:szCs w:val="18"/>
          <w:color w:val="auto"/>
        </w:rPr>
      </w:pPr>
    </w:p>
    <w:p>
      <w:pPr>
        <w:ind w:firstLine="1304"/>
        <w:spacing w:after="0" w:line="277" w:lineRule="auto"/>
        <w:tabs>
          <w:tab w:leader="none" w:pos="220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not be required by any provision in this Agreement or any Loan Document to account to any Lender for any sum or the profit element of any sum received by the Administrative Agent for its own account.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 Indemnification, Etc</w:t>
      </w:r>
      <w:r>
        <w:rPr>
          <w:rFonts w:ascii="Arial" w:cs="Arial" w:eastAsia="Arial" w:hAnsi="Arial"/>
          <w:sz w:val="17"/>
          <w:szCs w:val="17"/>
          <w:color w:val="auto"/>
        </w:rPr>
        <w:t>. The Administrative Agent shall not incur any liability (i) for any action taken or omitted to be taken by it in reliance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or (ii) in the absence of its own gross negligence or willful misconduct (such absence to be presumed unless otherwise determined by a court of competent jurisdiction by a final and nonappealable judgment). The Administrative Agent also may rely upon any statement made to it orally or by telephone and believed by it to have been made by the proper Person, and shall not incur any liability for relying thereon. In determining compliance with any condition hereunder to the making of the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the Term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firstLine="648"/>
        <w:spacing w:after="0" w:line="287" w:lineRule="auto"/>
        <w:rPr>
          <w:sz w:val="20"/>
          <w:szCs w:val="20"/>
          <w:color w:val="auto"/>
        </w:rPr>
      </w:pPr>
      <w:r>
        <w:rPr>
          <w:rFonts w:ascii="Arial" w:cs="Arial" w:eastAsia="Arial" w:hAnsi="Arial"/>
          <w:sz w:val="16"/>
          <w:szCs w:val="16"/>
          <w:color w:val="auto"/>
        </w:rPr>
        <w:t xml:space="preserve">Without limiting the foregoing, the Administrative Agent (i) may treat the payee of any promissory note as its holder until such promissory note has been assigned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(ii) may rely on the Register to the extent set forth in </w:t>
      </w:r>
      <w:r>
        <w:rPr>
          <w:rFonts w:ascii="Arial" w:cs="Arial" w:eastAsia="Arial" w:hAnsi="Arial"/>
          <w:sz w:val="16"/>
          <w:szCs w:val="16"/>
          <w:u w:val="single" w:color="auto"/>
          <w:color w:val="auto"/>
        </w:rPr>
        <w:t>Section 11.06(c)</w:t>
      </w:r>
      <w:r>
        <w:rPr>
          <w:rFonts w:ascii="Arial" w:cs="Arial" w:eastAsia="Arial" w:hAnsi="Arial"/>
          <w:sz w:val="16"/>
          <w:szCs w:val="16"/>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the Term Loan that by its terms must be fulfilled to the satisfaction of a Lender, may presume that such condition is satisfactory to such Lender unless the Administrative Agent shall have received notice to the contrary from such Lender sufficiently in advance of the making of the Term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9.05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xml:space="preserve">. The Administrative Agent may at any time give notice of its resignation to the Lenders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11.04</w:t>
      </w:r>
      <w:r>
        <w:rPr>
          <w:rFonts w:ascii="Arial" w:cs="Arial" w:eastAsia="Arial" w:hAnsi="Arial"/>
          <w:sz w:val="16"/>
          <w:szCs w:val="16"/>
          <w:color w:val="auto"/>
        </w:rPr>
        <w:t>, as well as all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73" w:lineRule="auto"/>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9.08 </w:t>
      </w:r>
      <w:r>
        <w:rPr>
          <w:rFonts w:ascii="Arial" w:cs="Arial" w:eastAsia="Arial" w:hAnsi="Arial"/>
          <w:sz w:val="17"/>
          <w:szCs w:val="17"/>
          <w:u w:val="single" w:color="auto"/>
          <w:color w:val="auto"/>
        </w:rPr>
        <w:t>No Other Duties, Etc</w:t>
      </w:r>
      <w:r>
        <w:rPr>
          <w:rFonts w:ascii="Arial" w:cs="Arial" w:eastAsia="Arial" w:hAnsi="Arial"/>
          <w:sz w:val="17"/>
          <w:szCs w:val="17"/>
          <w:color w:val="auto"/>
        </w:rPr>
        <w:t>. Anything herein to the contrary notwithstanding, the Arranger shall have no powers, duties or responsibilities under this Agreement or any of the other Loan Documents, except in its capacity, as applicable, as the Administrative Agent or a Lender hereunder.</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Loan Party, the Administrative Agent (irrespective of whether the principal of the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jc w:val="both"/>
        <w:ind w:firstLine="1304"/>
        <w:spacing w:after="0" w:line="257" w:lineRule="auto"/>
        <w:tabs>
          <w:tab w:leader="none" w:pos="217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Term Loan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left="2180" w:hanging="876"/>
        <w:spacing w:after="0"/>
        <w:tabs>
          <w:tab w:leader="none" w:pos="21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Sections 2.08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 The Administrative Agent (upon the instruction of the Required Lenders) is authorized to credit bid any Obligation held by any Lender on a pro rata basis in a proceeding under any Debtor Relief Law without the prior consent of such Lender.</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Collateral Matters</w:t>
      </w:r>
      <w:r>
        <w:rPr>
          <w:rFonts w:ascii="Arial" w:cs="Arial" w:eastAsia="Arial" w:hAnsi="Arial"/>
          <w:sz w:val="17"/>
          <w:szCs w:val="17"/>
          <w:color w:val="auto"/>
        </w:rPr>
        <w:t xml:space="preserve">. Except with respect to the exercise of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Each of the Lenders (including in its capacities as a potential Cash Management Bank and a potential Hedge Bank) irrevocably authorizes the Administrative Agent, at its option and in its discretion, to release any Lien on any property granted to or held by the Administrative Agent under any Loan Document (i) upon the Discharge of the Secured Obligations, (ii) that is sold or as part of or in connection with any sale permitted hereunder or under any other Loan Document, or (iii) if approved, authorized or ratified in writing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Upon request by the Administrative Agent at any time, the Required Lenders will confirm in writing the Administrative Agent’s authority to release or subordinate its interest in particular types or items of property as set forth herein or in the Collateral Documents. In each case as specified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Secured Cash Management Agreements and Secured Hedge Agreements</w:t>
      </w:r>
      <w:r>
        <w:rPr>
          <w:rFonts w:ascii="Arial" w:cs="Arial" w:eastAsia="Arial" w:hAnsi="Arial"/>
          <w:sz w:val="16"/>
          <w:szCs w:val="16"/>
          <w:color w:val="auto"/>
        </w:rPr>
        <w:t xml:space="preserve">. No Cash Management Bank or Hedge Bank that obtains the benefits of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660"/>
        <w:spacing w:after="0"/>
        <w:tabs>
          <w:tab w:leader="none" w:pos="14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31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jc w:val="both"/>
        <w:ind w:left="740" w:firstLine="1293"/>
        <w:spacing w:after="0" w:line="263" w:lineRule="auto"/>
        <w:tabs>
          <w:tab w:leader="none" w:pos="3146" w:val="left"/>
        </w:tabs>
        <w:numPr>
          <w:ilvl w:val="2"/>
          <w:numId w:val="15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Plans with respect to such Lender’s entrance into, participation in, administration of and performance of the Term Loan, the Term Loan Commitment or this Agreement,</w:t>
      </w:r>
    </w:p>
    <w:p>
      <w:pPr>
        <w:spacing w:after="0" w:line="183" w:lineRule="exact"/>
        <w:rPr>
          <w:rFonts w:ascii="Arial" w:cs="Arial" w:eastAsia="Arial" w:hAnsi="Arial"/>
          <w:sz w:val="18"/>
          <w:szCs w:val="18"/>
          <w:color w:val="auto"/>
        </w:rPr>
      </w:pPr>
    </w:p>
    <w:p>
      <w:pPr>
        <w:jc w:val="both"/>
        <w:ind w:left="740" w:firstLine="1293"/>
        <w:spacing w:after="0" w:line="273" w:lineRule="auto"/>
        <w:tabs>
          <w:tab w:leader="none" w:pos="3182" w:val="left"/>
        </w:tabs>
        <w:numPr>
          <w:ilvl w:val="2"/>
          <w:numId w:val="156"/>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 the Term Loan Commitment and this Agreement,</w:t>
      </w:r>
    </w:p>
    <w:p>
      <w:pPr>
        <w:spacing w:after="0" w:line="177" w:lineRule="exact"/>
        <w:rPr>
          <w:rFonts w:ascii="Arial" w:cs="Arial" w:eastAsia="Arial" w:hAnsi="Arial"/>
          <w:sz w:val="17"/>
          <w:szCs w:val="17"/>
          <w:color w:val="auto"/>
        </w:rPr>
      </w:pPr>
    </w:p>
    <w:p>
      <w:pPr>
        <w:jc w:val="both"/>
        <w:ind w:left="740" w:firstLine="1293"/>
        <w:spacing w:after="0" w:line="286" w:lineRule="auto"/>
        <w:tabs>
          <w:tab w:leader="none" w:pos="2900" w:val="left"/>
        </w:tabs>
        <w:numPr>
          <w:ilvl w:val="2"/>
          <w:numId w:val="156"/>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 the Term Loan Commitment and this Agreement, (C) the entrance into, participation in, administration of and performance of the Term Loan, the Term Loan Commitment and this Agreement satisfies the requirements of sub-sections</w:t>
      </w:r>
    </w:p>
    <w:p>
      <w:pPr>
        <w:spacing w:after="0" w:line="1" w:lineRule="exact"/>
        <w:rPr>
          <w:rFonts w:ascii="Arial" w:cs="Arial" w:eastAsia="Arial" w:hAnsi="Arial"/>
          <w:sz w:val="16"/>
          <w:szCs w:val="16"/>
          <w:color w:val="auto"/>
        </w:rPr>
      </w:pPr>
    </w:p>
    <w:p>
      <w:pPr>
        <w:jc w:val="both"/>
        <w:ind w:left="740" w:hanging="3"/>
        <w:spacing w:after="0" w:line="255" w:lineRule="auto"/>
        <w:tabs>
          <w:tab w:leader="none" w:pos="100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Term Loan, the Term Loan Commitment and this Agreement, or</w:t>
      </w:r>
    </w:p>
    <w:p>
      <w:pPr>
        <w:spacing w:after="0" w:line="189" w:lineRule="exact"/>
        <w:rPr>
          <w:rFonts w:ascii="Arial" w:cs="Arial" w:eastAsia="Arial" w:hAnsi="Arial"/>
          <w:sz w:val="18"/>
          <w:szCs w:val="18"/>
          <w:color w:val="auto"/>
        </w:rPr>
      </w:pPr>
    </w:p>
    <w:p>
      <w:pPr>
        <w:ind w:left="740" w:right="20" w:firstLine="1293"/>
        <w:spacing w:after="0" w:line="277" w:lineRule="auto"/>
        <w:tabs>
          <w:tab w:leader="none" w:pos="2894" w:val="left"/>
        </w:tabs>
        <w:numPr>
          <w:ilvl w:val="2"/>
          <w:numId w:val="15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1304"/>
        <w:spacing w:after="0" w:line="271" w:lineRule="auto"/>
        <w:tabs>
          <w:tab w:leader="none" w:pos="227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Term Loan, the Term Loan Commitment and this Agreement (including in connection with the reservation or exercise of any rights by the Administrative Agent under this Agreement, any Loan Document or any documents related hereto or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8" w:name="page139"/>
    <w:bookmarkEnd w:id="138"/>
    <w:p>
      <w:pPr>
        <w:jc w:val="both"/>
        <w:ind w:firstLine="648"/>
        <w:spacing w:after="0" w:line="271"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Erroneous Payments</w:t>
      </w:r>
      <w:r>
        <w:rPr>
          <w:rFonts w:ascii="Arial" w:cs="Arial" w:eastAsia="Arial" w:hAnsi="Arial"/>
          <w:sz w:val="17"/>
          <w:szCs w:val="17"/>
          <w:color w:val="auto"/>
        </w:rPr>
        <w:t>.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Arial" w:cs="Arial" w:eastAsia="Arial" w:hAnsi="Arial"/>
          <w:sz w:val="17"/>
          <w:szCs w:val="17"/>
          <w:u w:val="single" w:color="auto"/>
          <w:color w:val="auto"/>
        </w:rPr>
        <w:t>Rescindable Amount</w:t>
      </w:r>
      <w:r>
        <w:rPr>
          <w:rFonts w:ascii="Arial" w:cs="Arial" w:eastAsia="Arial" w:hAnsi="Arial"/>
          <w:sz w:val="17"/>
          <w:szCs w:val="17"/>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Without limitation of the foregoing or of any other provision in this Agreement, if at any time the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CONTINUING GUARANTY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Guarantee of Secured Obligations</w:t>
      </w:r>
      <w:r>
        <w:rPr>
          <w:rFonts w:ascii="Arial" w:cs="Arial" w:eastAsia="Arial" w:hAnsi="Arial"/>
          <w:sz w:val="16"/>
          <w:szCs w:val="16"/>
          <w:color w:val="auto"/>
        </w:rPr>
        <w:t xml:space="preserve">. Each of the Guarantors hereby, jointly and severally, absolutely, unconditionally and irrevocably, guarantees, as primary obligor and not merely as surety, to the Administrative Agent, for the benefit of the Secured Parties and their respective successors, indorsees, transferees and assigns, the prompt and complete payment and performance by each other Guarantor and the Borrower when due (whether at the stated maturity, by acceleration or otherwise) of the Secured Obligations. Each Guarantor shall be liable under its guarantee set forth in this </w:t>
      </w:r>
      <w:r>
        <w:rPr>
          <w:rFonts w:ascii="Arial" w:cs="Arial" w:eastAsia="Arial" w:hAnsi="Arial"/>
          <w:sz w:val="16"/>
          <w:szCs w:val="16"/>
          <w:u w:val="single" w:color="auto"/>
          <w:color w:val="auto"/>
        </w:rPr>
        <w:t>Section 10.01</w:t>
      </w:r>
      <w:r>
        <w:rPr>
          <w:rFonts w:ascii="Arial" w:cs="Arial" w:eastAsia="Arial" w:hAnsi="Arial"/>
          <w:sz w:val="16"/>
          <w:szCs w:val="16"/>
          <w:color w:val="auto"/>
        </w:rPr>
        <w:t>, without any limitation as to amount, for all present and future Secured Obligations, including specifically all future increases in the outstanding amount of the Term Loan or other Secured Obligations and other future increases in the Secured Obligations, whether or not any such increase is committed, contemplated or provided for by the Loan Documents, the Secured Cash Management Agreements or the Secured Hedge Agreements on the Closing Date. Without limiting the generality of the foregoing, each Guarantor’s liability shall extend to all Secured Obligations (including, without limitation, interest, fees, costs and expenses) that would be owed by any other obligor on the Secured Obligations but for the fact that they are unenforceable or not allowable due to the existence of a proceeding under any Debtor Relief Law involving such other obligor because it is the intention of the Guarantors and the Secured Parties that the Secured Obligations which are guaranteed by the Guarantors pursuant hereto should be determined without regard to any rule of law or order which may relieve the Borrower or any Guarantor of any portion of such Secured Obligations.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660"/>
        <w:spacing w:after="0"/>
        <w:tabs>
          <w:tab w:leader="none" w:pos="132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Limitation on Obligations Guaranteed</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4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hereof, the right of recovery against each Guarantor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not exceed $1.00 less than the lowest amount which would render such Guarantor’s obligations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void or voidable under applicable law, including, without limitation, the Uniform Fraudulent Conveyance Act, Uniform Fraudulent Transfer Act or any similar foreign, federal or state law to the extent applicable to the guaranty set forth herein and the obligations of each Guarantor hereunder. To effectuate the foregoing, the Administrative Agent and the Guarantors hereby irrevocably agree that the Secured Obligations of each Guarantor in respect of the guarantee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at any time shall be limited to the maximum amount as will result in the Secured Obligations of such Guarantor with respect thereto hereof not constituting a fraudulent transfer or conveyance after giving full effect to the liability under such guarantee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its related contribution rights but before taking into account any liabilities under any other guarantee by such Guarantor. For purposes of the foregoing, all guarantees of such Guarantor other than the guarantee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will be deemed to be enforceable and payable after the guaranty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To the fullest extent permitted by applicable law, this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shall be for the benefit solely of creditors and representatives of creditors of each Guarantor and not for the benefit of such Guarantor or the holders of any Equity Interest in such Guarantor.</w:t>
      </w:r>
    </w:p>
    <w:p>
      <w:pPr>
        <w:spacing w:after="0" w:line="181" w:lineRule="exact"/>
        <w:rPr>
          <w:rFonts w:ascii="Arial" w:cs="Arial" w:eastAsia="Arial" w:hAnsi="Arial"/>
          <w:sz w:val="17"/>
          <w:szCs w:val="17"/>
          <w:color w:val="auto"/>
        </w:rPr>
      </w:pPr>
    </w:p>
    <w:p>
      <w:pPr>
        <w:jc w:val="both"/>
        <w:ind w:firstLine="1304"/>
        <w:spacing w:after="0" w:line="263" w:lineRule="auto"/>
        <w:tabs>
          <w:tab w:leader="none" w:pos="2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Each Guarantor agrees that Secured Obligations may at any time and from time to time be incurred or permitted in an amount exceeding the maximum liability of such Guarantor under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without impairing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affecting the rights and remedies of any Secured Party hereunder.</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6"/>
          <w:szCs w:val="16"/>
          <w:u w:val="single" w:color="auto"/>
          <w:color w:val="auto"/>
        </w:rPr>
        <w:t>Nature of Guarantee; Continuing Guarantee; Waivers of Defenses Etc.</w:t>
      </w:r>
    </w:p>
    <w:p>
      <w:pPr>
        <w:spacing w:after="0" w:line="225" w:lineRule="exact"/>
        <w:rPr>
          <w:sz w:val="20"/>
          <w:szCs w:val="20"/>
          <w:color w:val="auto"/>
        </w:rPr>
      </w:pPr>
    </w:p>
    <w:p>
      <w:pPr>
        <w:jc w:val="both"/>
        <w:ind w:firstLine="1304"/>
        <w:spacing w:after="0" w:line="255" w:lineRule="auto"/>
        <w:tabs>
          <w:tab w:leader="none" w:pos="237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Each Guarantor understands and agrees that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construed as a continuing guarantee of payment and performance and not merely of collectability. Each Guarantor waives diligence, presentment, protest, marshaling, demand for payment, notice of dishonor, notice of default and notice of nonpayment to or upon the Borrower or any of the other Guarantors with respect to the Secured Obligations. Without limiting the generality of the foregoing, this Guaranty and the obligations of each Guarantor hereunder shall be valid and enforceable and shall not be subject to any reduction, limitation, impairment, set-off, defense, counterclaim, discharge or termination for any reason (other than a Discharge of the Secured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1304"/>
        <w:spacing w:after="0" w:line="269" w:lineRule="auto"/>
        <w:tabs>
          <w:tab w:leader="none" w:pos="220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Guarantor agrees that the Secured Obligations of each Guarantor hereunder are independent of the Secured Obligations of each other Guarantor and of any other guarantee of the Secured Obligations and 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other guarantee for the Secured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185" w:lineRule="exact"/>
        <w:rPr>
          <w:rFonts w:ascii="Arial" w:cs="Arial" w:eastAsia="Arial" w:hAnsi="Arial"/>
          <w:sz w:val="17"/>
          <w:szCs w:val="17"/>
          <w:color w:val="auto"/>
        </w:rPr>
      </w:pPr>
    </w:p>
    <w:p>
      <w:pPr>
        <w:jc w:val="both"/>
        <w:ind w:firstLine="1304"/>
        <w:spacing w:after="0" w:line="257" w:lineRule="auto"/>
        <w:tabs>
          <w:tab w:leader="none" w:pos="22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payment made by the Borrower, any of the Guarantors, any other guarantor or any other Person or received or collected by any Secured Party from the Borrower, any of the Guarantors,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remain liable for the Secured Obligations until the Discharge of the Secured Obligations.</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4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each Guarantor agrees that its obligations under and in respect of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any security interest securing the Secured Obligations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86" w:lineRule="exact"/>
        <w:rPr>
          <w:rFonts w:ascii="Arial" w:cs="Arial" w:eastAsia="Arial" w:hAnsi="Arial"/>
          <w:sz w:val="18"/>
          <w:szCs w:val="18"/>
          <w:color w:val="auto"/>
        </w:rPr>
      </w:pPr>
    </w:p>
    <w:p>
      <w:pPr>
        <w:jc w:val="both"/>
        <w:ind w:left="740" w:firstLine="1293"/>
        <w:spacing w:after="0" w:line="263" w:lineRule="auto"/>
        <w:tabs>
          <w:tab w:leader="none" w:pos="299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validity or enforceability of this Agreement or any other Loan Document or any Secured Hedge Agreement or Secured Cash Management Agreement, any of the Secured Obligations or any guarantee or right of offset with respect thereto at any time or from time to time held by any Secured Party;</w:t>
      </w:r>
    </w:p>
    <w:p>
      <w:pPr>
        <w:spacing w:after="0" w:line="183" w:lineRule="exact"/>
        <w:rPr>
          <w:rFonts w:ascii="Arial" w:cs="Arial" w:eastAsia="Arial" w:hAnsi="Arial"/>
          <w:sz w:val="18"/>
          <w:szCs w:val="18"/>
          <w:color w:val="auto"/>
        </w:rPr>
      </w:pPr>
    </w:p>
    <w:p>
      <w:pPr>
        <w:jc w:val="both"/>
        <w:ind w:left="740" w:firstLine="1293"/>
        <w:spacing w:after="0" w:line="263" w:lineRule="auto"/>
        <w:tabs>
          <w:tab w:leader="none" w:pos="318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Secured Obligations, or any amendment, supplement, modification or waiver of, or any consent to departure from, the Loan Documents or any Secured Hedge Agreement or Secured Cash Management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left="740" w:firstLine="1293"/>
        <w:spacing w:after="0" w:line="257" w:lineRule="auto"/>
        <w:tabs>
          <w:tab w:leader="none" w:pos="2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Secured Hedge Agreement or any Secured Cash Management Agreement, at law, in equity or otherwise) with respect to the Secured Obligations or any agreement relating thereto, or with respect to any other guaranty of or security for the payment of the Secured Obligations;</w:t>
      </w:r>
    </w:p>
    <w:p>
      <w:pPr>
        <w:spacing w:after="0" w:line="187" w:lineRule="exact"/>
        <w:rPr>
          <w:rFonts w:ascii="Arial" w:cs="Arial" w:eastAsia="Arial" w:hAnsi="Arial"/>
          <w:sz w:val="18"/>
          <w:szCs w:val="18"/>
          <w:color w:val="auto"/>
        </w:rPr>
      </w:pPr>
    </w:p>
    <w:p>
      <w:pPr>
        <w:ind w:left="740" w:firstLine="1293"/>
        <w:spacing w:after="0" w:line="277" w:lineRule="auto"/>
        <w:tabs>
          <w:tab w:leader="none" w:pos="2921"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change, reorganization or termination of the corporate structure or existence of the Borrower or any Guarantor or any of their Subsidiaries and any corresponding restructuring of the Secured Obligations;</w:t>
      </w:r>
    </w:p>
    <w:p>
      <w:pPr>
        <w:spacing w:after="0" w:line="170" w:lineRule="exact"/>
        <w:rPr>
          <w:rFonts w:ascii="Arial" w:cs="Arial" w:eastAsia="Arial" w:hAnsi="Arial"/>
          <w:sz w:val="18"/>
          <w:szCs w:val="18"/>
          <w:color w:val="auto"/>
        </w:rPr>
      </w:pPr>
    </w:p>
    <w:p>
      <w:pPr>
        <w:jc w:val="both"/>
        <w:ind w:left="740" w:firstLine="1293"/>
        <w:spacing w:after="0" w:line="263" w:lineRule="auto"/>
        <w:tabs>
          <w:tab w:leader="none" w:pos="329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settlement, compromise, release, or discharge of, or acceptance or refusal of any offer of payment or performance with respect to, or any substitution for, the Secured Obligations, or any subordination of the Secured Obligations to any other obligations;</w:t>
      </w:r>
    </w:p>
    <w:p>
      <w:pPr>
        <w:spacing w:after="0" w:line="183" w:lineRule="exact"/>
        <w:rPr>
          <w:rFonts w:ascii="Arial" w:cs="Arial" w:eastAsia="Arial" w:hAnsi="Arial"/>
          <w:sz w:val="18"/>
          <w:szCs w:val="18"/>
          <w:color w:val="auto"/>
        </w:rPr>
      </w:pPr>
    </w:p>
    <w:p>
      <w:pPr>
        <w:ind w:left="740" w:firstLine="1293"/>
        <w:spacing w:after="0" w:line="308" w:lineRule="auto"/>
        <w:tabs>
          <w:tab w:leader="none" w:pos="294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validity, perfection, non-perfection or lapse in perfection, priority or avoidance of any security interest or lien, the release of any or all collateral securing, or purporting to secure, the Secured Obligations or any other impairment of such collateral;</w:t>
      </w:r>
    </w:p>
    <w:p>
      <w:pPr>
        <w:spacing w:after="0" w:line="146" w:lineRule="exact"/>
        <w:rPr>
          <w:rFonts w:ascii="Arial" w:cs="Arial" w:eastAsia="Arial" w:hAnsi="Arial"/>
          <w:sz w:val="17"/>
          <w:szCs w:val="17"/>
          <w:color w:val="auto"/>
        </w:rPr>
      </w:pPr>
    </w:p>
    <w:p>
      <w:pPr>
        <w:jc w:val="both"/>
        <w:ind w:left="740" w:firstLine="1293"/>
        <w:spacing w:after="0" w:line="254" w:lineRule="auto"/>
        <w:tabs>
          <w:tab w:leader="none" w:pos="282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and</w:t>
      </w:r>
    </w:p>
    <w:p>
      <w:pPr>
        <w:spacing w:after="0" w:line="194" w:lineRule="exact"/>
        <w:rPr>
          <w:rFonts w:ascii="Arial" w:cs="Arial" w:eastAsia="Arial" w:hAnsi="Arial"/>
          <w:sz w:val="18"/>
          <w:szCs w:val="18"/>
          <w:color w:val="auto"/>
        </w:rPr>
      </w:pPr>
    </w:p>
    <w:p>
      <w:pPr>
        <w:jc w:val="both"/>
        <w:ind w:left="740" w:firstLine="1293"/>
        <w:spacing w:after="0" w:line="279" w:lineRule="auto"/>
        <w:tabs>
          <w:tab w:leader="none" w:pos="2972"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any other circumstance whatsoever which may or might in any manner or to any extent vary the risk of any Guarantor as an obligor in respect of the Secured Obligations or which constitutes, or might be construed to constitute, an equitable or legal discharge of the Borrower or any Guarantor for the Secured Obligations, or of such Guarantor under the guarantee contained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of any security interest granted by any Guarantor, whether in a proceeding under any Debtor Relief Law or in any other instance.</w:t>
      </w:r>
    </w:p>
    <w:p>
      <w:pPr>
        <w:spacing w:after="0" w:line="171" w:lineRule="exact"/>
        <w:rPr>
          <w:rFonts w:ascii="Arial" w:cs="Arial" w:eastAsia="Arial" w:hAnsi="Arial"/>
          <w:sz w:val="17"/>
          <w:szCs w:val="17"/>
          <w:color w:val="auto"/>
        </w:rPr>
      </w:pPr>
    </w:p>
    <w:p>
      <w:pPr>
        <w:jc w:val="both"/>
        <w:ind w:firstLine="1304"/>
        <w:spacing w:after="0" w:line="279" w:lineRule="auto"/>
        <w:tabs>
          <w:tab w:leader="none" w:pos="24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 addition each Guarantor further waives any and all other defenses, set-offs or counterclaims (other than a defense of payment or performance in full hereunder) which may at any time be available to or be asserted by it, the Borrower, or any other Guarantor or Person against any Secured Party, including, without limitation, failure of consideration, breach of warranty, statute of frauds, statute of limitations, accord and satisfaction and usury, other than payment in full in cash of all Secured Obligations and a termination of all Term Loan Commitments.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660"/>
        <w:spacing w:after="0"/>
        <w:tabs>
          <w:tab w:leader="none" w:pos="132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Rights of Reimbursement, Contribution and Subrogation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case any payment is made on account of the Secured Obligations by any Guarantor or is received or collected on account of the Secured Obligations from any Guarantor or its property:</w:t>
      </w:r>
    </w:p>
    <w:p>
      <w:pPr>
        <w:spacing w:after="0" w:line="170" w:lineRule="exact"/>
        <w:rPr>
          <w:sz w:val="20"/>
          <w:szCs w:val="20"/>
          <w:color w:val="auto"/>
        </w:rPr>
      </w:pPr>
    </w:p>
    <w:p>
      <w:pPr>
        <w:jc w:val="both"/>
        <w:ind w:firstLine="1304"/>
        <w:spacing w:after="0" w:line="289" w:lineRule="auto"/>
        <w:tabs>
          <w:tab w:leader="none" w:pos="218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If such payment is made by a Guarantor or the Borrower or from its property in respect of the Secured Obligations of another Guarantor, such Guarantor shall be entitled, subject to and upon (but not before) the Discharge of the Secured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 For purposes of the foregoing, all guarantees of such Guarantor other than the guarantee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 will be deemed to be enforceable and payable after the guaranty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w:t>
      </w:r>
    </w:p>
    <w:p>
      <w:pPr>
        <w:spacing w:after="0" w:line="166" w:lineRule="exact"/>
        <w:rPr>
          <w:rFonts w:ascii="Arial" w:cs="Arial" w:eastAsia="Arial" w:hAnsi="Arial"/>
          <w:sz w:val="16"/>
          <w:szCs w:val="16"/>
          <w:color w:val="auto"/>
        </w:rPr>
      </w:pPr>
    </w:p>
    <w:p>
      <w:pPr>
        <w:jc w:val="both"/>
        <w:ind w:firstLine="1304"/>
        <w:spacing w:after="0" w:line="270" w:lineRule="auto"/>
        <w:tabs>
          <w:tab w:leader="none" w:pos="232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right of subrogation of any Guarantor or the Borrower shall be enforceable solely after the Discharge of the Secured Obligations and solely against the Guarantors or the Borrower, and not against the Secured Parties, and neither the Administrative Agent nor any other Secured Party shall have any duty whatsoever to warrant, ensure or protect any such right of subrogation or to obtain, perfect, maintain, hold, enforce or retain any collateral securing or purporting to secure any of the Secured Obligations for any purpose related to any such right of subrogation. If subrogation is demanded by any Guarantor, then, after the Discharge of the Secured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Secured Obligations that may then exist that was not previously released or disposed of or acquired by the Administrative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1304"/>
        <w:spacing w:after="0" w:line="269" w:lineRule="auto"/>
        <w:tabs>
          <w:tab w:leader="none" w:pos="248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All rights and claims arising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or based upon or relating to any other right of reimbursement, indemnification, contribution or subrogation that may at any time arise or exist in favor of any Guarantor or the Borrower as to any payment on account of either (x) the Secured Obligations or (y) any other obligation that is secured by any collateral that also secures or purports to secure any of the Secured Obligations, in each case made by it or received or collected from its property, shall be fully subordinated to the Secured Obligations in all respects prior to the Discharge of the Secured Obligations. Until the Discharge of the Secured Obligations, no Guarantor may demand or receive any collateral security, payment or distribution whatsoever (whether in cash, property or securities or otherwise) on account of any such right or claim. If any such payment or distribution is made or becomes available to any Guarantor in any bankruptcy case, receivership, or insolvency or liquidation proceeding, such payment or distribution shall be delivered by the person making such payment or distribution directly to the Administrative Agent, for application to the payment of the Secured Obligations. If any such payment or distribution is received by any Guarantor, it shall be held by such Guarantor in trust, as trustee of an express trust for the benefit of the Secured Parties, and shall forthwith be transferred and delivered by such Guarantor to the Administrative Agent, in the exact form received and, if necessary, duly endorsed.</w:t>
      </w:r>
    </w:p>
    <w:p>
      <w:pPr>
        <w:spacing w:after="0" w:line="181" w:lineRule="exact"/>
        <w:rPr>
          <w:rFonts w:ascii="Arial" w:cs="Arial" w:eastAsia="Arial" w:hAnsi="Arial"/>
          <w:sz w:val="17"/>
          <w:szCs w:val="17"/>
          <w:color w:val="auto"/>
        </w:rPr>
      </w:pPr>
    </w:p>
    <w:p>
      <w:pPr>
        <w:jc w:val="both"/>
        <w:ind w:firstLine="1304"/>
        <w:spacing w:after="0" w:line="293" w:lineRule="auto"/>
        <w:tabs>
          <w:tab w:leader="none" w:pos="239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obligations of the Guarantors under this Agreement and the other Loan Documents, including their liability for the Secured Obligations and the enforceability of the security interests granted thereby, are not contingent upon the validity, legality, enforceability, collectability or sufficiency of any right of reimbursement, contribution or subrogation arising under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or otherwise. The invalidity, insufficiency, unenforceability or uncollectability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in immediately available funds at the Administrative Agent’s Office.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Subordination of Other Obligations</w:t>
      </w:r>
      <w:r>
        <w:rPr>
          <w:rFonts w:ascii="Arial" w:cs="Arial" w:eastAsia="Arial" w:hAnsi="Arial"/>
          <w:sz w:val="18"/>
          <w:szCs w:val="18"/>
          <w:color w:val="auto"/>
        </w:rPr>
        <w:t>. Any Indebtedness of the Borrower or any Guarantor now or hereafter held by any other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whether as original creditor, assignee, or by way of subrogation, restitution or otherwise, is hereby subordinated in right of payment to the Secured Obligations, and any such Indebtedness collected or received by the Obligee Guarantor after an Event of Default has occurred and is continuing shall be held in trust for the Administrative Agent on behalf of the Secured Parties and shall forthwith be paid over to the Administrative Agent for the benefit of the Secured Parties to be credited and applied against the Secured Obligations but without affecting, impairing or limiting in any manner the liability of the Obligee Guarantor under any other provision hereof.</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10.07 </w:t>
      </w:r>
      <w:r>
        <w:rPr>
          <w:rFonts w:ascii="Arial" w:cs="Arial" w:eastAsia="Arial" w:hAnsi="Arial"/>
          <w:sz w:val="16"/>
          <w:szCs w:val="16"/>
          <w:u w:val="single" w:color="auto"/>
          <w:color w:val="auto"/>
        </w:rPr>
        <w:t>Financial Condition of Borrower and Guarantors</w:t>
      </w:r>
      <w:r>
        <w:rPr>
          <w:rFonts w:ascii="Arial" w:cs="Arial" w:eastAsia="Arial" w:hAnsi="Arial"/>
          <w:sz w:val="16"/>
          <w:szCs w:val="16"/>
          <w:color w:val="auto"/>
        </w:rPr>
        <w:t>. Any Credit Extension may be made to the Borrower or continued from time to time and any Secured Hedge Agreements and Secured Cash Management Agreements may be entered into from time to time, in each case, without notice to or authorization from any Guarantor regardless of the financial or other condition of Borrower or any Guarantor at the time of any such grant or continuation or at the time such Secured Hedge Agreement or Secured Cash Management Agreement is entered into, as the case may be. No Secured Party shall have any obligation to disclose or discuss with any Guarantor its assessment, or any Guarantor’s assessment, of the financial condition of the Borrower or any other Guarantor. Each Guarantor has adequate means to obtain information from the Borrower and each Guarantor on a continuing basis concerning the financial condition of the Borrower and each other Guarantor and its ability to perform its obligations under the Loan Documents, Secured Cash Management Agreements and Secured Hedge Agreements, and each Guarantor assumes responsibility for being and keeping informed of the financial condition of the Borrower and each other Guarantor and of all circumstances bearing upon the risk of nonpayment of the Secured Obligations. Each Guarantor hereby waives and relinquishes any duty on the part of any Secured Party to disclose any matter, fact or thing relating to the business, operations or conditions of the Borrower or any other Guarantor now known or hereafter known by any Secured Party.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648"/>
        <w:spacing w:after="0" w:line="293"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Bankruptcy, Etc.</w:t>
      </w:r>
      <w:r>
        <w:rPr>
          <w:rFonts w:ascii="Arial" w:cs="Arial" w:eastAsia="Arial" w:hAnsi="Arial"/>
          <w:sz w:val="16"/>
          <w:szCs w:val="16"/>
          <w:color w:val="auto"/>
        </w:rPr>
        <w:t xml:space="preserve"> The obligations of the Guarantors hereunder shall not be reduced, limited, impaired, discharged, deferred, suspended or terminated by any case or proceeding under any Debtor Relief Law, voluntary or involuntary, involving the Borrower or any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Secured Obligations accruing or arising after the date on which such case or proceeding is commenced.</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Duration of Guaranty</w:t>
      </w:r>
      <w:r>
        <w:rPr>
          <w:rFonts w:ascii="Arial" w:cs="Arial" w:eastAsia="Arial" w:hAnsi="Arial"/>
          <w:sz w:val="18"/>
          <w:szCs w:val="18"/>
          <w:color w:val="auto"/>
        </w:rPr>
        <w:t xml:space="preserve">.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remain in full force and effect until the Discharge of the Secured Obligations.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Reinstatement</w:t>
      </w:r>
      <w:r>
        <w:rPr>
          <w:rFonts w:ascii="Arial" w:cs="Arial" w:eastAsia="Arial" w:hAnsi="Arial"/>
          <w:sz w:val="17"/>
          <w:szCs w:val="17"/>
          <w:color w:val="auto"/>
        </w:rPr>
        <w:t>. If at any time payment of any of the Secured Obligations or any portion thereof is rescinded, disgorged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or if any Secured Party repays, restores, or returns, in whole or in part, any payment or property previously paid or transferred to the Secured Party in full or partial satisfaction of any Secured Obligation, because the payment or transfer or the incurrence of the obligation is so satisfied, or is declared to be void, voidable, or otherwise recoverable under any state or federal law (collectively a “</w:t>
      </w:r>
      <w:r>
        <w:rPr>
          <w:rFonts w:ascii="Arial" w:cs="Arial" w:eastAsia="Arial" w:hAnsi="Arial"/>
          <w:sz w:val="17"/>
          <w:szCs w:val="17"/>
          <w:u w:val="single" w:color="auto"/>
          <w:color w:val="auto"/>
        </w:rPr>
        <w:t>Voidable Transfer</w:t>
      </w:r>
      <w:r>
        <w:rPr>
          <w:rFonts w:ascii="Arial" w:cs="Arial" w:eastAsia="Arial" w:hAnsi="Arial"/>
          <w:sz w:val="17"/>
          <w:szCs w:val="17"/>
          <w:color w:val="auto"/>
        </w:rPr>
        <w:t>”), or because such Secured Party elects to do so on the reasonable advice of its counsel in connection with an assertion that the payment, transfer or incurrence is a Voidable Transfer, then, as to any such Voidable Transfer and as to all reasonable costs, expenses and attorney’s fees of the Secured Party related thereto, the liability of each Guarantor hereunder will automatically and immediately be revived, reinstated, and restored and will exist as though the Voidable Transfer had never been made.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Keepwell</w:t>
      </w:r>
      <w:r>
        <w:rPr>
          <w:rFonts w:ascii="Arial" w:cs="Arial" w:eastAsia="Arial" w:hAnsi="Arial"/>
          <w:sz w:val="17"/>
          <w:szCs w:val="17"/>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or otherwise under this Guaranty, as it relates to such Loan Party, voidable under applicable law relating to fraudulent conveyance or fraudulent transfer, and not for any greater amount). The obligations of each Qualified ECP Guarantor under this Section shall remain in full force and effect until a Discharge of the Secured Obligations. Each Qualified ECP Guarantor intends that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shall be deemed to constitute, a “keepwell, support, or other agreement” for the benefit of each other Loan Party for all purposes of Section 1a(18)(A)(v)(II) of the Commodity Exchange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No amendment or waiver of any provision of this Agreement or any other Loan Document (other than the Fee Letter), and no consent to any departure by any Loan Party therefrom, shall be effective unless in writing signed by the Required Lenders and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waiver or consent shall:</w:t>
      </w:r>
    </w:p>
    <w:p>
      <w:pPr>
        <w:spacing w:after="0" w:line="171" w:lineRule="exact"/>
        <w:rPr>
          <w:sz w:val="20"/>
          <w:szCs w:val="20"/>
          <w:color w:val="auto"/>
        </w:rPr>
      </w:pPr>
    </w:p>
    <w:p>
      <w:pPr>
        <w:ind w:left="2240" w:hanging="936"/>
        <w:spacing w:after="0"/>
        <w:tabs>
          <w:tab w:leader="none" w:pos="22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waive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without the written consent of each Lender party hereto at the time of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Extension;</w:t>
      </w:r>
    </w:p>
    <w:p>
      <w:pPr>
        <w:spacing w:after="0" w:line="211" w:lineRule="exact"/>
        <w:rPr>
          <w:sz w:val="20"/>
          <w:szCs w:val="20"/>
          <w:color w:val="auto"/>
        </w:rPr>
      </w:pPr>
    </w:p>
    <w:p>
      <w:pPr>
        <w:ind w:left="2180" w:hanging="876"/>
        <w:spacing w:after="0"/>
        <w:tabs>
          <w:tab w:leader="none" w:pos="2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extend, increase or reinstate the Term Loan Commitment of any Lender without the consent of such Lender;</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or payments of increased costs or indemnities) of principal, interest, fees or other amounts due to the Lenders (or any of them) hereunder or under such other Loan Document without the written consent of each Lender directly entitled to such payment;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3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the Term Loan, or (subject to clause (ii) of the second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hereunder or under any other Loan Document without the written consent of each Lender directly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amend the definition of “Default Rate” or to waive any obligation of the Borrower to pay interest or any other Obligations at the Default Rate;</w:t>
      </w:r>
    </w:p>
    <w:p>
      <w:pPr>
        <w:spacing w:after="0" w:line="186" w:lineRule="exact"/>
        <w:rPr>
          <w:rFonts w:ascii="Arial" w:cs="Arial" w:eastAsia="Arial" w:hAnsi="Arial"/>
          <w:sz w:val="18"/>
          <w:szCs w:val="18"/>
          <w:color w:val="auto"/>
        </w:rPr>
      </w:pPr>
    </w:p>
    <w:p>
      <w:pPr>
        <w:ind w:left="2440" w:hanging="1136"/>
        <w:spacing w:after="0"/>
        <w:tabs>
          <w:tab w:leader="none" w:pos="24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change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each Lender;</w:t>
      </w:r>
    </w:p>
    <w:p>
      <w:pPr>
        <w:spacing w:after="0" w:line="210" w:lineRule="exact"/>
        <w:rPr>
          <w:rFonts w:ascii="Arial" w:cs="Arial" w:eastAsia="Arial" w:hAnsi="Arial"/>
          <w:sz w:val="16"/>
          <w:szCs w:val="16"/>
          <w:color w:val="auto"/>
        </w:rPr>
      </w:pPr>
    </w:p>
    <w:p>
      <w:pPr>
        <w:jc w:val="both"/>
        <w:ind w:firstLine="1304"/>
        <w:spacing w:after="0" w:line="311" w:lineRule="auto"/>
        <w:tabs>
          <w:tab w:leader="none" w:pos="224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change any provision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or the last sentence of </w:t>
      </w:r>
      <w:r>
        <w:rPr>
          <w:rFonts w:ascii="Arial" w:cs="Arial" w:eastAsia="Arial" w:hAnsi="Arial"/>
          <w:sz w:val="16"/>
          <w:szCs w:val="16"/>
          <w:u w:val="single" w:color="auto"/>
          <w:color w:val="auto"/>
        </w:rPr>
        <w:t>Section 9.09</w:t>
      </w:r>
      <w:r>
        <w:rPr>
          <w:rFonts w:ascii="Arial" w:cs="Arial" w:eastAsia="Arial" w:hAnsi="Arial"/>
          <w:sz w:val="16"/>
          <w:szCs w:val="16"/>
          <w:color w:val="auto"/>
        </w:rPr>
        <w:t xml:space="preserve"> or clause (x) of the first sentence of </w:t>
      </w:r>
      <w:r>
        <w:rPr>
          <w:rFonts w:ascii="Arial" w:cs="Arial" w:eastAsia="Arial" w:hAnsi="Arial"/>
          <w:sz w:val="16"/>
          <w:szCs w:val="16"/>
          <w:u w:val="single" w:color="auto"/>
          <w:color w:val="auto"/>
        </w:rPr>
        <w:t>Section 11.06(a)</w:t>
      </w:r>
      <w:r>
        <w:rPr>
          <w:rFonts w:ascii="Arial" w:cs="Arial" w:eastAsia="Arial" w:hAnsi="Arial"/>
          <w:sz w:val="16"/>
          <w:szCs w:val="16"/>
          <w:color w:val="auto"/>
        </w:rPr>
        <w:t xml:space="preserve"> without the written consent of each Lender;</w:t>
      </w:r>
    </w:p>
    <w:p>
      <w:pPr>
        <w:spacing w:after="0" w:line="148" w:lineRule="exact"/>
        <w:rPr>
          <w:rFonts w:ascii="Arial" w:cs="Arial" w:eastAsia="Arial" w:hAnsi="Arial"/>
          <w:sz w:val="16"/>
          <w:szCs w:val="16"/>
          <w:color w:val="auto"/>
        </w:rPr>
      </w:pPr>
    </w:p>
    <w:p>
      <w:pPr>
        <w:ind w:left="2240" w:hanging="936"/>
        <w:spacing w:after="0"/>
        <w:tabs>
          <w:tab w:leader="none" w:pos="22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in any transaction or series of related transactions without the written consent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each Lender;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2240" w:hanging="936"/>
        <w:spacing w:after="0"/>
        <w:tabs>
          <w:tab w:leader="none" w:pos="2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Guaranty without the written consent of each Lender;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each such Defaulting Lender shall be deemed to have approved or disapproved of any such amendment, waiver or consent hereunder in the same proportion as the non-Defaulting Lenders), except that (a) the Term Loan Commitment of such Lender may not be increased, extended or reinstated without the consent of such Lender, (b) no amendment, waiver or consent hereunder shall reduce the principal of, or the rate of interest specified herein on, the Term Loan payable hereunder or under any other Loan Document without the written consent of such Lender directly entitled to such amount and (c) no amendment, waiver or consent hereunder shall postpone any date fixed by this Agreement or any other Loan Document for any payment (excluding mandatory prepayments or payments of increased costs or indemnities) of principal or interest due to the Lenders (or any of them) hereunder or under such other Loan Document without the written consent of such Lender directly entitled to such payment.</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If any Lender does not consent to a proposed amendment, waiver, consent or release with respect to any Loan Document that requires the consent of each Lender or each directly and adversely affected Lender, or of each Lender directly entitled to a payment amount, or each affected Lender, and that has been approved by the Required Lenders, the Borrower may replace such non-consenting Lender in accordance with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non-consenting Lender such amendment, waiver, consent or release can be effected as a result of the assignment contemplated by such Section (together with all other such assignments required by the Borrower to be made pursuant to this paragraph).</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anything to the contrary in this Agreement or any other Loan Document (including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only the consent of the Administrative Agent and the Borrower shall be required to amend this Agreement to reflect an alternate rate of interest as to which the Required Lenders shall not have objected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u w:val="single" w:color="auto"/>
          <w:color w:val="auto"/>
        </w:rPr>
        <w:t>Notices; Effectiveness; Electronic Communications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217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left="740" w:firstLine="1293"/>
        <w:spacing w:after="0" w:line="277" w:lineRule="auto"/>
        <w:tabs>
          <w:tab w:leader="none" w:pos="31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if to the Loan Parties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3040" w:hanging="1007"/>
        <w:spacing w:after="0"/>
        <w:tabs>
          <w:tab w:leader="none" w:pos="30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to any Lender, to the address, telecopier number, electronic mail address or telephone number specified in its</w:t>
      </w:r>
    </w:p>
    <w:p>
      <w:pPr>
        <w:spacing w:after="0" w:line="46"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Administrative Questionnaire.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jc w:val="both"/>
        <w:ind w:firstLine="1304"/>
        <w:spacing w:after="0" w:line="255" w:lineRule="auto"/>
        <w:tabs>
          <w:tab w:leader="none" w:pos="226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4" w:lineRule="exact"/>
        <w:rPr>
          <w:sz w:val="20"/>
          <w:szCs w:val="20"/>
          <w:color w:val="auto"/>
        </w:rPr>
      </w:pPr>
    </w:p>
    <w:p>
      <w:pPr>
        <w:ind w:left="2600" w:hanging="1296"/>
        <w:spacing w:after="0"/>
        <w:tabs>
          <w:tab w:leader="none" w:pos="26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w:t>
      </w:r>
    </w:p>
    <w:p>
      <w:pPr>
        <w:spacing w:after="0" w:line="23" w:lineRule="exact"/>
        <w:rPr>
          <w:rFonts w:ascii="Arial" w:cs="Arial" w:eastAsia="Arial" w:hAnsi="Arial"/>
          <w:sz w:val="18"/>
          <w:szCs w:val="18"/>
          <w:color w:val="auto"/>
        </w:rPr>
      </w:pPr>
    </w:p>
    <w:p>
      <w:pPr>
        <w:jc w:val="both"/>
        <w:spacing w:after="0" w:line="267" w:lineRule="auto"/>
        <w:rPr>
          <w:rFonts w:ascii="Arial" w:cs="Arial" w:eastAsia="Arial" w:hAnsi="Arial"/>
          <w:sz w:val="18"/>
          <w:szCs w:val="18"/>
          <w:color w:val="auto"/>
        </w:rPr>
      </w:pPr>
      <w:r>
        <w:rPr>
          <w:rFonts w:ascii="Arial" w:cs="Arial" w:eastAsia="Arial" w:hAnsi="Arial"/>
          <w:sz w:val="17"/>
          <w:szCs w:val="17"/>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Loan Party,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 Party have any liability to any Loan Party, any Lender or any other Person for indirect, special, incidental, consequential or punitive damages (as opposed to direct or actual damages).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ind w:firstLine="1304"/>
        <w:spacing w:after="0" w:line="288" w:lineRule="auto"/>
        <w:tabs>
          <w:tab w:leader="none" w:pos="245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Loan Parties and the Administrative Agent may change its address, telecopier or telephone number for notices and other communications hereunder by notice to the other parties hereto. Each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8" w:lineRule="exact"/>
        <w:rPr>
          <w:rFonts w:ascii="Arial" w:cs="Arial" w:eastAsia="Arial" w:hAnsi="Arial"/>
          <w:sz w:val="16"/>
          <w:szCs w:val="16"/>
          <w:color w:val="auto"/>
        </w:rPr>
      </w:pPr>
    </w:p>
    <w:p>
      <w:pPr>
        <w:jc w:val="both"/>
        <w:ind w:firstLine="1304"/>
        <w:spacing w:after="0" w:line="272" w:lineRule="auto"/>
        <w:tabs>
          <w:tab w:leader="none" w:pos="227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11.03 </w:t>
      </w: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or in equity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[reserved], (c) any Lender from exercising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clauses (b), (c) and (d) of the preceding proviso and subject to </w:t>
      </w:r>
      <w:r>
        <w:rPr>
          <w:rFonts w:ascii="Arial" w:cs="Arial" w:eastAsia="Arial" w:hAnsi="Arial"/>
          <w:sz w:val="17"/>
          <w:szCs w:val="17"/>
          <w:u w:val="single" w:color="auto"/>
          <w:color w:val="auto"/>
        </w:rPr>
        <w:t>Section 2.12</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2521"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out-of-pocket expenses incurred by the Arranger, the Administrative Agent and their respective Affiliates (including the reasonable and documented or invoiced fees and expenses of one counsel per relevant jurisdiction for the Arranger and the Administrative Agent and one local counsel per relevant jurisdiction (which may include a single counsel acting in multiple jurisdictions) and one special counsel, including special regulatory counsel, per relevant jurisdiction), in connection with the Transactions and the contemplated use of proceeds thereof and the preparation, negotiation, execution, delivery and administration of this Agreement and the other Loan Documents and any amendments, modifications or waivers of the provisions hereof or thereof (whether or not the Transactions or the other transactions contemplated hereby or thereby shall be consummated) and any ancillary documents in connection therewith, (ii) [reserved] and (iii) all out-of-pocket expenses incurred by the Administrative Agent or any Lender (including the fees and expenses of any counsel for the Administrative Agent or any Lender), in connection with the enforcement or protection of its rights (A) in connection with this Agreement and the other Loan Documents and the Transactions, including its rights under this Section and (B) in connection with the Term Loan, including all such out-of-pocket expenses incurred during any workout, restructuring or negotiations in respect of the Term Loan. The Borrower acknowledges that the Administrative Agent or the Arranger may receive a benefit, including without limitation, a discount, credit or other accommodation, from counsel based on the fees such counsel may receive on account of their relationship with the Administrative Agent or the Arranger.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firstLine="1304"/>
        <w:spacing w:after="0" w:line="284" w:lineRule="auto"/>
        <w:tabs>
          <w:tab w:leader="none" w:pos="2234"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Arranger, the Administrative Agent (and any sub-agent thereof)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joint or several, (including the fees and expenses of one counsel and local and special counsel for the Indemnitees (except to the extent that an Indemnitee shall have been advised by counsel that there are actual conflicting interests or there exists the reasonable likelihood of a conflicting interest between such Indemnitee and another Indemnitee)) (in each case, other than with respect to those losses, claims, damages, liabilities and related expenses set forth in </w:t>
      </w:r>
      <w:r>
        <w:rPr>
          <w:rFonts w:ascii="Arial" w:cs="Arial" w:eastAsia="Arial" w:hAnsi="Arial"/>
          <w:sz w:val="16"/>
          <w:szCs w:val="16"/>
          <w:u w:val="single" w:color="auto"/>
          <w:color w:val="auto"/>
        </w:rPr>
        <w:t>Sections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which shall be governed by the relevant terms and conditions set forth therein)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and the consummation of the Transactions and the other transactions contemplated hereby or thereby, or, in the case of the Administrative Agent (and any sub-agent thereof) and its Related Parties only, the administration of this Agreement and the other Loan Documents, (ii) the Term Loan or the use or proposed use of the proceeds therefrom,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defense or proceeding relating to any of the foregoing, whether based on contract, tort or any other theory, whether brought by a third party or by the Borrower or any other Loan Party or any Affiliate thereof or any of the Borrower’s or such Loan Party’s or such Affiliate’s directors, shareholders or creditors,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(w) are determined by a court of competent jurisdiction by final and nonappealable judgment to have resulted from the gross negligence or willful misconduct of such Indemnitee, (x) result from a claim brought by one Indemnitee against another Indemnitee (other than claims against any Agent or Arranger in its capacity as such) and not arising out of or involving any act or omission of any Loan Party or any of their subsidiaries or Affiliates or (y) result from a claim brought by the Borrower or any other Loan Party against such Indemnitee for material breach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76" w:lineRule="exact"/>
        <w:rPr>
          <w:rFonts w:ascii="Arial" w:cs="Arial" w:eastAsia="Arial" w:hAnsi="Arial"/>
          <w:sz w:val="16"/>
          <w:szCs w:val="16"/>
          <w:color w:val="auto"/>
        </w:rPr>
      </w:pPr>
    </w:p>
    <w:p>
      <w:pPr>
        <w:jc w:val="both"/>
        <w:ind w:firstLine="1304"/>
        <w:spacing w:after="0" w:line="273" w:lineRule="auto"/>
        <w:tabs>
          <w:tab w:leader="none" w:pos="2319"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jc w:val="both"/>
        <w:ind w:firstLine="1304"/>
        <w:spacing w:after="0" w:line="269" w:lineRule="auto"/>
        <w:tabs>
          <w:tab w:leader="none" w:pos="2315"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To the fullest extent permitted by applicable Law, no Loan Party shall assert, and each Loan Party hereby waives any claim against the Arranger, the Administrative Agent, the Lenders and their respective affiliates and their and their respective affiliates’ officers, directors, employees, advisors, and agents (each, and including, without limitation, Bank of America, an “</w:t>
      </w:r>
      <w:r>
        <w:rPr>
          <w:rFonts w:ascii="Arial" w:cs="Arial" w:eastAsia="Arial" w:hAnsi="Arial"/>
          <w:sz w:val="17"/>
          <w:szCs w:val="17"/>
          <w:u w:val="single" w:color="auto"/>
          <w:color w:val="auto"/>
        </w:rPr>
        <w:t>Agent-Related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the other transactions contemplated hereby or thereby, the Term Loan or the use of the proceeds thereof. No Agent-Related Person shall be liable for any damages (whether direct or indirect, in contract or tort or otherwise) arising from the use by unintended recipients of any information or other materials distributed to such unintended recipients by such Agent-Related Person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Agent-Related Person as determined by a final and nonappealable judgment of a court of competent jurisdiction.</w:t>
      </w:r>
    </w:p>
    <w:p>
      <w:pPr>
        <w:spacing w:after="0" w:line="181" w:lineRule="exact"/>
        <w:rPr>
          <w:rFonts w:ascii="Arial" w:cs="Arial" w:eastAsia="Arial" w:hAnsi="Arial"/>
          <w:sz w:val="17"/>
          <w:szCs w:val="17"/>
          <w:color w:val="auto"/>
        </w:rPr>
      </w:pPr>
    </w:p>
    <w:p>
      <w:pPr>
        <w:ind w:left="2180" w:hanging="876"/>
        <w:spacing w:after="0"/>
        <w:tabs>
          <w:tab w:leader="none" w:pos="218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236" w:lineRule="exact"/>
        <w:rPr>
          <w:rFonts w:ascii="Arial" w:cs="Arial" w:eastAsia="Arial" w:hAnsi="Arial"/>
          <w:sz w:val="17"/>
          <w:szCs w:val="17"/>
          <w:color w:val="auto"/>
        </w:rPr>
      </w:pPr>
    </w:p>
    <w:p>
      <w:pPr>
        <w:ind w:firstLine="1304"/>
        <w:spacing w:after="0" w:line="308" w:lineRule="auto"/>
        <w:tabs>
          <w:tab w:leader="none" w:pos="2303"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agreements in this Section shall survive the resignation of the Administrative Agent, the replacement of any Lender, the termination of the Aggregate Commitments and the repayment, satisfaction or discharge of all the other Obligations.</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Payments Set Aside</w:t>
      </w:r>
      <w:r>
        <w:rPr>
          <w:rFonts w:ascii="Arial" w:cs="Arial" w:eastAsia="Arial" w:hAnsi="Arial"/>
          <w:sz w:val="18"/>
          <w:szCs w:val="18"/>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9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9" w:lineRule="auto"/>
        <w:tabs>
          <w:tab w:leader="none" w:pos="2305"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(x) neither the Borrower nor any other Loan Party may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11.06(b)</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u w:val="single" w:color="auto"/>
          <w:color w:val="auto"/>
        </w:rPr>
        <w:t>Section 11.06(d)</w:t>
      </w:r>
      <w:r>
        <w:rPr>
          <w:rFonts w:ascii="Arial" w:cs="Arial" w:eastAsia="Arial" w:hAnsi="Arial"/>
          <w:sz w:val="17"/>
          <w:szCs w:val="17"/>
          <w:color w:val="auto"/>
        </w:rPr>
        <w:t xml:space="preserve"> or (iii) by way of pledge or assignment of a security interest subject to the restrictions of </w:t>
      </w:r>
      <w:r>
        <w:rPr>
          <w:rFonts w:ascii="Arial" w:cs="Arial" w:eastAsia="Arial" w:hAnsi="Arial"/>
          <w:sz w:val="17"/>
          <w:szCs w:val="17"/>
          <w:u w:val="single" w:color="auto"/>
          <w:color w:val="auto"/>
        </w:rPr>
        <w:t>Section 11.06(f)</w:t>
      </w:r>
      <w:r>
        <w:rPr>
          <w:rFonts w:ascii="Arial" w:cs="Arial" w:eastAsia="Arial" w:hAnsi="Arial"/>
          <w:sz w:val="17"/>
          <w:szCs w:val="17"/>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Agent-Related Persons, the Indemnitees and the Related Parties of each Agent-Related Person, the Administrative Agent and the Lenders) any legal or equitable right, remedy or claim under or by reason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both"/>
        <w:ind w:firstLine="1304"/>
        <w:spacing w:after="0" w:line="263" w:lineRule="auto"/>
        <w:tabs>
          <w:tab w:leader="none" w:pos="238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Term Loan Commitment and the Term Loan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83" w:lineRule="exact"/>
        <w:rPr>
          <w:rFonts w:ascii="Arial" w:cs="Arial" w:eastAsia="Arial" w:hAnsi="Arial"/>
          <w:sz w:val="18"/>
          <w:szCs w:val="18"/>
          <w:color w:val="auto"/>
        </w:rPr>
      </w:pPr>
    </w:p>
    <w:p>
      <w:pPr>
        <w:ind w:left="2960" w:hanging="927"/>
        <w:spacing w:after="0"/>
        <w:tabs>
          <w:tab w:leader="none" w:pos="296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1300"/>
        <w:spacing w:after="0" w:line="263" w:lineRule="auto"/>
        <w:tabs>
          <w:tab w:leader="none" w:pos="3781" w:val="left"/>
        </w:tabs>
        <w:numPr>
          <w:ilvl w:val="2"/>
          <w:numId w:val="177"/>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Term Loan Commitment and the Term Loan at the time owing to it or in the case of an assignment to a Lender, an Affiliate of a Lender or an Approved Fund, no minimum amount need be assigned; and</w:t>
      </w:r>
    </w:p>
    <w:p>
      <w:pPr>
        <w:spacing w:after="0" w:line="183" w:lineRule="exact"/>
        <w:rPr>
          <w:rFonts w:ascii="Arial" w:cs="Arial" w:eastAsia="Arial" w:hAnsi="Arial"/>
          <w:sz w:val="18"/>
          <w:szCs w:val="18"/>
          <w:color w:val="auto"/>
        </w:rPr>
      </w:pPr>
    </w:p>
    <w:p>
      <w:pPr>
        <w:jc w:val="both"/>
        <w:ind w:left="1300" w:firstLine="1300"/>
        <w:spacing w:after="0" w:line="289" w:lineRule="auto"/>
        <w:tabs>
          <w:tab w:leader="none" w:pos="3560" w:val="left"/>
        </w:tabs>
        <w:numPr>
          <w:ilvl w:val="2"/>
          <w:numId w:val="177"/>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any Term Loan Commitment (which for this purpose includes the Term Loan outstanding thereunder) or, if such Term Loan Commitment is not then in effect, the principal outstanding balance of the Term Loan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6" w:lineRule="exact"/>
        <w:rPr>
          <w:rFonts w:ascii="Arial" w:cs="Arial" w:eastAsia="Arial" w:hAnsi="Arial"/>
          <w:sz w:val="16"/>
          <w:szCs w:val="16"/>
          <w:color w:val="auto"/>
        </w:rPr>
      </w:pPr>
    </w:p>
    <w:p>
      <w:pPr>
        <w:ind w:left="740" w:firstLine="1293"/>
        <w:spacing w:after="0" w:line="308" w:lineRule="auto"/>
        <w:tabs>
          <w:tab w:leader="none" w:pos="2980"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Each partial assignment shall be made as an assignment of a proportionate part of all the assigning Lender’s rights and obligations under this Agreement with respect to the Term Loan and Term Loan Commitment assigned;</w:t>
      </w:r>
    </w:p>
    <w:p>
      <w:pPr>
        <w:spacing w:after="0" w:line="146" w:lineRule="exact"/>
        <w:rPr>
          <w:rFonts w:ascii="Arial" w:cs="Arial" w:eastAsia="Arial" w:hAnsi="Arial"/>
          <w:sz w:val="17"/>
          <w:szCs w:val="17"/>
          <w:color w:val="auto"/>
        </w:rPr>
      </w:pPr>
    </w:p>
    <w:p>
      <w:pPr>
        <w:ind w:left="740" w:right="20" w:firstLine="1293"/>
        <w:spacing w:after="0" w:line="277" w:lineRule="auto"/>
        <w:tabs>
          <w:tab w:leader="none" w:pos="2873"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 (i)(B) of this Section and, in addition:</w:t>
      </w:r>
    </w:p>
    <w:p>
      <w:pPr>
        <w:spacing w:after="0" w:line="170" w:lineRule="exact"/>
        <w:rPr>
          <w:sz w:val="20"/>
          <w:szCs w:val="20"/>
          <w:color w:val="auto"/>
        </w:rPr>
      </w:pPr>
    </w:p>
    <w:p>
      <w:pPr>
        <w:jc w:val="both"/>
        <w:ind w:left="1300" w:firstLine="733"/>
        <w:spacing w:after="0" w:line="301" w:lineRule="auto"/>
        <w:tabs>
          <w:tab w:leader="none" w:pos="234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ind w:left="1300" w:firstLine="733"/>
        <w:spacing w:after="0" w:line="277" w:lineRule="auto"/>
        <w:tabs>
          <w:tab w:leader="none" w:pos="232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to a Person that is not a Lender, an Affiliate of a Lender or an Approved Fund.</w:t>
      </w:r>
    </w:p>
    <w:p>
      <w:pPr>
        <w:spacing w:after="0" w:line="170" w:lineRule="exact"/>
        <w:rPr>
          <w:sz w:val="20"/>
          <w:szCs w:val="20"/>
          <w:color w:val="auto"/>
        </w:rPr>
      </w:pPr>
    </w:p>
    <w:p>
      <w:pPr>
        <w:jc w:val="both"/>
        <w:ind w:left="740" w:firstLine="1293"/>
        <w:spacing w:after="0" w:line="259" w:lineRule="auto"/>
        <w:tabs>
          <w:tab w:leader="none" w:pos="292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jc w:val="both"/>
        <w:ind w:left="740" w:firstLine="1293"/>
        <w:spacing w:after="0" w:line="263" w:lineRule="auto"/>
        <w:tabs>
          <w:tab w:leader="none" w:pos="298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any Loan Party or any Loan Party’s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183" w:lineRule="exact"/>
        <w:rPr>
          <w:rFonts w:ascii="Arial" w:cs="Arial" w:eastAsia="Arial" w:hAnsi="Arial"/>
          <w:sz w:val="18"/>
          <w:szCs w:val="18"/>
          <w:color w:val="auto"/>
        </w:rPr>
      </w:pPr>
    </w:p>
    <w:p>
      <w:pPr>
        <w:jc w:val="both"/>
        <w:ind w:left="740" w:firstLine="1293"/>
        <w:spacing w:after="0" w:line="291" w:lineRule="auto"/>
        <w:tabs>
          <w:tab w:leader="none" w:pos="288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to pay and satisfy in full all payment liabilities then owed by such Defaulting Lender to the Administrative Agent or any Lender hereunder (and interest accrued thereon).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11.06(d)</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jc w:val="both"/>
        <w:ind w:firstLine="1304"/>
        <w:spacing w:after="0" w:line="254" w:lineRule="auto"/>
        <w:tabs>
          <w:tab w:leader="none" w:pos="249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shall maintain at the Administrative Agent’s Office a copy of each Assignment and Assumption delivered to it and a register for the recordation of the names and addresses of the Lenders, and the Term Loan Commitment of, and principal amounts (and stated interest) of the Term Loan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94" w:lineRule="exact"/>
        <w:rPr>
          <w:rFonts w:ascii="Arial" w:cs="Arial" w:eastAsia="Arial" w:hAnsi="Arial"/>
          <w:sz w:val="18"/>
          <w:szCs w:val="18"/>
          <w:color w:val="auto"/>
        </w:rPr>
      </w:pPr>
    </w:p>
    <w:p>
      <w:pPr>
        <w:jc w:val="both"/>
        <w:ind w:firstLine="1304"/>
        <w:spacing w:after="0" w:line="284" w:lineRule="auto"/>
        <w:tabs>
          <w:tab w:leader="none" w:pos="2194"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any Loan Party or the Administrative Agent sell participations to any Person (other than a natural person or a Loan Party or any Loan Party’s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Term Loan Commitment and/or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as if it were a Lender.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Term Loan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1304"/>
        <w:spacing w:after="0" w:line="301" w:lineRule="auto"/>
        <w:tabs>
          <w:tab w:leader="none" w:pos="2224"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Limitations upon Participant Rights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than the applicable Lender would have been entitled to receive with respect to the participation sold to such Participant. A Participant that would be a Foreign Lender if it were a Lender shall not be entitled to the benefits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as though it were a Lender.</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223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11.07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and the Lenders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respective obligations, (g) with the consent of the Borrower, (h) to market data collectors, similar services providers to the lending industry, and service providers to the Administrative Agent and the Lenders in connection with the administration and management of this Agreement and the other Loan Documents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Loan Party or any Subsidiary thereof relating to any Loan Party or any Subsidiary thereof or their respective businesses, other than any such information that is available to the Administrative Agent or any Lender on a nonconfidential basis prior to disclosure by any Loan Party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Loan Party or any such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right="20" w:firstLine="648"/>
        <w:spacing w:after="0" w:line="311"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11.08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or such Loan Party may be contingent or unmatured or are owed to a branch or office of such Lender different from the branch or office holding such deposit or obligated on such indebtedness.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11.09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Term Loan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an original executed counterpart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48"/>
        <w:spacing w:after="0" w:line="255"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the Credit Extension, and shall continue in full force and effect as long as the Term Loan or any other Obligation hereunder shall remain unpaid or unsatisfied.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is a Defaulting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5" w:lineRule="exact"/>
        <w:rPr>
          <w:sz w:val="20"/>
          <w:szCs w:val="20"/>
          <w:color w:val="auto"/>
        </w:rPr>
      </w:pPr>
    </w:p>
    <w:p>
      <w:pPr>
        <w:ind w:left="2180" w:hanging="876"/>
        <w:spacing w:after="0"/>
        <w:tabs>
          <w:tab w:leader="none" w:pos="2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4"/>
        <w:spacing w:after="0" w:line="311" w:lineRule="auto"/>
        <w:tabs>
          <w:tab w:leader="none" w:pos="21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such assigning Lender shall have received payment of an amount equal to the outstanding principal of its Term Loan,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8" w:name="page159"/>
    <w:bookmarkEnd w:id="158"/>
    <w:p>
      <w:pPr>
        <w:ind w:firstLine="1304"/>
        <w:spacing w:after="0" w:line="277" w:lineRule="auto"/>
        <w:tabs>
          <w:tab w:leader="none" w:pos="22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exercises its option hereunder to cause an assignment by such Lender, such Lender shall, promptly after receipt of written notice of such election, execute and deliver all documentation necessary to effectuate such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In the event that a Lender does not comply with the requirements of the immediately preceding sentence within one Business Day after receipt of such notice, such Lender shall be deemed to have executed and delivered such documentation as may be required to give effect to an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w:t>
      </w:r>
    </w:p>
    <w:p>
      <w:pPr>
        <w:spacing w:after="0" w:line="16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Governing Law; Jurisdiction; Etc.</w:t>
      </w:r>
    </w:p>
    <w:p>
      <w:pPr>
        <w:spacing w:after="0" w:line="225" w:lineRule="exact"/>
        <w:rPr>
          <w:sz w:val="20"/>
          <w:szCs w:val="20"/>
          <w:color w:val="auto"/>
        </w:rPr>
      </w:pPr>
    </w:p>
    <w:p>
      <w:pPr>
        <w:ind w:right="20" w:firstLine="1304"/>
        <w:spacing w:after="0" w:line="277" w:lineRule="auto"/>
        <w:tabs>
          <w:tab w:leader="none" w:pos="2184"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SHALL BE GOVERNED BY, AND CONSTRUED IN ACCORDANCE WITH, THE LAW OF THE STATE OF NEW YORK.</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2234"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PARTY HERETO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THE TRANSACTIONS CONTEMPLATED HEREBY OR THEREBY,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PROVIDED THAT IF NONE OF SUCH COURTS CAN AND WILL EXERCISE JURISDICTION, THEN SUCH EXCLUSIVITY SHALL NOT APPLY; PROVIDED, FURTHER, THAT SUIT FOR THE RECOGNITION OR ENFORCEMENT OF ANY JUDGMENT OBTAINED IN ANY SUCH NEW YORK STATE OR FEDERAL COURT MAY BE BROUGHT IN ANY COURT OF COMPETENT JURISDICTION.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1304"/>
        <w:spacing w:after="0" w:line="255" w:lineRule="auto"/>
        <w:tabs>
          <w:tab w:leader="none" w:pos="2481"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PARTY HERETO IRREVOCABLY AND UNCONDITIONALLY WAIVES, TO THE FULLEST EXTENT PERMITTED BY APPLICABLE LAW, ANY OBJECTION THAT IT MAY NOW OR HEREAFTER HAVE TO THE LAYING OF VENUE OF ANY SUIT, ACTION OR PROCEEDING ARISING OUT OF OR RELATING TO THIS AGREEMENT OR ANY OTHER LOAN DOCUMENT OR THE TRANSACTIONS IN ANY COURT REFERRED TO IN </w:t>
      </w:r>
      <w:r>
        <w:rPr>
          <w:rFonts w:ascii="Arial" w:cs="Arial" w:eastAsia="Arial" w:hAnsi="Arial"/>
          <w:sz w:val="18"/>
          <w:szCs w:val="18"/>
          <w:u w:val="single" w:color="auto"/>
          <w:color w:val="auto"/>
        </w:rPr>
        <w:t>SECTION 11.14(B)</w:t>
      </w:r>
      <w:r>
        <w:rPr>
          <w:rFonts w:ascii="Arial" w:cs="Arial" w:eastAsia="Arial" w:hAnsi="Arial"/>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28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TO THE FULLEST EXTENT PERMITTED BY APPLICABLE LAW, ANY RIGHT IT MAY HAVE TO A TRIAL BY JURY IN ANY ACTION, CLAIM, COUNTERCLAIM OR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11.16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 and the Lenders are arm’s-length commercial transactions between the Loan Parties and their respective Affiliates, on the one hand, and the Administrative Agent, the Arranger and the Lenders, on the other hand, that do not directly or indirectly give rise to, nor does any Loan Party rely on, any fiduciary duty on the party of any of the Administrative Agent, the Arranger or the Lenders, (B) each of the Loan Parties has consulted its own legal, accounting, regulatory and tax advisors to the extent it has deemed appropriate, and none of the Administrative Agent, the Arranger or the Lenders is advising the Loan Parties as to any legal, tax, investment, accounting or regulatory matters in any jurisdiction and (C) each of the Loan Parties is capable of evaluating and understanding, and understands and accepts, the terms, risks and conditions of the Transactions and the other transactions contemplated hereby and by the other Loan Documents; (ii) (A) the Administrative Agent, the Arranger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 nor the Lenders has any obligation to the Loan Parties or any of their respective Affiliates with respect to the Transactions or the other transactions contemplated hereby except those obligations expressly set forth herein and in the other Loan Documents; and (iii) the Administrative Agent, the Arranger and the Lenders and their respective Affiliates may be engaged in a broad range of transactions that involve interests that differ from those of the Loan Parties and their respective Affiliates, and neither the Administrative Agent, the Arranger nor the Lenders nor their respective Affiliates has any obligation to disclose any of such interests and transactions to, or furnish confidential information obtained by them from other companies to, the Loan Parties or any of their respective Affiliates. To the fullest extent permitted by law, each of the Loan Parties hereby waives and releases any claims that it may have against the Administrative Agent, the Arranger or the Lenders with respect to any breach or alleged breach of agency or fiduciary duty in connection with any aspect of any transaction contemplated hereby, and agrees that none of the Administrative Agent, the Arranger or the Lenders shall have any liability (whether direct or indirect) to the Loan Parties in respect of such a fiduciary duty claim or to any Person asserting a fiduciary duty claim on behalf of or in right of the Loan Parties, including the stockholders, employees or creditors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jc w:val="both"/>
        <w:ind w:firstLine="648"/>
        <w:spacing w:after="0" w:line="254"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“execution,” “execute”, “signed,” “signature,” and words of like import in or related to this Agreement or any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11.18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that is subject to the Act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6"/>
          <w:szCs w:val="16"/>
          <w:u w:val="single" w:color="auto"/>
          <w:color w:val="auto"/>
        </w:rPr>
        <w:t>Act</w:t>
      </w:r>
      <w:r>
        <w:rPr>
          <w:rFonts w:ascii="Arial" w:cs="Arial" w:eastAsia="Arial" w:hAnsi="Arial"/>
          <w:sz w:val="16"/>
          <w:szCs w:val="16"/>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 This notice is given in accordance with the requirements of the Act and is effective for each Lender.</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xml:space="preserve">. PURSUANT TO THE EXPRESS TERMS OF EACH INTERCREDITOR AGREEMENT, IN THE EVENT OF ANY CONFLICT OR INCONSISTENCY BETWEEN THE TERMS OF THE RELEVANT INTERCREDITOR AGREEMENT AND ANY OF THE LOAN DOCUMENTS, THE PROVISIONS OF THE RELEVANT INTERCREDITOR AGREEMENT SHALL GOVERN AND CONTROL (EXCEPT IN THE CASE OF A CONFLICT WITH ANY PROVISION OF SUCH INTERCREDITOR AGREEMENT REFERENCING THE RIGHTS, DUTIES, PRIVILEGES, IMMUNITIES AND INDEMNITIES OF THE ADMINISTRATIVE AGENT,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AGREEMENT WILL CONTROL).</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11.21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firstLine="1304"/>
        <w:spacing w:after="0" w:line="277" w:lineRule="auto"/>
        <w:tabs>
          <w:tab w:leader="none" w:pos="23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960" w:hanging="927"/>
        <w:spacing w:after="0"/>
        <w:tabs>
          <w:tab w:leader="none" w:pos="29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740" w:firstLine="1293"/>
        <w:spacing w:after="0" w:line="259" w:lineRule="auto"/>
        <w:tabs>
          <w:tab w:leader="none" w:pos="30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740" w:right="20" w:firstLine="1293"/>
        <w:spacing w:after="0" w:line="277" w:lineRule="auto"/>
        <w:tabs>
          <w:tab w:leader="none" w:pos="287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To the extent that the Loan Documents provide support, through a guarantee or otherwise, for a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1304"/>
        <w:spacing w:after="0" w:line="287" w:lineRule="auto"/>
        <w:tabs>
          <w:tab w:leader="none" w:pos="227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auto"/>
        </w:rPr>
      </w:pPr>
    </w:p>
    <w:p>
      <w:pPr>
        <w:ind w:left="2180" w:hanging="876"/>
        <w:spacing w:after="0"/>
        <w:tabs>
          <w:tab w:leader="none" w:pos="2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11.22</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§252.82(b);</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§47.3(b);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§382.2(b).</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 (D).</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and delivered by their respective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CLEARWAY ENERGY OPERATING LLC</w:t>
            </w:r>
          </w:p>
        </w:tc>
      </w:tr>
      <w:tr>
        <w:trPr>
          <w:trHeight w:val="432"/>
        </w:trPr>
        <w:tc>
          <w:tcPr>
            <w:tcW w:w="350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r>
        <w:trPr>
          <w:trHeight w:val="414"/>
        </w:trPr>
        <w:tc>
          <w:tcPr>
            <w:tcW w:w="350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DGPV HOLDING LLC</w:t>
            </w:r>
          </w:p>
        </w:tc>
      </w:tr>
      <w:tr>
        <w:trPr>
          <w:trHeight w:val="432"/>
        </w:trPr>
        <w:tc>
          <w:tcPr>
            <w:tcW w:w="350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452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MARSH LANDING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4520"/>
        <w:spacing w:after="0" w:line="250" w:lineRule="auto"/>
        <w:rPr>
          <w:sz w:val="20"/>
          <w:szCs w:val="20"/>
          <w:color w:val="auto"/>
        </w:rPr>
      </w:pPr>
      <w:r>
        <w:rPr>
          <w:rFonts w:ascii="Arial" w:cs="Arial" w:eastAsia="Arial" w:hAnsi="Arial"/>
          <w:sz w:val="18"/>
          <w:szCs w:val="18"/>
          <w:b w:val="1"/>
          <w:bCs w:val="1"/>
          <w:color w:val="auto"/>
        </w:rPr>
        <w:t>THERMAL CANADA INFRASTRUCTURE HOLDINGS LLC THERMAL HAWAII DEVELOPMENT HOLDINGS LLC THERMAL INFRASTRUCTURE DEVELOPMENT HOLDINGS LLC UB FUEL CELL, LLC</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WV WIND HOLDINGS LLC</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164" w:name="page165"/>
    <w:bookmarkEnd w:id="164"/>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Administrative Agent and Lender</w:t>
      </w:r>
    </w:p>
    <w:p>
      <w:pPr>
        <w:spacing w:after="0" w:line="23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Holli Balzer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Holli Balzer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1)"/>
      <w:numFmt w:val="lowerLetter"/>
      <w:start w:val="4"/>
    </w:lvl>
  </w:abstractNum>
  <w:abstractNum w:abstractNumId="2">
    <w:nsid w:val="5FB8370B"/>
    <w:multiLevelType w:val="hybridMultilevel"/>
    <w:lvl w:ilvl="0">
      <w:lvlJc w:val="left"/>
      <w:lvlText w:val="%1"/>
      <w:numFmt w:val="decimal"/>
      <w:start w:val="104"/>
    </w:lvl>
  </w:abstractNum>
  <w:abstractNum w:abstractNumId="3">
    <w:nsid w:val="50801EE1"/>
    <w:multiLevelType w:val="hybridMultilevel"/>
    <w:lvl w:ilvl="0">
      <w:lvlJc w:val="left"/>
      <w:lvlText w:val="%1."/>
      <w:numFmt w:val="upperLetter"/>
      <w:start w:val="2"/>
    </w:lvl>
  </w:abstractNum>
  <w:abstractNum w:abstractNumId="4">
    <w:nsid w:val="488AC1A"/>
    <w:multiLevelType w:val="hybridMultilevel"/>
    <w:lvl w:ilvl="0">
      <w:lvlJc w:val="left"/>
      <w:lvlText w:val="%1."/>
      <w:numFmt w:val="upperLetter"/>
      <w:start w:val="3"/>
    </w:lvl>
  </w:abstractNum>
  <w:abstractNum w:abstractNumId="5">
    <w:nsid w:val="5FB8011C"/>
    <w:multiLevelType w:val="hybridMultilevel"/>
    <w:lvl w:ilvl="0">
      <w:lvlJc w:val="left"/>
      <w:lvlText w:val="%1."/>
      <w:numFmt w:val="upperLetter"/>
      <w:start w:val="4"/>
    </w:lvl>
  </w:abstractNum>
  <w:abstractNum w:abstractNumId="6">
    <w:nsid w:val="6AA78F7F"/>
    <w:multiLevelType w:val="hybridMultilevel"/>
    <w:lvl w:ilvl="0">
      <w:lvlJc w:val="left"/>
      <w:lvlText w:val="%1."/>
      <w:numFmt w:val="upperLetter"/>
      <w:start w:val="5"/>
    </w:lvl>
  </w:abstractNum>
  <w:abstractNum w:abstractNumId="7">
    <w:nsid w:val="7672BD23"/>
    <w:multiLevelType w:val="hybridMultilevel"/>
    <w:lvl w:ilvl="0">
      <w:lvlJc w:val="left"/>
      <w:lvlText w:val="%1."/>
      <w:numFmt w:val="upperLetter"/>
      <w:start w:val="6"/>
    </w:lvl>
  </w:abstractNum>
  <w:abstractNum w:abstractNumId="8">
    <w:nsid w:val="6FC75AF8"/>
    <w:multiLevelType w:val="hybridMultilevel"/>
    <w:lvl w:ilvl="0">
      <w:lvlJc w:val="left"/>
      <w:lvlText w:val="%1."/>
      <w:numFmt w:val="upperLetter"/>
      <w:start w:val="7"/>
    </w:lvl>
  </w:abstractNum>
  <w:abstractNum w:abstractNumId="9">
    <w:nsid w:val="6A5F7029"/>
    <w:multiLevelType w:val="hybridMultilevel"/>
    <w:lvl w:ilvl="0">
      <w:lvlJc w:val="left"/>
      <w:lvlText w:val="%1."/>
      <w:numFmt w:val="upperLetter"/>
      <w:start w:val="8"/>
    </w:lvl>
  </w:abstractNum>
  <w:abstractNum w:abstractNumId="10">
    <w:nsid w:val="7D5E18F8"/>
    <w:multiLevelType w:val="hybridMultilevel"/>
    <w:lvl w:ilvl="0">
      <w:lvlJc w:val="left"/>
      <w:lvlText w:val="%1."/>
      <w:numFmt w:val="upperLetter"/>
      <w:start w:val="9"/>
    </w:lvl>
  </w:abstractNum>
  <w:abstractNum w:abstractNumId="11">
    <w:nsid w:val="5F3534A4"/>
    <w:multiLevelType w:val="hybridMultilevel"/>
    <w:lvl w:ilvl="0">
      <w:lvlJc w:val="left"/>
      <w:lvlText w:val="%1."/>
      <w:numFmt w:val="upperLetter"/>
      <w:start w:val="10"/>
    </w:lvl>
  </w:abstractNum>
  <w:abstractNum w:abstractNumId="12">
    <w:nsid w:val="73A1821B"/>
    <w:multiLevelType w:val="hybridMultilevel"/>
    <w:lvl w:ilvl="0">
      <w:lvlJc w:val="left"/>
      <w:lvlText w:val="%1."/>
      <w:numFmt w:val="upperLetter"/>
      <w:start w:val="11"/>
    </w:lvl>
  </w:abstractNum>
  <w:abstractNum w:abstractNumId="13">
    <w:nsid w:val="7DE67713"/>
    <w:multiLevelType w:val="hybridMultilevel"/>
    <w:lvl w:ilvl="0">
      <w:lvlJc w:val="left"/>
      <w:lvlText w:val="%1."/>
      <w:numFmt w:val="upperLetter"/>
      <w:start w:val="12"/>
    </w:lvl>
  </w:abstractNum>
  <w:abstractNum w:abstractNumId="14">
    <w:nsid w:val="555C55B5"/>
    <w:multiLevelType w:val="hybridMultilevel"/>
    <w:lvl w:ilvl="0">
      <w:lvlJc w:val="left"/>
      <w:lvlText w:val="%1."/>
      <w:numFmt w:val="upperLetter"/>
      <w:start w:val="13"/>
    </w:lvl>
  </w:abstractNum>
  <w:abstractNum w:abstractNumId="15">
    <w:nsid w:val="3FA62ACA"/>
    <w:multiLevelType w:val="hybridMultilevel"/>
    <w:lvl w:ilvl="0">
      <w:lvlJc w:val="left"/>
      <w:lvlText w:val="(%1)"/>
      <w:numFmt w:val="lowerLetter"/>
      <w:start w:val="1"/>
    </w:lvl>
  </w:abstractNum>
  <w:abstractNum w:abstractNumId="16">
    <w:nsid w:val="14FCE74E"/>
    <w:multiLevelType w:val="hybridMultilevel"/>
    <w:lvl w:ilvl="0">
      <w:lvlJc w:val="left"/>
      <w:lvlText w:val="(%1)"/>
      <w:numFmt w:val="lowerLetter"/>
      <w:start w:val="3"/>
    </w:lvl>
  </w:abstractNum>
  <w:abstractNum w:abstractNumId="17">
    <w:nsid w:val="6A3DD3E8"/>
    <w:multiLevelType w:val="hybridMultilevel"/>
    <w:lvl w:ilvl="0">
      <w:lvlJc w:val="left"/>
      <w:lvlText w:val="%1."/>
      <w:numFmt w:val="upperLetter"/>
      <w:start w:val="14"/>
    </w:lvl>
  </w:abstractNum>
  <w:abstractNum w:abstractNumId="18">
    <w:nsid w:val="71C9129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9">
    <w:nsid w:val="9DAF632"/>
    <w:multiLevelType w:val="hybridMultilevel"/>
    <w:lvl w:ilvl="0">
      <w:lvlJc w:val="left"/>
      <w:lvlText w:val="(%1)"/>
      <w:numFmt w:val="lowerLetter"/>
      <w:start w:val="1"/>
    </w:lvl>
  </w:abstractNum>
  <w:abstractNum w:abstractNumId="20">
    <w:nsid w:val="53299938"/>
    <w:multiLevelType w:val="hybridMultilevel"/>
    <w:lvl w:ilvl="0">
      <w:lvlJc w:val="left"/>
      <w:lvlText w:val="(%1)"/>
      <w:numFmt w:val="lowerLetter"/>
      <w:start w:val="2"/>
    </w:lvl>
  </w:abstractNum>
  <w:abstractNum w:abstractNumId="21">
    <w:nsid w:val="1FBFE8E0"/>
    <w:multiLevelType w:val="hybridMultilevel"/>
    <w:lvl w:ilvl="0">
      <w:lvlJc w:val="left"/>
      <w:lvlText w:val="%1."/>
      <w:numFmt w:val="upperLetter"/>
      <w:start w:val="1"/>
    </w:lvl>
  </w:abstractNum>
  <w:abstractNum w:abstractNumId="22">
    <w:nsid w:val="5092CA79"/>
    <w:multiLevelType w:val="hybridMultilevel"/>
    <w:lvl w:ilvl="0">
      <w:lvlJc w:val="left"/>
      <w:lvlText w:val="%1"/>
      <w:numFmt w:val="lowerLetter"/>
      <w:start w:val="1"/>
    </w:lvl>
    <w:lvl w:ilvl="1">
      <w:lvlJc w:val="left"/>
      <w:lvlText w:val="%2."/>
      <w:numFmt w:val="lowerRoman"/>
      <w:start w:val="2"/>
    </w:lvl>
  </w:abstractNum>
  <w:abstractNum w:abstractNumId="23">
    <w:nsid w:val="1D545C4D"/>
    <w:multiLevelType w:val="hybridMultilevel"/>
    <w:lvl w:ilvl="0">
      <w:lvlJc w:val="left"/>
      <w:lvlText w:val="(%1)"/>
      <w:numFmt w:val="lowerLetter"/>
      <w:start w:val="1"/>
    </w:lvl>
    <w:lvl w:ilvl="1">
      <w:lvlJc w:val="left"/>
      <w:lvlText w:val="%2."/>
      <w:numFmt w:val="lowerRoman"/>
      <w:start w:val="3"/>
    </w:lvl>
  </w:abstractNum>
  <w:abstractNum w:abstractNumId="24">
    <w:nsid w:val="59ADEA3D"/>
    <w:multiLevelType w:val="hybridMultilevel"/>
    <w:lvl w:ilvl="0">
      <w:lvlJc w:val="left"/>
      <w:lvlText w:val="%1."/>
      <w:numFmt w:val="upperLetter"/>
      <w:start w:val="2"/>
    </w:lvl>
    <w:lvl w:ilvl="1">
      <w:lvlJc w:val="left"/>
      <w:lvlText w:val="%2."/>
      <w:numFmt w:val="lowerRoman"/>
      <w:start w:val="1"/>
    </w:lvl>
  </w:abstractNum>
  <w:abstractNum w:abstractNumId="25">
    <w:nsid w:val="288F1A34"/>
    <w:multiLevelType w:val="hybridMultilevel"/>
    <w:lvl w:ilvl="0">
      <w:lvlJc w:val="left"/>
      <w:lvlText w:val="%1."/>
      <w:numFmt w:val="upperLetter"/>
      <w:start w:val="1"/>
    </w:lvl>
  </w:abstractNum>
  <w:abstractNum w:abstractNumId="26">
    <w:nsid w:val="2A155DBC"/>
    <w:multiLevelType w:val="hybridMultilevel"/>
    <w:lvl w:ilvl="0">
      <w:lvlJc w:val="left"/>
      <w:lvlText w:val="%1."/>
      <w:numFmt w:val="upperLetter"/>
      <w:start w:val="3"/>
    </w:lvl>
  </w:abstractNum>
  <w:abstractNum w:abstractNumId="27">
    <w:nsid w:val="1D9F6E5F"/>
    <w:multiLevelType w:val="hybridMultilevel"/>
    <w:lvl w:ilvl="0">
      <w:lvlJc w:val="left"/>
      <w:lvlText w:val="%1"/>
      <w:numFmt w:val="lowerRoman"/>
      <w:start w:val="1"/>
    </w:lvl>
    <w:lvl w:ilvl="1">
      <w:lvlJc w:val="left"/>
      <w:lvlText w:val="%2."/>
      <w:numFmt w:val="upperLetter"/>
      <w:start w:val="1"/>
    </w:lvl>
  </w:abstractNum>
  <w:abstractNum w:abstractNumId="28">
    <w:nsid w:val="97E1B4E"/>
    <w:multiLevelType w:val="hybridMultilevel"/>
    <w:lvl w:ilvl="0">
      <w:lvlJc w:val="left"/>
      <w:lvlText w:val="(%1)"/>
      <w:numFmt w:val="lowerRoman"/>
      <w:start w:val="2"/>
    </w:lvl>
    <w:lvl w:ilvl="1">
      <w:lvlJc w:val="left"/>
      <w:lvlText w:val="%2."/>
      <w:numFmt w:val="upperLetter"/>
      <w:start w:val="4"/>
    </w:lvl>
  </w:abstractNum>
  <w:abstractNum w:abstractNumId="29">
    <w:nsid w:val="51088277"/>
    <w:multiLevelType w:val="hybridMultilevel"/>
    <w:lvl w:ilvl="0">
      <w:lvlJc w:val="left"/>
      <w:lvlText w:val="%1."/>
      <w:numFmt w:val="upperLetter"/>
      <w:start w:val="1"/>
    </w:lvl>
  </w:abstractNum>
  <w:abstractNum w:abstractNumId="30">
    <w:nsid w:val="1CA0C5FA"/>
    <w:multiLevelType w:val="hybridMultilevel"/>
    <w:lvl w:ilvl="0">
      <w:lvlJc w:val="left"/>
      <w:lvlText w:val="(%1)"/>
      <w:numFmt w:val="lowerRoman"/>
      <w:start w:val="1"/>
    </w:lvl>
  </w:abstractNum>
  <w:abstractNum w:abstractNumId="31">
    <w:nsid w:val="53584BCB"/>
    <w:multiLevelType w:val="hybridMultilevel"/>
    <w:lvl w:ilvl="0">
      <w:lvlJc w:val="left"/>
      <w:lvlText w:val="%1."/>
      <w:numFmt w:val="upperLetter"/>
      <w:start w:val="2"/>
    </w:lvl>
  </w:abstractNum>
  <w:abstractNum w:abstractNumId="32">
    <w:nsid w:val="415E286C"/>
    <w:multiLevelType w:val="hybridMultilevel"/>
    <w:lvl w:ilvl="0">
      <w:lvlJc w:val="left"/>
      <w:lvlText w:val="A"/>
      <w:numFmt w:val="bullet"/>
      <w:start w:val="1"/>
    </w:lvl>
  </w:abstractNum>
  <w:abstractNum w:abstractNumId="33">
    <w:nsid w:val="7C58FD05"/>
    <w:multiLevelType w:val="hybridMultilevel"/>
    <w:lvl w:ilvl="0">
      <w:lvlJc w:val="left"/>
      <w:lvlText w:val="B"/>
      <w:numFmt w:val="bullet"/>
      <w:start w:val="1"/>
    </w:lvl>
  </w:abstractNum>
  <w:abstractNum w:abstractNumId="34">
    <w:nsid w:val="23D86AAC"/>
    <w:multiLevelType w:val="hybridMultilevel"/>
    <w:lvl w:ilvl="0">
      <w:lvlJc w:val="left"/>
      <w:lvlText w:val="C"/>
      <w:numFmt w:val="bullet"/>
      <w:start w:val="1"/>
    </w:lvl>
  </w:abstractNum>
  <w:abstractNum w:abstractNumId="35">
    <w:nsid w:val="45E6D486"/>
    <w:multiLevelType w:val="hybridMultilevel"/>
    <w:lvl w:ilvl="0">
      <w:lvlJc w:val="left"/>
      <w:lvlText w:val="E"/>
      <w:numFmt w:val="bullet"/>
      <w:start w:val="1"/>
    </w:lvl>
  </w:abstractNum>
  <w:abstractNum w:abstractNumId="36">
    <w:nsid w:val="5C10FE21"/>
    <w:multiLevelType w:val="hybridMultilevel"/>
    <w:lvl w:ilvl="0">
      <w:lvlJc w:val="left"/>
      <w:lvlText w:val="F"/>
      <w:numFmt w:val="bullet"/>
      <w:start w:val="1"/>
    </w:lvl>
  </w:abstractNum>
  <w:abstractNum w:abstractNumId="37">
    <w:nsid w:val="E7FFA2B"/>
    <w:multiLevelType w:val="hybridMultilevel"/>
    <w:lvl w:ilvl="0">
      <w:lvlJc w:val="left"/>
      <w:lvlText w:val="G"/>
      <w:numFmt w:val="bullet"/>
      <w:start w:val="1"/>
    </w:lvl>
  </w:abstractNum>
  <w:abstractNum w:abstractNumId="38">
    <w:nsid w:val="3C5991AA"/>
    <w:multiLevelType w:val="hybridMultilevel"/>
    <w:lvl w:ilvl="0">
      <w:lvlJc w:val="left"/>
      <w:lvlText w:val="H"/>
      <w:numFmt w:val="bullet"/>
      <w:start w:val="1"/>
    </w:lvl>
  </w:abstractNum>
  <w:abstractNum w:abstractNumId="39">
    <w:nsid w:val="4BD8591A"/>
    <w:multiLevelType w:val="hybridMultilevel"/>
    <w:lvl w:ilvl="0">
      <w:lvlJc w:val="left"/>
      <w:lvlText w:val="I"/>
      <w:numFmt w:val="bullet"/>
      <w:start w:val="1"/>
    </w:lvl>
  </w:abstractNum>
  <w:abstractNum w:abstractNumId="40">
    <w:nsid w:val="78DF6A55"/>
    <w:multiLevelType w:val="hybridMultilevel"/>
    <w:lvl w:ilvl="0">
      <w:lvlJc w:val="left"/>
      <w:lvlText w:val="J"/>
      <w:numFmt w:val="bullet"/>
      <w:start w:val="1"/>
    </w:lvl>
  </w:abstractNum>
  <w:abstractNum w:abstractNumId="41">
    <w:nsid w:val="39B7AAA2"/>
    <w:multiLevelType w:val="hybridMultilevel"/>
    <w:lvl w:ilvl="0">
      <w:lvlJc w:val="left"/>
      <w:lvlText w:val="K"/>
      <w:numFmt w:val="bullet"/>
      <w:start w:val="1"/>
    </w:lvl>
  </w:abstractNum>
  <w:abstractNum w:abstractNumId="42">
    <w:nsid w:val="2B0D8DBE"/>
    <w:multiLevelType w:val="hybridMultilevel"/>
    <w:lvl w:ilvl="0">
      <w:lvlJc w:val="left"/>
      <w:lvlText w:val="(%1)"/>
      <w:numFmt w:val="lowerRoman"/>
      <w:start w:val="2"/>
    </w:lvl>
  </w:abstractNum>
  <w:abstractNum w:abstractNumId="43">
    <w:nsid w:val="6C80EC70"/>
    <w:multiLevelType w:val="hybridMultilevel"/>
    <w:lvl w:ilvl="0">
      <w:lvlJc w:val="left"/>
      <w:lvlText w:val="(%1)"/>
      <w:numFmt w:val="lowerRoman"/>
      <w:start w:val="2"/>
    </w:lvl>
  </w:abstractNum>
  <w:abstractNum w:abstractNumId="44">
    <w:nsid w:val="379E21B5"/>
    <w:multiLevelType w:val="hybridMultilevel"/>
    <w:lvl w:ilvl="0">
      <w:lvlJc w:val="left"/>
      <w:lvlText w:val="%1"/>
      <w:numFmt w:val="upperLetter"/>
      <w:start w:val="1"/>
    </w:lvl>
    <w:lvl w:ilvl="1">
      <w:lvlJc w:val="left"/>
      <w:lvlText w:val="(%2)"/>
      <w:numFmt w:val="lowerLetter"/>
      <w:start w:val="1"/>
    </w:lvl>
  </w:abstractNum>
  <w:abstractNum w:abstractNumId="45">
    <w:nsid w:val="69E373"/>
    <w:multiLevelType w:val="hybridMultilevel"/>
    <w:lvl w:ilvl="0">
      <w:lvlJc w:val="left"/>
      <w:lvlText w:val="(%1)"/>
      <w:numFmt w:val="upperLetter"/>
      <w:start w:val="2"/>
    </w:lvl>
    <w:lvl w:ilvl="1">
      <w:lvlJc w:val="left"/>
      <w:lvlText w:val="%2"/>
      <w:numFmt w:val="lowerLetter"/>
      <w:start w:val="1"/>
    </w:lvl>
  </w:abstractNum>
  <w:abstractNum w:abstractNumId="46">
    <w:nsid w:val="2C27173B"/>
    <w:multiLevelType w:val="hybridMultilevel"/>
    <w:lvl w:ilvl="0">
      <w:lvlJc w:val="left"/>
      <w:lvlText w:val="(%1)"/>
      <w:numFmt w:val="lowerLetter"/>
      <w:start w:val="3"/>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1)"/>
      <w:numFmt w:val="lowerLetter"/>
      <w:start w:val="2"/>
    </w:lvl>
  </w:abstractNum>
  <w:abstractNum w:abstractNumId="49">
    <w:nsid w:val="1DF029D3"/>
    <w:multiLevelType w:val="hybridMultilevel"/>
    <w:lvl w:ilvl="0">
      <w:lvlJc w:val="left"/>
      <w:lvlText w:val="(%1)"/>
      <w:numFmt w:val="lowerLetter"/>
      <w:start w:val="1"/>
    </w:lvl>
  </w:abstractNum>
  <w:abstractNum w:abstractNumId="50">
    <w:nsid w:val="5675FF36"/>
    <w:multiLevelType w:val="hybridMultilevel"/>
    <w:lvl w:ilvl="0">
      <w:lvlJc w:val="left"/>
      <w:lvlText w:val="(%1)"/>
      <w:numFmt w:val="lowerLetter"/>
      <w:start w:val="1"/>
    </w:lvl>
  </w:abstractNum>
  <w:abstractNum w:abstractNumId="51">
    <w:nsid w:val="3DD15094"/>
    <w:multiLevelType w:val="hybridMultilevel"/>
    <w:lvl w:ilvl="0">
      <w:lvlJc w:val="left"/>
      <w:lvlText w:val="(%1)"/>
      <w:numFmt w:val="lowerRoman"/>
      <w:start w:val="1"/>
    </w:lvl>
  </w:abstractNum>
  <w:abstractNum w:abstractNumId="52">
    <w:nsid w:val="3DB012B3"/>
    <w:multiLevelType w:val="hybridMultilevel"/>
    <w:lvl w:ilvl="0">
      <w:lvlJc w:val="left"/>
      <w:lvlText w:val="(%1)"/>
      <w:numFmt w:val="lowerRoman"/>
      <w:start w:val="3"/>
    </w:lvl>
  </w:abstractNum>
  <w:abstractNum w:abstractNumId="53">
    <w:nsid w:val="2708C9AF"/>
    <w:multiLevelType w:val="hybridMultilevel"/>
    <w:lvl w:ilvl="0">
      <w:lvlJc w:val="left"/>
      <w:lvlText w:val="(%1)"/>
      <w:numFmt w:val="lowerRoman"/>
      <w:start w:val="2"/>
    </w:lvl>
  </w:abstractNum>
  <w:abstractNum w:abstractNumId="54">
    <w:nsid w:val="5B25ACE2"/>
    <w:multiLevelType w:val="hybridMultilevel"/>
    <w:lvl w:ilvl="0">
      <w:lvlJc w:val="left"/>
      <w:lvlText w:val="(%1)"/>
      <w:numFmt w:val="lowerRoman"/>
      <w:start w:val="2"/>
    </w:lvl>
  </w:abstractNum>
  <w:abstractNum w:abstractNumId="55">
    <w:nsid w:val="175DFCF0"/>
    <w:multiLevelType w:val="hybridMultilevel"/>
    <w:lvl w:ilvl="0">
      <w:lvlJc w:val="left"/>
      <w:lvlText w:val="(%1)"/>
      <w:numFmt w:val="lowerLetter"/>
      <w:start w:val="1"/>
    </w:lvl>
  </w:abstractNum>
  <w:abstractNum w:abstractNumId="56">
    <w:nsid w:val="4F97E3E4"/>
    <w:multiLevelType w:val="hybridMultilevel"/>
    <w:lvl w:ilvl="0">
      <w:lvlJc w:val="left"/>
      <w:lvlText w:val="(%1)"/>
      <w:numFmt w:val="lowerLetter"/>
      <w:start w:val="1"/>
    </w:lvl>
  </w:abstractNum>
  <w:abstractNum w:abstractNumId="57">
    <w:nsid w:val="53B0A9E"/>
    <w:multiLevelType w:val="hybridMultilevel"/>
    <w:lvl w:ilvl="0">
      <w:lvlJc w:val="left"/>
      <w:lvlText w:val="(%1)"/>
      <w:numFmt w:val="lowerLetter"/>
      <w:start w:val="4"/>
    </w:lvl>
  </w:abstractNum>
  <w:abstractNum w:abstractNumId="58">
    <w:nsid w:val="34FD6B4F"/>
    <w:multiLevelType w:val="hybridMultilevel"/>
    <w:lvl w:ilvl="0">
      <w:lvlJc w:val="left"/>
      <w:lvlText w:val="(%1)"/>
      <w:numFmt w:val="lowerLetter"/>
      <w:start w:val="2"/>
    </w:lvl>
  </w:abstractNum>
  <w:abstractNum w:abstractNumId="59">
    <w:nsid w:val="5915FF32"/>
    <w:multiLevelType w:val="hybridMultilevel"/>
    <w:lvl w:ilvl="0">
      <w:lvlJc w:val="left"/>
      <w:lvlText w:val="(%1)"/>
      <w:numFmt w:val="lowerLetter"/>
      <w:start w:val="1"/>
    </w:lvl>
  </w:abstractNum>
  <w:abstractNum w:abstractNumId="60">
    <w:nsid w:val="56438D15"/>
    <w:multiLevelType w:val="hybridMultilevel"/>
    <w:lvl w:ilvl="0">
      <w:lvlJc w:val="left"/>
      <w:lvlText w:val="(%1)"/>
      <w:numFmt w:val="lowerLetter"/>
      <w:start w:val="1"/>
    </w:lvl>
  </w:abstractNum>
  <w:abstractNum w:abstractNumId="61">
    <w:nsid w:val="519E3149"/>
    <w:multiLevelType w:val="hybridMultilevel"/>
    <w:lvl w:ilvl="0">
      <w:lvlJc w:val="left"/>
      <w:lvlText w:val="(%1)"/>
      <w:numFmt w:val="lowerLetter"/>
      <w:start w:val="2"/>
    </w:lvl>
  </w:abstractNum>
  <w:abstractNum w:abstractNumId="62">
    <w:nsid w:val="2C6E4AFD"/>
    <w:multiLevelType w:val="hybridMultilevel"/>
    <w:lvl w:ilvl="0">
      <w:lvlJc w:val="left"/>
      <w:lvlText w:val="(%1)"/>
      <w:numFmt w:val="lowerLetter"/>
      <w:start w:val="1"/>
    </w:lvl>
  </w:abstractNum>
  <w:abstractNum w:abstractNumId="63">
    <w:nsid w:val="17A1B582"/>
    <w:multiLevelType w:val="hybridMultilevel"/>
    <w:lvl w:ilvl="0">
      <w:lvlJc w:val="left"/>
      <w:lvlText w:val="(%1)"/>
      <w:numFmt w:val="lowerRoman"/>
      <w:start w:val="2"/>
    </w:lvl>
  </w:abstractNum>
  <w:abstractNum w:abstractNumId="64">
    <w:nsid w:val="4DF72E4E"/>
    <w:multiLevelType w:val="hybridMultilevel"/>
    <w:lvl w:ilvl="0">
      <w:lvlJc w:val="left"/>
      <w:lvlText w:val="(%1)"/>
      <w:numFmt w:val="lowerLetter"/>
      <w:start w:val="2"/>
    </w:lvl>
  </w:abstractNum>
  <w:abstractNum w:abstractNumId="65">
    <w:nsid w:val="5046B5A9"/>
    <w:multiLevelType w:val="hybridMultilevel"/>
    <w:lvl w:ilvl="0">
      <w:lvlJc w:val="left"/>
      <w:lvlText w:val="(%1)"/>
      <w:numFmt w:val="lowerLetter"/>
      <w:start w:val="2"/>
    </w:lvl>
    <w:lvl w:ilvl="1">
      <w:lvlJc w:val="left"/>
      <w:lvlText w:val="(%2)"/>
      <w:numFmt w:val="lowerRoman"/>
      <w:start w:val="2"/>
    </w:lvl>
  </w:abstractNum>
  <w:abstractNum w:abstractNumId="66">
    <w:nsid w:val="5D888A08"/>
    <w:multiLevelType w:val="hybridMultilevel"/>
    <w:lvl w:ilvl="0">
      <w:lvlJc w:val="left"/>
      <w:lvlText w:val="(%1)"/>
      <w:numFmt w:val="lowerRoman"/>
      <w:start w:val="2"/>
    </w:lvl>
  </w:abstractNum>
  <w:abstractNum w:abstractNumId="67">
    <w:nsid w:val="2A082C70"/>
    <w:multiLevelType w:val="hybridMultilevel"/>
    <w:lvl w:ilvl="0">
      <w:lvlJc w:val="left"/>
      <w:lvlText w:val="(%1)"/>
      <w:numFmt w:val="lowerLetter"/>
      <w:start w:val="3"/>
    </w:lvl>
  </w:abstractNum>
  <w:abstractNum w:abstractNumId="68">
    <w:nsid w:val="5EC6AFD4"/>
    <w:multiLevelType w:val="hybridMultilevel"/>
    <w:lvl w:ilvl="0">
      <w:lvlJc w:val="left"/>
      <w:lvlText w:val="(%1)"/>
      <w:numFmt w:val="lowerLetter"/>
      <w:start w:val="2"/>
    </w:lvl>
  </w:abstractNum>
  <w:abstractNum w:abstractNumId="69">
    <w:nsid w:val="19E21BB2"/>
    <w:multiLevelType w:val="hybridMultilevel"/>
    <w:lvl w:ilvl="0">
      <w:lvlJc w:val="left"/>
      <w:lvlText w:val="(%1)"/>
      <w:numFmt w:val="lowerRoman"/>
      <w:start w:val="2"/>
    </w:lvl>
  </w:abstractNum>
  <w:abstractNum w:abstractNumId="70">
    <w:nsid w:val="75E0858A"/>
    <w:multiLevelType w:val="hybridMultilevel"/>
    <w:lvl w:ilvl="0">
      <w:lvlJc w:val="left"/>
      <w:lvlText w:val="(%1)"/>
      <w:numFmt w:val="lowerLetter"/>
      <w:start w:val="3"/>
    </w:lvl>
  </w:abstractNum>
  <w:abstractNum w:abstractNumId="71">
    <w:nsid w:val="57A61A29"/>
    <w:multiLevelType w:val="hybridMultilevel"/>
    <w:lvl w:ilvl="0">
      <w:lvlJc w:val="left"/>
      <w:lvlText w:val="(%1)"/>
      <w:numFmt w:val="lowerRoman"/>
      <w:start w:val="1"/>
    </w:lvl>
  </w:abstractNum>
  <w:abstractNum w:abstractNumId="72">
    <w:nsid w:val="5399C654"/>
    <w:multiLevelType w:val="hybridMultilevel"/>
    <w:lvl w:ilvl="0">
      <w:lvlJc w:val="left"/>
      <w:lvlText w:val="(%1)"/>
      <w:numFmt w:val="lowerLetter"/>
      <w:start w:val="1"/>
    </w:lvl>
    <w:lvl w:ilvl="1">
      <w:lvlJc w:val="left"/>
      <w:lvlText w:val="(%2)"/>
      <w:numFmt w:val="lowerRoman"/>
      <w:start w:val="1"/>
    </w:lvl>
  </w:abstractNum>
  <w:abstractNum w:abstractNumId="73">
    <w:nsid w:val="20EE1348"/>
    <w:multiLevelType w:val="hybridMultilevel"/>
    <w:lvl w:ilvl="0">
      <w:lvlJc w:val="left"/>
      <w:lvlText w:val="%1"/>
      <w:numFmt w:val="lowerLetter"/>
      <w:start w:val="1"/>
    </w:lvl>
    <w:lvl w:ilvl="1">
      <w:lvlJc w:val="left"/>
      <w:lvlText w:val="(%2)"/>
      <w:numFmt w:val="lowerLetter"/>
      <w:start w:val="35"/>
    </w:lvl>
  </w:abstractNum>
  <w:abstractNum w:abstractNumId="74">
    <w:nsid w:val="4427069A"/>
    <w:multiLevelType w:val="hybridMultilevel"/>
    <w:lvl w:ilvl="0">
      <w:lvlJc w:val="left"/>
      <w:lvlText w:val="(%1)"/>
      <w:numFmt w:val="lowerLetter"/>
      <w:start w:val="2"/>
    </w:lvl>
    <w:lvl w:ilvl="1">
      <w:lvlJc w:val="left"/>
      <w:lvlText w:val="%2"/>
      <w:numFmt w:val="lowerLetter"/>
      <w:start w:val="1"/>
    </w:lvl>
  </w:abstractNum>
  <w:abstractNum w:abstractNumId="75">
    <w:nsid w:val="B37E80A"/>
    <w:multiLevelType w:val="hybridMultilevel"/>
    <w:lvl w:ilvl="0">
      <w:lvlJc w:val="left"/>
      <w:lvlText w:val="%1"/>
      <w:numFmt w:val="lowerLetter"/>
      <w:start w:val="1"/>
    </w:lvl>
    <w:lvl w:ilvl="1">
      <w:lvlJc w:val="left"/>
      <w:lvlText w:val="(%2)"/>
      <w:numFmt w:val="lowerLetter"/>
      <w:start w:val="35"/>
    </w:lvl>
  </w:abstractNum>
  <w:abstractNum w:abstractNumId="76">
    <w:nsid w:val="2157F6BC"/>
    <w:multiLevelType w:val="hybridMultilevel"/>
    <w:lvl w:ilvl="0">
      <w:lvlJc w:val="left"/>
      <w:lvlText w:val="(%1)"/>
      <w:numFmt w:val="lowerLetter"/>
      <w:start w:val="4"/>
    </w:lvl>
    <w:lvl w:ilvl="1">
      <w:lvlJc w:val="left"/>
      <w:lvlText w:val="%2"/>
      <w:numFmt w:val="lowerLetter"/>
      <w:start w:val="1"/>
    </w:lvl>
  </w:abstractNum>
  <w:abstractNum w:abstractNumId="77">
    <w:nsid w:val="704E1DD5"/>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78">
    <w:nsid w:val="57D2F10E"/>
    <w:multiLevelType w:val="hybridMultilevel"/>
    <w:lvl w:ilvl="0">
      <w:lvlJc w:val="left"/>
      <w:lvlText w:val="(%1)"/>
      <w:numFmt w:val="upperLetter"/>
      <w:start w:val="35"/>
    </w:lvl>
  </w:abstractNum>
  <w:abstractNum w:abstractNumId="79">
    <w:nsid w:val="BFFAE18"/>
    <w:multiLevelType w:val="hybridMultilevel"/>
    <w:lvl w:ilvl="0">
      <w:lvlJc w:val="left"/>
      <w:lvlText w:val="(%1)"/>
      <w:numFmt w:val="upperLetter"/>
      <w:start w:val="61"/>
    </w:lvl>
  </w:abstractNum>
  <w:abstractNum w:abstractNumId="80">
    <w:nsid w:val="E3E47A8"/>
    <w:multiLevelType w:val="hybridMultilevel"/>
    <w:lvl w:ilvl="0">
      <w:lvlJc w:val="left"/>
      <w:lvlText w:val="(%1)"/>
      <w:numFmt w:val="upperLetter"/>
      <w:start w:val="22"/>
    </w:lvl>
  </w:abstractNum>
  <w:abstractNum w:abstractNumId="81">
    <w:nsid w:val="2E48F044"/>
    <w:multiLevelType w:val="hybridMultilevel"/>
    <w:lvl w:ilvl="0">
      <w:lvlJc w:val="left"/>
      <w:lvlText w:val="%1"/>
      <w:numFmt w:val="lowerLetter"/>
      <w:start w:val="1"/>
    </w:lvl>
    <w:lvl w:ilvl="1">
      <w:lvlJc w:val="left"/>
      <w:lvlText w:val="(%2)"/>
      <w:numFmt w:val="lowerRoman"/>
      <w:start w:val="3"/>
    </w:lvl>
  </w:abstractNum>
  <w:abstractNum w:abstractNumId="82">
    <w:nsid w:val="49D0FEAC"/>
    <w:multiLevelType w:val="hybridMultilevel"/>
    <w:lvl w:ilvl="0">
      <w:lvlJc w:val="left"/>
      <w:lvlText w:val="(%1)"/>
      <w:numFmt w:val="lowerLetter"/>
      <w:start w:val="6"/>
    </w:lvl>
    <w:lvl w:ilvl="1">
      <w:lvlJc w:val="left"/>
      <w:lvlText w:val="%2"/>
      <w:numFmt w:val="lowerRoman"/>
      <w:start w:val="1"/>
    </w:lvl>
  </w:abstractNum>
  <w:abstractNum w:abstractNumId="83">
    <w:nsid w:val="4BEE5A5B"/>
    <w:multiLevelType w:val="hybridMultilevel"/>
    <w:lvl w:ilvl="0">
      <w:lvlJc w:val="left"/>
      <w:lvlText w:val="(%1)"/>
      <w:numFmt w:val="lowerLetter"/>
      <w:start w:val="7"/>
    </w:lvl>
  </w:abstractNum>
  <w:abstractNum w:abstractNumId="84">
    <w:nsid w:val="5551B9F3"/>
    <w:multiLevelType w:val="hybridMultilevel"/>
    <w:lvl w:ilvl="0">
      <w:lvlJc w:val="left"/>
      <w:lvlText w:val="(%1)"/>
      <w:numFmt w:val="lowerRoman"/>
      <w:start w:val="1"/>
    </w:lvl>
  </w:abstractNum>
  <w:abstractNum w:abstractNumId="85">
    <w:nsid w:val="24F6AB8E"/>
    <w:multiLevelType w:val="hybridMultilevel"/>
    <w:lvl w:ilvl="0">
      <w:lvlJc w:val="left"/>
      <w:lvlText w:val="%1"/>
      <w:numFmt w:val="upperLetter"/>
      <w:start w:val="1"/>
    </w:lvl>
    <w:lvl w:ilvl="1">
      <w:lvlJc w:val="left"/>
      <w:lvlText w:val="(%2)"/>
      <w:numFmt w:val="lowerLetter"/>
      <w:start w:val="1"/>
    </w:lvl>
  </w:abstractNum>
  <w:abstractNum w:abstractNumId="86">
    <w:nsid w:val="634C574C"/>
    <w:multiLevelType w:val="hybridMultilevel"/>
    <w:lvl w:ilvl="0">
      <w:lvlJc w:val="left"/>
      <w:lvlText w:val="(%1)"/>
      <w:numFmt w:val="upperLetter"/>
      <w:start w:val="1"/>
    </w:lvl>
    <w:lvl w:ilvl="1">
      <w:lvlJc w:val="left"/>
      <w:lvlText w:val="%2"/>
      <w:numFmt w:val="lowerLetter"/>
      <w:start w:val="1"/>
    </w:lvl>
  </w:abstractNum>
  <w:abstractNum w:abstractNumId="87">
    <w:nsid w:val="24E99DD7"/>
    <w:multiLevelType w:val="hybridMultilevel"/>
    <w:lvl w:ilvl="0">
      <w:lvlJc w:val="left"/>
      <w:lvlText w:val="(%1)"/>
      <w:numFmt w:val="lowerLetter"/>
      <w:start w:val="2"/>
    </w:lvl>
    <w:lvl w:ilvl="1">
      <w:lvlJc w:val="left"/>
      <w:lvlText w:val="(%2)"/>
      <w:numFmt w:val="lowerLetter"/>
      <w:start w:val="9"/>
    </w:lvl>
  </w:abstractNum>
  <w:abstractNum w:abstractNumId="88">
    <w:nsid w:val="2A31B62D"/>
    <w:multiLevelType w:val="hybridMultilevel"/>
    <w:lvl w:ilvl="0">
      <w:lvlJc w:val="left"/>
      <w:lvlText w:val="(%1)"/>
      <w:numFmt w:val="lowerRoman"/>
      <w:start w:val="2"/>
    </w:lvl>
  </w:abstractNum>
  <w:abstractNum w:abstractNumId="89">
    <w:nsid w:val="1849C29B"/>
    <w:multiLevelType w:val="hybridMultilevel"/>
    <w:lvl w:ilvl="0">
      <w:lvlJc w:val="left"/>
      <w:lvlText w:val="(%1)"/>
      <w:numFmt w:val="lowerLetter"/>
      <w:start w:val="1"/>
    </w:lvl>
    <w:lvl w:ilvl="1">
      <w:lvlJc w:val="left"/>
      <w:lvlText w:val="(%2)"/>
      <w:numFmt w:val="lowerRoman"/>
      <w:start w:val="1"/>
    </w:lvl>
  </w:abstractNum>
  <w:abstractNum w:abstractNumId="90">
    <w:nsid w:val="7DFF9D09"/>
    <w:multiLevelType w:val="hybridMultilevel"/>
    <w:lvl w:ilvl="0">
      <w:lvlJc w:val="left"/>
      <w:lvlText w:val="(%1)"/>
      <w:numFmt w:val="lowerLetter"/>
      <w:start w:val="2"/>
    </w:lvl>
  </w:abstractNum>
  <w:abstractNum w:abstractNumId="91">
    <w:nsid w:val="754342"/>
    <w:multiLevelType w:val="hybridMultilevel"/>
    <w:lvl w:ilvl="0">
      <w:lvlJc w:val="left"/>
      <w:lvlText w:val="(%1)"/>
      <w:numFmt w:val="lowerLetter"/>
      <w:start w:val="3"/>
    </w:lvl>
  </w:abstractNum>
  <w:abstractNum w:abstractNumId="92">
    <w:nsid w:val="69E7F3E5"/>
    <w:multiLevelType w:val="hybridMultilevel"/>
    <w:lvl w:ilvl="0">
      <w:lvlJc w:val="left"/>
      <w:lvlText w:val="(%1)"/>
      <w:numFmt w:val="lowerLetter"/>
      <w:start w:val="1"/>
    </w:lvl>
  </w:abstractNum>
  <w:abstractNum w:abstractNumId="93">
    <w:nsid w:val="2A6DE806"/>
    <w:multiLevelType w:val="hybridMultilevel"/>
    <w:lvl w:ilvl="0">
      <w:lvlJc w:val="left"/>
      <w:lvlText w:val="(%1)"/>
      <w:numFmt w:val="lowerLetter"/>
      <w:start w:val="2"/>
    </w:lvl>
  </w:abstractNum>
  <w:abstractNum w:abstractNumId="94">
    <w:nsid w:val="1816F8C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37DF2233"/>
    <w:multiLevelType w:val="hybridMultilevel"/>
    <w:lvl w:ilvl="0">
      <w:lvlJc w:val="left"/>
      <w:lvlText w:val="%1"/>
      <w:numFmt w:val="lowerRoman"/>
      <w:start w:val="1"/>
    </w:lvl>
    <w:lvl w:ilvl="1">
      <w:lvlJc w:val="left"/>
      <w:lvlText w:val="(%2)"/>
      <w:numFmt w:val="upperLetter"/>
      <w:start w:val="2"/>
    </w:lvl>
  </w:abstractNum>
  <w:abstractNum w:abstractNumId="96">
    <w:nsid w:val="7AB49DAF"/>
    <w:multiLevelType w:val="hybridMultilevel"/>
    <w:lvl w:ilvl="0">
      <w:lvlJc w:val="left"/>
      <w:lvlText w:val="(%1)"/>
      <w:numFmt w:val="lowerRoman"/>
      <w:start w:val="5"/>
    </w:lvl>
    <w:lvl w:ilvl="1">
      <w:lvlJc w:val="left"/>
      <w:lvlText w:val="%2"/>
      <w:numFmt w:val="upperLetter"/>
      <w:start w:val="1"/>
    </w:lvl>
  </w:abstractNum>
  <w:abstractNum w:abstractNumId="97">
    <w:nsid w:val="759F82CD"/>
    <w:multiLevelType w:val="hybridMultilevel"/>
    <w:lvl w:ilvl="0">
      <w:lvlJc w:val="left"/>
      <w:lvlText w:val="(%1)"/>
      <w:numFmt w:val="lowerRoman"/>
      <w:start w:val="6"/>
    </w:lvl>
  </w:abstractNum>
  <w:abstractNum w:abstractNumId="98">
    <w:nsid w:val="61E74EA3"/>
    <w:multiLevelType w:val="hybridMultilevel"/>
    <w:lvl w:ilvl="0">
      <w:lvlJc w:val="left"/>
      <w:lvlText w:val="(%1)"/>
      <w:numFmt w:val="lowerLetter"/>
      <w:start w:val="2"/>
    </w:lvl>
  </w:abstractNum>
  <w:abstractNum w:abstractNumId="99">
    <w:nsid w:val="597B4D84"/>
    <w:multiLevelType w:val="hybridMultilevel"/>
    <w:lvl w:ilvl="0">
      <w:lvlJc w:val="left"/>
      <w:lvlText w:val="(%1)"/>
      <w:numFmt w:val="lowerLetter"/>
      <w:start w:val="2"/>
    </w:lvl>
  </w:abstractNum>
  <w:abstractNum w:abstractNumId="100">
    <w:nsid w:val="F819E7F"/>
    <w:multiLevelType w:val="hybridMultilevel"/>
    <w:lvl w:ilvl="0">
      <w:lvlJc w:val="left"/>
      <w:lvlText w:val="(%1)"/>
      <w:numFmt w:val="lowerLetter"/>
      <w:start w:val="1"/>
    </w:lvl>
  </w:abstractNum>
  <w:abstractNum w:abstractNumId="101">
    <w:nsid w:val="57C7D42D"/>
    <w:multiLevelType w:val="hybridMultilevel"/>
    <w:lvl w:ilvl="0">
      <w:lvlJc w:val="left"/>
      <w:lvlText w:val="(%1)"/>
      <w:numFmt w:val="lowerLetter"/>
      <w:start w:val="4"/>
    </w:lvl>
  </w:abstractNum>
  <w:abstractNum w:abstractNumId="102">
    <w:nsid w:val="312167AD"/>
    <w:multiLevelType w:val="hybridMultilevel"/>
    <w:lvl w:ilvl="0">
      <w:lvlJc w:val="left"/>
      <w:lvlText w:val="(%1)"/>
      <w:numFmt w:val="lowerLetter"/>
      <w:start w:val="2"/>
    </w:lvl>
  </w:abstractNum>
  <w:abstractNum w:abstractNumId="103">
    <w:nsid w:val="631B64D4"/>
    <w:multiLevelType w:val="hybridMultilevel"/>
    <w:lvl w:ilvl="0">
      <w:lvlJc w:val="left"/>
      <w:lvlText w:val="(%1)"/>
      <w:numFmt w:val="lowerLetter"/>
      <w:start w:val="2"/>
    </w:lvl>
  </w:abstractNum>
  <w:abstractNum w:abstractNumId="104">
    <w:nsid w:val="78B5E776"/>
    <w:multiLevelType w:val="hybridMultilevel"/>
    <w:lvl w:ilvl="0">
      <w:lvlJc w:val="left"/>
      <w:lvlText w:val="(%1)"/>
      <w:numFmt w:val="lowerLetter"/>
      <w:start w:val="1"/>
    </w:lvl>
  </w:abstractNum>
  <w:abstractNum w:abstractNumId="105">
    <w:nsid w:val="75486E47"/>
    <w:multiLevelType w:val="hybridMultilevel"/>
    <w:lvl w:ilvl="0">
      <w:lvlJc w:val="left"/>
      <w:lvlText w:val="(%1)"/>
      <w:numFmt w:val="lowerLetter"/>
      <w:start w:val="2"/>
    </w:lvl>
  </w:abstractNum>
  <w:abstractNum w:abstractNumId="106">
    <w:nsid w:val="6E534CDE"/>
    <w:multiLevelType w:val="hybridMultilevel"/>
    <w:lvl w:ilvl="0">
      <w:lvlJc w:val="left"/>
      <w:lvlText w:val="(%1)"/>
      <w:numFmt w:val="lowerLetter"/>
      <w:start w:val="1"/>
    </w:lvl>
  </w:abstractNum>
  <w:abstractNum w:abstractNumId="107">
    <w:nsid w:val="1A0DDE32"/>
    <w:multiLevelType w:val="hybridMultilevel"/>
    <w:lvl w:ilvl="0">
      <w:lvlJc w:val="left"/>
      <w:lvlText w:val="(%1)"/>
      <w:numFmt w:val="lowerLetter"/>
      <w:start w:val="2"/>
    </w:lvl>
  </w:abstractNum>
  <w:abstractNum w:abstractNumId="108">
    <w:nsid w:val="65968C1C"/>
    <w:multiLevelType w:val="hybridMultilevel"/>
    <w:lvl w:ilvl="0">
      <w:lvlJc w:val="left"/>
      <w:lvlText w:val="(%1)"/>
      <w:numFmt w:val="lowerLetter"/>
      <w:start w:val="1"/>
    </w:lvl>
  </w:abstractNum>
  <w:abstractNum w:abstractNumId="109">
    <w:nsid w:val="46263DEC"/>
    <w:multiLevelType w:val="hybridMultilevel"/>
    <w:lvl w:ilvl="0">
      <w:lvlJc w:val="left"/>
      <w:lvlText w:val="(%1)"/>
      <w:numFmt w:val="lowerLetter"/>
      <w:start w:val="4"/>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1)"/>
      <w:numFmt w:val="lowerRoman"/>
      <w:start w:val="1"/>
    </w:lvl>
  </w:abstractNum>
  <w:abstractNum w:abstractNumId="112">
    <w:nsid w:val="746F2E30"/>
    <w:multiLevelType w:val="hybridMultilevel"/>
    <w:lvl w:ilvl="0">
      <w:lvlJc w:val="left"/>
      <w:lvlText w:val="%1"/>
      <w:numFmt w:val="lowerLetter"/>
      <w:start w:val="1"/>
    </w:lvl>
    <w:lvl w:ilvl="1">
      <w:lvlJc w:val="left"/>
      <w:lvlText w:val="(%2)"/>
      <w:numFmt w:val="lowerLetter"/>
      <w:start w:val="61"/>
    </w:lvl>
  </w:abstractNum>
  <w:abstractNum w:abstractNumId="113">
    <w:nsid w:val="6FDE8AF6"/>
    <w:multiLevelType w:val="hybridMultilevel"/>
    <w:lvl w:ilvl="0">
      <w:lvlJc w:val="left"/>
      <w:lvlText w:val="(%1)"/>
      <w:numFmt w:val="lowerLetter"/>
      <w:start w:val="2"/>
    </w:lvl>
    <w:lvl w:ilvl="1">
      <w:lvlJc w:val="left"/>
      <w:lvlText w:val="%2"/>
      <w:numFmt w:val="lowerLetter"/>
      <w:start w:val="1"/>
    </w:lvl>
  </w:abstractNum>
  <w:abstractNum w:abstractNumId="114">
    <w:nsid w:val="3FC32E20"/>
    <w:multiLevelType w:val="hybridMultilevel"/>
    <w:lvl w:ilvl="0">
      <w:lvlJc w:val="left"/>
      <w:lvlText w:val="(%1)"/>
      <w:numFmt w:val="lowerRoman"/>
      <w:start w:val="1"/>
    </w:lvl>
  </w:abstractNum>
  <w:abstractNum w:abstractNumId="115">
    <w:nsid w:val="49C0E823"/>
    <w:multiLevelType w:val="hybridMultilevel"/>
    <w:lvl w:ilvl="0">
      <w:lvlJc w:val="left"/>
      <w:lvlText w:val="(%1)"/>
      <w:numFmt w:val="lowerRoman"/>
      <w:start w:val="6"/>
    </w:lvl>
  </w:abstractNum>
  <w:abstractNum w:abstractNumId="116">
    <w:nsid w:val="14D53685"/>
    <w:multiLevelType w:val="hybridMultilevel"/>
    <w:lvl w:ilvl="0">
      <w:lvlJc w:val="left"/>
      <w:lvlText w:val="(%1)"/>
      <w:numFmt w:val="lowerLetter"/>
      <w:start w:val="3"/>
    </w:lvl>
  </w:abstractNum>
  <w:abstractNum w:abstractNumId="117">
    <w:nsid w:val="230F856C"/>
    <w:multiLevelType w:val="hybridMultilevel"/>
    <w:lvl w:ilvl="0">
      <w:lvlJc w:val="left"/>
      <w:lvlText w:val="(%1)"/>
      <w:numFmt w:val="lowerLetter"/>
      <w:start w:val="2"/>
    </w:lvl>
  </w:abstractNum>
  <w:abstractNum w:abstractNumId="118">
    <w:nsid w:val="6EAA85FB"/>
    <w:multiLevelType w:val="hybridMultilevel"/>
    <w:lvl w:ilvl="0">
      <w:lvlJc w:val="left"/>
      <w:lvlText w:val="(%1)"/>
      <w:numFmt w:val="lowerLetter"/>
      <w:start w:val="1"/>
    </w:lvl>
  </w:abstractNum>
  <w:abstractNum w:abstractNumId="119">
    <w:nsid w:val="3F06ECB2"/>
    <w:multiLevelType w:val="hybridMultilevel"/>
    <w:lvl w:ilvl="0">
      <w:lvlJc w:val="left"/>
      <w:lvlText w:val="(%1)"/>
      <w:numFmt w:val="lowerLetter"/>
      <w:start w:val="7"/>
    </w:lvl>
  </w:abstractNum>
  <w:abstractNum w:abstractNumId="120">
    <w:nsid w:val="3B594807"/>
    <w:multiLevelType w:val="hybridMultilevel"/>
    <w:lvl w:ilvl="0">
      <w:lvlJc w:val="left"/>
      <w:lvlText w:val="(%1)"/>
      <w:numFmt w:val="lowerLetter"/>
      <w:start w:val="15"/>
    </w:lvl>
  </w:abstractNum>
  <w:abstractNum w:abstractNumId="121">
    <w:nsid w:val="6CAA2304"/>
    <w:multiLevelType w:val="hybridMultilevel"/>
    <w:lvl w:ilvl="0">
      <w:lvlJc w:val="left"/>
      <w:lvlText w:val="%1"/>
      <w:numFmt w:val="lowerLetter"/>
      <w:start w:val="1"/>
    </w:lvl>
    <w:lvl w:ilvl="1">
      <w:lvlJc w:val="left"/>
      <w:lvlText w:val="(%2)"/>
      <w:numFmt w:val="lowerLetter"/>
      <w:start w:val="1"/>
    </w:lvl>
  </w:abstractNum>
  <w:abstractNum w:abstractNumId="122">
    <w:nsid w:val="3F7C2FF4"/>
    <w:multiLevelType w:val="hybridMultilevel"/>
    <w:lvl w:ilvl="0">
      <w:lvlJc w:val="left"/>
      <w:lvlText w:val="(%1)"/>
      <w:numFmt w:val="lowerLetter"/>
      <w:start w:val="2"/>
    </w:lvl>
    <w:lvl w:ilvl="1">
      <w:lvlJc w:val="left"/>
      <w:lvlText w:val="(%2)"/>
      <w:numFmt w:val="lowerLetter"/>
      <w:start w:val="5"/>
    </w:lvl>
  </w:abstractNum>
  <w:abstractNum w:abstractNumId="123">
    <w:nsid w:val="25413BEC"/>
    <w:multiLevelType w:val="hybridMultilevel"/>
    <w:lvl w:ilvl="0">
      <w:lvlJc w:val="left"/>
      <w:lvlText w:val="%1"/>
      <w:numFmt w:val="lowerLetter"/>
      <w:start w:val="1"/>
    </w:lvl>
    <w:lvl w:ilvl="1">
      <w:lvlJc w:val="left"/>
      <w:lvlText w:val="(%2)"/>
      <w:numFmt w:val="lowerLetter"/>
      <w:start w:val="6"/>
    </w:lvl>
  </w:abstractNum>
  <w:abstractNum w:abstractNumId="124">
    <w:nsid w:val="17180B0B"/>
    <w:multiLevelType w:val="hybridMultilevel"/>
    <w:lvl w:ilvl="0">
      <w:lvlJc w:val="left"/>
      <w:lvlText w:val="(%1)"/>
      <w:numFmt w:val="lowerLetter"/>
      <w:start w:val="25"/>
    </w:lvl>
    <w:lvl w:ilvl="1">
      <w:lvlJc w:val="left"/>
      <w:lvlText w:val="%2"/>
      <w:numFmt w:val="lowerLetter"/>
      <w:start w:val="1"/>
    </w:lvl>
  </w:abstractNum>
  <w:abstractNum w:abstractNumId="125">
    <w:nsid w:val="579328B9"/>
    <w:multiLevelType w:val="hybridMultilevel"/>
    <w:lvl w:ilvl="0">
      <w:lvlJc w:val="left"/>
      <w:lvlText w:val="%1"/>
      <w:numFmt w:val="lowerLetter"/>
      <w:start w:val="1"/>
    </w:lvl>
    <w:lvl w:ilvl="1">
      <w:lvlJc w:val="left"/>
      <w:lvlText w:val="(%2)"/>
      <w:numFmt w:val="lowerLetter"/>
      <w:start w:val="12"/>
    </w:lvl>
  </w:abstractNum>
  <w:abstractNum w:abstractNumId="126">
    <w:nsid w:val="5D205E20"/>
    <w:multiLevelType w:val="hybridMultilevel"/>
    <w:lvl w:ilvl="0">
      <w:lvlJc w:val="left"/>
      <w:lvlText w:val="(%1)"/>
      <w:numFmt w:val="lowerLetter"/>
      <w:start w:val="9"/>
    </w:lvl>
    <w:lvl w:ilvl="1">
      <w:lvlJc w:val="left"/>
      <w:lvlText w:val="(%2)"/>
      <w:numFmt w:val="lowerLetter"/>
      <w:start w:val="13"/>
    </w:lvl>
  </w:abstractNum>
  <w:abstractNum w:abstractNumId="127">
    <w:nsid w:val="11CCA8BA"/>
    <w:multiLevelType w:val="hybridMultilevel"/>
    <w:lvl w:ilvl="0">
      <w:lvlJc w:val="left"/>
      <w:lvlText w:val="(%1)"/>
      <w:numFmt w:val="lowerLetter"/>
      <w:start w:val="15"/>
    </w:lvl>
  </w:abstractNum>
  <w:abstractNum w:abstractNumId="128">
    <w:nsid w:val="4D32AB86"/>
    <w:multiLevelType w:val="hybridMultilevel"/>
    <w:lvl w:ilvl="0">
      <w:lvlJc w:val="left"/>
      <w:lvlText w:val="(%1)"/>
      <w:numFmt w:val="lowerLetter"/>
      <w:start w:val="17"/>
    </w:lvl>
  </w:abstractNum>
  <w:abstractNum w:abstractNumId="129">
    <w:nsid w:val="3F07ACC3"/>
    <w:multiLevelType w:val="hybridMultilevel"/>
    <w:lvl w:ilvl="0">
      <w:lvlJc w:val="left"/>
      <w:lvlText w:val="(%1)"/>
      <w:numFmt w:val="lowerLetter"/>
      <w:start w:val="1"/>
    </w:lvl>
    <w:lvl w:ilvl="1">
      <w:lvlJc w:val="left"/>
      <w:lvlText w:val="(%2)"/>
      <w:numFmt w:val="lowerRoman"/>
      <w:start w:val="2"/>
    </w:lvl>
  </w:abstractNum>
  <w:abstractNum w:abstractNumId="130">
    <w:nsid w:val="6B47F63E"/>
    <w:multiLevelType w:val="hybridMultilevel"/>
    <w:lvl w:ilvl="0">
      <w:lvlJc w:val="left"/>
      <w:lvlText w:val="(%1)"/>
      <w:numFmt w:val="lowerLetter"/>
      <w:start w:val="4"/>
    </w:lvl>
    <w:lvl w:ilvl="1">
      <w:lvlJc w:val="left"/>
      <w:lvlText w:val="(%2)"/>
      <w:numFmt w:val="lowerLetter"/>
      <w:start w:val="23"/>
    </w:lvl>
  </w:abstractNum>
  <w:abstractNum w:abstractNumId="131">
    <w:nsid w:val="5CB44A05"/>
    <w:multiLevelType w:val="hybridMultilevel"/>
    <w:lvl w:ilvl="0">
      <w:lvlJc w:val="left"/>
      <w:lvlText w:val="(%1)"/>
      <w:numFmt w:val="lowerLetter"/>
      <w:start w:val="8"/>
    </w:lvl>
    <w:lvl w:ilvl="1">
      <w:lvlJc w:val="left"/>
      <w:lvlText w:val="(%2)"/>
      <w:numFmt w:val="lowerLetter"/>
      <w:start w:val="24"/>
    </w:lvl>
  </w:abstractNum>
  <w:abstractNum w:abstractNumId="132">
    <w:nsid w:val="16CF80F1"/>
    <w:multiLevelType w:val="hybridMultilevel"/>
    <w:lvl w:ilvl="0">
      <w:lvlJc w:val="left"/>
      <w:lvlText w:val="(%1)"/>
      <w:numFmt w:val="lowerLetter"/>
      <w:start w:val="1"/>
    </w:lvl>
  </w:abstractNum>
  <w:abstractNum w:abstractNumId="133">
    <w:nsid w:val="1C695DEC"/>
    <w:multiLevelType w:val="hybridMultilevel"/>
    <w:lvl w:ilvl="0">
      <w:lvlJc w:val="left"/>
      <w:lvlText w:val="(%1)"/>
      <w:numFmt w:val="lowerLetter"/>
      <w:start w:val="2"/>
    </w:lvl>
  </w:abstractNum>
  <w:abstractNum w:abstractNumId="134">
    <w:nsid w:val="3FCFAED9"/>
    <w:multiLevelType w:val="hybridMultilevel"/>
    <w:lvl w:ilvl="0">
      <w:lvlJc w:val="left"/>
      <w:lvlText w:val="%1"/>
      <w:numFmt w:val="lowerLetter"/>
      <w:start w:val="1"/>
    </w:lvl>
    <w:lvl w:ilvl="1">
      <w:lvlJc w:val="left"/>
      <w:lvlText w:val="(%2)"/>
      <w:numFmt w:val="lowerLetter"/>
      <w:start w:val="1"/>
    </w:lvl>
  </w:abstractNum>
  <w:abstractNum w:abstractNumId="135">
    <w:nsid w:val="F856867"/>
    <w:multiLevelType w:val="hybridMultilevel"/>
    <w:lvl w:ilvl="0">
      <w:lvlJc w:val="left"/>
      <w:lvlText w:val="(%1)"/>
      <w:numFmt w:val="lowerLetter"/>
      <w:start w:val="9"/>
    </w:lvl>
    <w:lvl w:ilvl="1">
      <w:lvlJc w:val="left"/>
      <w:lvlText w:val="(%2)"/>
      <w:numFmt w:val="lowerLetter"/>
      <w:start w:val="7"/>
    </w:lvl>
  </w:abstractNum>
  <w:abstractNum w:abstractNumId="136">
    <w:nsid w:val="11B1CC33"/>
    <w:multiLevelType w:val="hybridMultilevel"/>
    <w:lvl w:ilvl="0">
      <w:lvlJc w:val="left"/>
      <w:lvlText w:val="(%1)"/>
      <w:numFmt w:val="lowerRoman"/>
      <w:start w:val="1"/>
    </w:lvl>
  </w:abstractNum>
  <w:abstractNum w:abstractNumId="137">
    <w:nsid w:val="2E22FBB7"/>
    <w:multiLevelType w:val="hybridMultilevel"/>
    <w:lvl w:ilvl="0">
      <w:lvlJc w:val="left"/>
      <w:lvlText w:val="(%1)"/>
      <w:numFmt w:val="lowerLetter"/>
      <w:start w:val="1"/>
    </w:lvl>
  </w:abstractNum>
  <w:abstractNum w:abstractNumId="138">
    <w:nsid w:val="29934699"/>
    <w:multiLevelType w:val="hybridMultilevel"/>
    <w:lvl w:ilvl="0">
      <w:lvlJc w:val="left"/>
      <w:lvlText w:val="(%1)"/>
      <w:numFmt w:val="lowerLetter"/>
      <w:start w:val="7"/>
    </w:lvl>
  </w:abstractNum>
  <w:abstractNum w:abstractNumId="139">
    <w:nsid w:val="77485850"/>
    <w:multiLevelType w:val="hybridMultilevel"/>
    <w:lvl w:ilvl="0">
      <w:lvlJc w:val="left"/>
      <w:lvlText w:val="(%1)"/>
      <w:numFmt w:val="lowerLetter"/>
      <w:start w:val="1"/>
    </w:lvl>
  </w:abstractNum>
  <w:abstractNum w:abstractNumId="140">
    <w:nsid w:val="744939A3"/>
    <w:multiLevelType w:val="hybridMultilevel"/>
    <w:lvl w:ilvl="0">
      <w:lvlJc w:val="left"/>
      <w:lvlText w:val="(%1)"/>
      <w:numFmt w:val="lowerLetter"/>
      <w:start w:val="3"/>
    </w:lvl>
  </w:abstractNum>
  <w:abstractNum w:abstractNumId="141">
    <w:nsid w:val="4FA0D2E3"/>
    <w:multiLevelType w:val="hybridMultilevel"/>
    <w:lvl w:ilvl="0">
      <w:lvlJc w:val="left"/>
      <w:lvlText w:val="(%1)"/>
      <w:numFmt w:val="lowerLetter"/>
      <w:start w:val="1"/>
    </w:lvl>
  </w:abstractNum>
  <w:abstractNum w:abstractNumId="142">
    <w:nsid w:val="6B1D2C14"/>
    <w:multiLevelType w:val="hybridMultilevel"/>
    <w:lvl w:ilvl="0">
      <w:lvlJc w:val="left"/>
      <w:lvlText w:val="(%1)"/>
      <w:numFmt w:val="lowerLetter"/>
      <w:start w:val="6"/>
    </w:lvl>
  </w:abstractNum>
  <w:abstractNum w:abstractNumId="143">
    <w:nsid w:val="68B867D3"/>
    <w:multiLevelType w:val="hybridMultilevel"/>
    <w:lvl w:ilvl="0">
      <w:lvlJc w:val="left"/>
      <w:lvlText w:val="(%1)"/>
      <w:numFmt w:val="lowerLetter"/>
      <w:start w:val="1"/>
    </w:lvl>
  </w:abstractNum>
  <w:abstractNum w:abstractNumId="144">
    <w:nsid w:val="3F7F5DD9"/>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45">
    <w:nsid w:val="2AE05A3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6">
    <w:nsid w:val="32794FF7"/>
    <w:multiLevelType w:val="hybridMultilevel"/>
    <w:lvl w:ilvl="0">
      <w:lvlJc w:val="left"/>
      <w:lvlText w:val="(%1)"/>
      <w:numFmt w:val="lowerLetter"/>
      <w:start w:val="6"/>
    </w:lvl>
  </w:abstractNum>
  <w:abstractNum w:abstractNumId="147">
    <w:nsid w:val="5454945E"/>
    <w:multiLevelType w:val="hybridMultilevel"/>
    <w:lvl w:ilvl="0">
      <w:lvlJc w:val="left"/>
      <w:lvlText w:val="(%1)"/>
      <w:numFmt w:val="lowerLetter"/>
      <w:start w:val="10"/>
    </w:lvl>
  </w:abstractNum>
  <w:abstractNum w:abstractNumId="148">
    <w:nsid w:val="4DEFDFA0"/>
    <w:multiLevelType w:val="hybridMultilevel"/>
    <w:lvl w:ilvl="0">
      <w:lvlJc w:val="left"/>
      <w:lvlText w:val="(%1)"/>
      <w:numFmt w:val="lowerLetter"/>
      <w:start w:val="1"/>
    </w:lvl>
  </w:abstractNum>
  <w:abstractNum w:abstractNumId="149">
    <w:nsid w:val="2123D5F2"/>
    <w:multiLevelType w:val="hybridMultilevel"/>
    <w:lvl w:ilvl="0">
      <w:lvlJc w:val="left"/>
      <w:lvlText w:val="(%1)"/>
      <w:numFmt w:val="lowerLetter"/>
      <w:start w:val="1"/>
    </w:lvl>
  </w:abstractNum>
  <w:abstractNum w:abstractNumId="150">
    <w:nsid w:val="135B8110"/>
    <w:multiLevelType w:val="hybridMultilevel"/>
    <w:lvl w:ilvl="0">
      <w:lvlJc w:val="left"/>
      <w:lvlText w:val="(%1)"/>
      <w:numFmt w:val="lowerLetter"/>
      <w:start w:val="2"/>
    </w:lvl>
  </w:abstractNum>
  <w:abstractNum w:abstractNumId="151">
    <w:nsid w:val="94927A8"/>
    <w:multiLevelType w:val="hybridMultilevel"/>
    <w:lvl w:ilvl="0">
      <w:lvlJc w:val="left"/>
      <w:lvlText w:val="(%1)"/>
      <w:numFmt w:val="lowerLetter"/>
      <w:start w:val="1"/>
    </w:lvl>
  </w:abstractNum>
  <w:abstractNum w:abstractNumId="152">
    <w:nsid w:val="DCDF8F6"/>
    <w:multiLevelType w:val="hybridMultilevel"/>
    <w:lvl w:ilvl="0">
      <w:lvlJc w:val="left"/>
      <w:lvlText w:val="(%1)"/>
      <w:numFmt w:val="lowerLetter"/>
      <w:start w:val="3"/>
    </w:lvl>
  </w:abstractNum>
  <w:abstractNum w:abstractNumId="153">
    <w:nsid w:val="52D7B105"/>
    <w:multiLevelType w:val="hybridMultilevel"/>
    <w:lvl w:ilvl="0">
      <w:lvlJc w:val="left"/>
      <w:lvlText w:val="(%1)"/>
      <w:numFmt w:val="lowerLetter"/>
      <w:start w:val="1"/>
    </w:lvl>
  </w:abstractNum>
  <w:abstractNum w:abstractNumId="154">
    <w:nsid w:val="2E8A6394"/>
    <w:multiLevelType w:val="hybridMultilevel"/>
    <w:lvl w:ilvl="0">
      <w:lvlJc w:val="left"/>
      <w:lvlText w:val="(%1)"/>
      <w:numFmt w:val="lowerLetter"/>
      <w:start w:val="2"/>
    </w:lvl>
  </w:abstractNum>
  <w:abstractNum w:abstractNumId="155">
    <w:nsid w:val="24E604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6">
    <w:nsid w:val="2A6AD9BE"/>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4"/>
    </w:lvl>
  </w:abstractNum>
  <w:abstractNum w:abstractNumId="157">
    <w:nsid w:val="BAAC1B4"/>
    <w:multiLevelType w:val="hybridMultilevel"/>
    <w:lvl w:ilvl="0">
      <w:lvlJc w:val="left"/>
      <w:lvlText w:val="(%1)"/>
      <w:numFmt w:val="lowerLetter"/>
      <w:start w:val="1"/>
    </w:lvl>
  </w:abstractNum>
  <w:abstractNum w:abstractNumId="158">
    <w:nsid w:val="36B2ACBC"/>
    <w:multiLevelType w:val="hybridMultilevel"/>
    <w:lvl w:ilvl="0">
      <w:lvlJc w:val="left"/>
      <w:lvlText w:val="(%1)"/>
      <w:numFmt w:val="lowerLetter"/>
      <w:start w:val="1"/>
    </w:lvl>
  </w:abstractNum>
  <w:abstractNum w:abstractNumId="159">
    <w:nsid w:val="779D8544"/>
    <w:multiLevelType w:val="hybridMultilevel"/>
    <w:lvl w:ilvl="0">
      <w:lvlJc w:val="left"/>
      <w:lvlText w:val="(%1)"/>
      <w:numFmt w:val="lowerLetter"/>
      <w:start w:val="2"/>
    </w:lvl>
    <w:lvl w:ilvl="1">
      <w:lvlJc w:val="left"/>
      <w:lvlText w:val="(%2)"/>
      <w:numFmt w:val="lowerRoman"/>
      <w:start w:val="1"/>
    </w:lvl>
  </w:abstractNum>
  <w:abstractNum w:abstractNumId="160">
    <w:nsid w:val="4AB26E78"/>
    <w:multiLevelType w:val="hybridMultilevel"/>
    <w:lvl w:ilvl="0">
      <w:lvlJc w:val="left"/>
      <w:lvlText w:val="%1"/>
      <w:numFmt w:val="lowerLetter"/>
      <w:start w:val="1"/>
    </w:lvl>
    <w:lvl w:ilvl="1">
      <w:lvlJc w:val="left"/>
      <w:lvlText w:val="(%2)"/>
      <w:numFmt w:val="lowerRoman"/>
      <w:start w:val="3"/>
    </w:lvl>
  </w:abstractNum>
  <w:abstractNum w:abstractNumId="161">
    <w:nsid w:val="21FAA2FA"/>
    <w:multiLevelType w:val="hybridMultilevel"/>
    <w:lvl w:ilvl="0">
      <w:lvlJc w:val="left"/>
      <w:lvlText w:val="(%1)"/>
      <w:numFmt w:val="lowerLetter"/>
      <w:start w:val="5"/>
    </w:lvl>
    <w:lvl w:ilvl="1">
      <w:lvlJc w:val="left"/>
      <w:lvlText w:val="%2"/>
      <w:numFmt w:val="lowerRoman"/>
      <w:start w:val="1"/>
    </w:lvl>
  </w:abstractNum>
  <w:abstractNum w:abstractNumId="162">
    <w:nsid w:val="5451CF49"/>
    <w:multiLevelType w:val="hybridMultilevel"/>
    <w:lvl w:ilvl="0">
      <w:lvlJc w:val="left"/>
      <w:lvlText w:val="(%1)"/>
      <w:numFmt w:val="lowerLetter"/>
      <w:start w:val="1"/>
    </w:lvl>
  </w:abstractNum>
  <w:abstractNum w:abstractNumId="163">
    <w:nsid w:val="6181EF69"/>
    <w:multiLevelType w:val="hybridMultilevel"/>
    <w:lvl w:ilvl="0">
      <w:lvlJc w:val="left"/>
      <w:lvlText w:val="(%1)"/>
      <w:numFmt w:val="lowerLetter"/>
      <w:start w:val="3"/>
    </w:lvl>
  </w:abstractNum>
  <w:abstractNum w:abstractNumId="164">
    <w:nsid w:val="3E6400E6"/>
    <w:multiLevelType w:val="hybridMultilevel"/>
    <w:lvl w:ilvl="0">
      <w:lvlJc w:val="left"/>
      <w:lvlText w:val="(%1)"/>
      <w:numFmt w:val="lowerLetter"/>
      <w:start w:val="1"/>
    </w:lvl>
  </w:abstractNum>
  <w:abstractNum w:abstractNumId="165">
    <w:nsid w:val="14217E23"/>
    <w:multiLevelType w:val="hybridMultilevel"/>
    <w:lvl w:ilvl="0">
      <w:lvlJc w:val="left"/>
      <w:lvlText w:val="(%1)"/>
      <w:numFmt w:val="lowerLetter"/>
      <w:start w:val="2"/>
    </w:lvl>
  </w:abstractNum>
  <w:abstractNum w:abstractNumId="166">
    <w:nsid w:val="710757D0"/>
    <w:multiLevelType w:val="hybridMultilevel"/>
    <w:lvl w:ilvl="0">
      <w:lvlJc w:val="left"/>
      <w:lvlText w:val="(%1)"/>
      <w:numFmt w:val="lowerRoman"/>
      <w:start w:val="1"/>
    </w:lvl>
  </w:abstractNum>
  <w:abstractNum w:abstractNumId="167">
    <w:nsid w:val="5015CD1A"/>
    <w:multiLevelType w:val="hybridMultilevel"/>
    <w:lvl w:ilvl="0">
      <w:lvlJc w:val="left"/>
      <w:lvlText w:val="(%1)"/>
      <w:numFmt w:val="lowerLetter"/>
      <w:start w:val="1"/>
    </w:lvl>
  </w:abstractNum>
  <w:abstractNum w:abstractNumId="168">
    <w:nsid w:val="424479DA"/>
    <w:multiLevelType w:val="hybridMultilevel"/>
    <w:lvl w:ilvl="0">
      <w:lvlJc w:val="left"/>
      <w:lvlText w:val="(%1)"/>
      <w:numFmt w:val="lowerRoman"/>
      <w:start w:val="1"/>
    </w:lvl>
  </w:abstractNum>
  <w:abstractNum w:abstractNumId="169">
    <w:nsid w:val="1A9A9E69"/>
    <w:multiLevelType w:val="hybridMultilevel"/>
    <w:lvl w:ilvl="0">
      <w:lvlJc w:val="left"/>
      <w:lvlText w:val="(%1)"/>
      <w:numFmt w:val="lowerLetter"/>
      <w:start w:val="2"/>
    </w:lvl>
  </w:abstractNum>
  <w:abstractNum w:abstractNumId="170">
    <w:nsid w:val="475E256A"/>
    <w:multiLevelType w:val="hybridMultilevel"/>
    <w:lvl w:ilvl="0">
      <w:lvlJc w:val="left"/>
      <w:lvlText w:val="(%1)"/>
      <w:numFmt w:val="lowerLetter"/>
      <w:start w:val="3"/>
    </w:lvl>
  </w:abstractNum>
  <w:abstractNum w:abstractNumId="171">
    <w:nsid w:val="368DB37E"/>
    <w:multiLevelType w:val="hybridMultilevel"/>
    <w:lvl w:ilvl="0">
      <w:lvlJc w:val="left"/>
      <w:lvlText w:val="(%1)"/>
      <w:numFmt w:val="lowerLetter"/>
      <w:start w:val="4"/>
    </w:lvl>
  </w:abstractNum>
  <w:abstractNum w:abstractNumId="172">
    <w:nsid w:val="6A3B714C"/>
    <w:multiLevelType w:val="hybridMultilevel"/>
    <w:lvl w:ilvl="0">
      <w:lvlJc w:val="left"/>
      <w:lvlText w:val="(%1)"/>
      <w:numFmt w:val="lowerLetter"/>
      <w:start w:val="1"/>
    </w:lvl>
  </w:abstractNum>
  <w:abstractNum w:abstractNumId="173">
    <w:nsid w:val="327B517E"/>
    <w:multiLevelType w:val="hybridMultilevel"/>
    <w:lvl w:ilvl="0">
      <w:lvlJc w:val="left"/>
      <w:lvlText w:val="(%1)"/>
      <w:numFmt w:val="lowerLetter"/>
      <w:start w:val="2"/>
    </w:lvl>
  </w:abstractNum>
  <w:abstractNum w:abstractNumId="174">
    <w:nsid w:val="1F461B51"/>
    <w:multiLevelType w:val="hybridMultilevel"/>
    <w:lvl w:ilvl="0">
      <w:lvlJc w:val="left"/>
      <w:lvlText w:val="(%1)"/>
      <w:numFmt w:val="lowerLetter"/>
      <w:start w:val="4"/>
    </w:lvl>
  </w:abstractNum>
  <w:abstractNum w:abstractNumId="175">
    <w:nsid w:val="29BACF25"/>
    <w:multiLevelType w:val="hybridMultilevel"/>
    <w:lvl w:ilvl="0">
      <w:lvlJc w:val="left"/>
      <w:lvlText w:val="(%1)"/>
      <w:numFmt w:val="lowerLetter"/>
      <w:start w:val="1"/>
    </w:lvl>
  </w:abstractNum>
  <w:abstractNum w:abstractNumId="176">
    <w:nsid w:val="5D5BABB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7">
    <w:nsid w:val="51BF6B48"/>
    <w:multiLevelType w:val="hybridMultilevel"/>
    <w:lvl w:ilvl="0">
      <w:lvlJc w:val="left"/>
      <w:lvlText w:val="(%1)"/>
      <w:numFmt w:val="upperLetter"/>
      <w:start w:val="1"/>
    </w:lvl>
  </w:abstractNum>
  <w:abstractNum w:abstractNumId="178">
    <w:nsid w:val="7E0F6384"/>
    <w:multiLevelType w:val="hybridMultilevel"/>
    <w:lvl w:ilvl="0">
      <w:lvlJc w:val="left"/>
      <w:lvlText w:val="(%1)"/>
      <w:numFmt w:val="upperLetter"/>
      <w:start w:val="2"/>
    </w:lvl>
  </w:abstractNum>
  <w:abstractNum w:abstractNumId="179">
    <w:nsid w:val="2B4B8B53"/>
    <w:multiLevelType w:val="hybridMultilevel"/>
    <w:lvl w:ilvl="0">
      <w:lvlJc w:val="left"/>
      <w:lvlText w:val="(%1)"/>
      <w:numFmt w:val="lowerRoman"/>
      <w:start w:val="4"/>
    </w:lvl>
  </w:abstractNum>
  <w:abstractNum w:abstractNumId="180">
    <w:nsid w:val="72E3413A"/>
    <w:multiLevelType w:val="hybridMultilevel"/>
    <w:lvl w:ilvl="0">
      <w:lvlJc w:val="left"/>
      <w:lvlText w:val="(%1)"/>
      <w:numFmt w:val="lowerLetter"/>
      <w:start w:val="3"/>
    </w:lvl>
  </w:abstractNum>
  <w:abstractNum w:abstractNumId="181">
    <w:nsid w:val="116AE494"/>
    <w:multiLevelType w:val="hybridMultilevel"/>
    <w:lvl w:ilvl="0">
      <w:lvlJc w:val="left"/>
      <w:lvlText w:val="(%1)"/>
      <w:numFmt w:val="lowerLetter"/>
      <w:start w:val="5"/>
    </w:lvl>
  </w:abstractNum>
  <w:abstractNum w:abstractNumId="182">
    <w:nsid w:val="3494B2FB"/>
    <w:multiLevelType w:val="hybridMultilevel"/>
    <w:lvl w:ilvl="0">
      <w:lvlJc w:val="left"/>
      <w:lvlText w:val="(%1)"/>
      <w:numFmt w:val="lowerLetter"/>
      <w:start w:val="1"/>
    </w:lvl>
  </w:abstractNum>
  <w:abstractNum w:abstractNumId="183">
    <w:nsid w:val="B13A31"/>
    <w:multiLevelType w:val="hybridMultilevel"/>
    <w:lvl w:ilvl="0">
      <w:lvlJc w:val="left"/>
      <w:lvlText w:val="(%1)"/>
      <w:numFmt w:val="lowerLetter"/>
      <w:start w:val="3"/>
    </w:lvl>
  </w:abstractNum>
  <w:abstractNum w:abstractNumId="184">
    <w:nsid w:val="64429599"/>
    <w:multiLevelType w:val="hybridMultilevel"/>
    <w:lvl w:ilvl="0">
      <w:lvlJc w:val="left"/>
      <w:lvlText w:val="(%1)"/>
      <w:numFmt w:val="lowerLetter"/>
      <w:start w:val="1"/>
    </w:lvl>
  </w:abstractNum>
  <w:abstractNum w:abstractNumId="185">
    <w:nsid w:val="631F1690"/>
    <w:multiLevelType w:val="hybridMultilevel"/>
    <w:lvl w:ilvl="0">
      <w:lvlJc w:val="left"/>
      <w:lvlText w:val="(%1)"/>
      <w:numFmt w:val="lowerLetter"/>
      <w:start w:val="3"/>
    </w:lvl>
  </w:abstractNum>
  <w:abstractNum w:abstractNumId="186">
    <w:nsid w:val="25973E32"/>
    <w:multiLevelType w:val="hybridMultilevel"/>
    <w:lvl w:ilvl="0">
      <w:lvlJc w:val="left"/>
      <w:lvlText w:val="(%1)"/>
      <w:numFmt w:val="lowerLetter"/>
      <w:start w:val="1"/>
    </w:lvl>
    <w:lvl w:ilvl="1">
      <w:lvlJc w:val="left"/>
      <w:lvlText w:val="(%2)"/>
      <w:numFmt w:val="lowerRoman"/>
      <w:start w:val="1"/>
    </w:lvl>
  </w:abstractNum>
  <w:abstractNum w:abstractNumId="187">
    <w:nsid w:val="EAD6F57"/>
    <w:multiLevelType w:val="hybridMultilevel"/>
    <w:lvl w:ilvl="0">
      <w:lvlJc w:val="left"/>
      <w:lvlText w:val="(%1)"/>
      <w:numFmt w:val="lowerRoman"/>
      <w:start w:val="3"/>
    </w:lvl>
  </w:abstractNum>
  <w:abstractNum w:abstractNumId="188">
    <w:nsid w:val="6EC9D844"/>
    <w:multiLevelType w:val="hybridMultilevel"/>
    <w:lvl w:ilvl="0">
      <w:lvlJc w:val="left"/>
      <w:lvlText w:val="(%1)"/>
      <w:numFmt w:val="lowerLetter"/>
      <w:start w:val="1"/>
    </w:lvl>
  </w:abstractNum>
  <w:abstractNum w:abstractNumId="189">
    <w:nsid w:val="5C49EAE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2021-12-01T15:38:29Z</dcterms:created>
  <dcterms:modified xsi:type="dcterms:W3CDTF">2021-12-01T15:38:29Z</dcterms:modified>
</cp:coreProperties>
</file>