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12/03/2018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9"/>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0" w:type="dxa"/>
            <w:vAlign w:val="bottom"/>
            <w:gridSpan w:val="5"/>
            <w:vMerge w:val="restart"/>
          </w:tcPr>
          <w:p>
            <w:pPr>
              <w:ind w:left="160"/>
              <w:spacing w:after="0" w:line="189" w:lineRule="exact"/>
              <w:rPr>
                <w:sz w:val="20"/>
                <w:szCs w:val="20"/>
                <w:color w:val="auto"/>
              </w:rPr>
            </w:pPr>
            <w:r>
              <w:rPr>
                <w:rFonts w:ascii="Arial" w:cs="Arial" w:eastAsia="Arial" w:hAnsi="Arial"/>
                <w:sz w:val="18"/>
                <w:szCs w:val="18"/>
                <w:color w:val="0000FF"/>
              </w:rPr>
              <w:t>12/06/2018</w:t>
            </w: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gridSpan w:val="6"/>
          </w:tcPr>
          <w:p>
            <w:pPr>
              <w:ind w:left="6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214</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14,941</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514</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199"/>
              <w:spacing w:after="0"/>
              <w:rPr>
                <w:sz w:val="20"/>
                <w:szCs w:val="20"/>
                <w:color w:val="auto"/>
              </w:rPr>
            </w:pPr>
            <w:r>
              <w:rPr>
                <w:rFonts w:ascii="Arial" w:cs="Arial" w:eastAsia="Arial" w:hAnsi="Arial"/>
                <w:sz w:val="35"/>
                <w:szCs w:val="35"/>
                <w:color w:val="0000FF"/>
                <w:w w:val="97"/>
                <w:vertAlign w:val="subscript"/>
              </w:rPr>
              <w:t>57,897</w:t>
            </w:r>
            <w:r>
              <w:rPr>
                <w:rFonts w:ascii="Arial" w:cs="Arial" w:eastAsia="Arial" w:hAnsi="Arial"/>
                <w:sz w:val="11"/>
                <w:szCs w:val="11"/>
                <w:color w:val="008000"/>
                <w:w w:val="97"/>
              </w:rPr>
              <w:t>(3)(4)</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2,848 dividend equivalent rights that may only be settled in Class A Common Stock. There has been a de minimus adjustment of 6 shares to the number of dividend equivalent rights as a result of rounding fractional shares.</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3,944 dividend equivalent rights that may only be settled in Class C Common Stock. There has been a de minimus adjustment of 5 shares to the total number of dividend equivalent rights as a result of rounding fractional shares.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Amended to correct a typographical error in the number of securities beneficially owned.</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02/07/2019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2019-12-23T22:29:27Z</dcterms:created>
  <dcterms:modified xsi:type="dcterms:W3CDTF">2019-12-23T22:29:27Z</dcterms:modified>
</cp:coreProperties>
</file>