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14,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w:t>
      </w:r>
      <w:r>
        <w:rPr>
          <w:rFonts w:ascii="Arial" w:cs="Arial" w:eastAsia="Arial" w:hAnsi="Arial"/>
          <w:sz w:val="18"/>
          <w:szCs w:val="18"/>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608</w:t>
      </w:r>
      <w:r>
        <w:rPr>
          <w:rFonts w:ascii="Arial" w:cs="Arial" w:eastAsia="Arial" w:hAnsi="Arial"/>
          <w:sz w:val="18"/>
          <w:szCs w:val="18"/>
          <w:color w:val="auto"/>
        </w:rPr>
        <w:t>-</w:t>
      </w:r>
      <w:r>
        <w:rPr>
          <w:rFonts w:ascii="Arial" w:cs="Arial" w:eastAsia="Arial" w:hAnsi="Arial"/>
          <w:sz w:val="18"/>
          <w:szCs w:val="18"/>
          <w:b w:val="1"/>
          <w:bCs w:val="1"/>
          <w:color w:val="auto"/>
        </w:rPr>
        <w:t>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2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540"/>
        <w:spacing w:after="0"/>
        <w:tabs>
          <w:tab w:leader="none" w:pos="10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CEG ROFO Agreement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14, 2019, Clearway Energy,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the First Amendment to Right of First Offer Agreement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w:t>
      </w:r>
      <w:r>
        <w:rPr>
          <w:rFonts w:ascii="Arial" w:cs="Arial" w:eastAsia="Arial" w:hAnsi="Arial"/>
          <w:sz w:val="17"/>
          <w:szCs w:val="17"/>
          <w:color w:val="auto"/>
        </w:rPr>
        <w:t>”) with Clearway Energy Group LLC (“</w:t>
      </w:r>
      <w:r>
        <w:rPr>
          <w:rFonts w:ascii="Arial" w:cs="Arial" w:eastAsia="Arial" w:hAnsi="Arial"/>
          <w:sz w:val="17"/>
          <w:szCs w:val="17"/>
          <w:u w:val="single" w:color="auto"/>
          <w:color w:val="auto"/>
        </w:rPr>
        <w:t>CEG</w:t>
      </w:r>
      <w:r>
        <w:rPr>
          <w:rFonts w:ascii="Arial" w:cs="Arial" w:eastAsia="Arial" w:hAnsi="Arial"/>
          <w:sz w:val="17"/>
          <w:szCs w:val="17"/>
          <w:color w:val="auto"/>
        </w:rPr>
        <w:t>”). Pursuant to the Amendment, CEG agreed to add Hawaii Solar Phase II, which consists of two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solar and storage projects located in Oahu, Hawaii with a combined capacity of 75 megawatts, to the CEG ROFO pipeline. CEG, through its ownership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Class B and Class D common stock, has a majority voting interest in the Company. The foregoing description of the Amendment does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purport to be complete and is subject to, and qualified in its entirety by, the full text of the Amendment attached as Exhibit 10.1 hereto, which is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by reference.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February 14, 2019, the Company issued a press release announcing business updates and updates to its 2019 financial guidance. A copy of the press release is filed as Exhibit 99.1 to this report on Form 8-K and is hereby incorporated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100" w:type="dxa"/>
            <w:vAlign w:val="bottom"/>
            <w:gridSpan w:val="2"/>
            <w:vMerge w:val="restart"/>
          </w:tcPr>
          <w:p>
            <w:pPr>
              <w:ind w:left="18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28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First Amendment to Right of First Offer Agreement, dated February 14, 2019, by and between Clearway Energy Group LLC and</w:t>
              </w:r>
            </w:hyperlink>
          </w:p>
        </w:tc>
        <w:tc>
          <w:tcPr>
            <w:tcW w:w="6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Clearway Energy, Inc.</w:t>
              </w:r>
            </w:hyperlink>
          </w:p>
        </w:tc>
        <w:tc>
          <w:tcPr>
            <w:tcW w:w="83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dated February 14,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800" w:type="dxa"/>
            <w:vAlign w:val="bottom"/>
            <w:tcBorders>
              <w:top w:val="single" w:sz="8" w:color="0000EE"/>
            </w:tcBorders>
            <w:gridSpan w:val="2"/>
          </w:tcPr>
          <w:p>
            <w:pPr>
              <w:spacing w:after="0"/>
              <w:rPr>
                <w:sz w:val="24"/>
                <w:szCs w:val="24"/>
                <w:color w:val="auto"/>
              </w:rPr>
            </w:pPr>
          </w:p>
        </w:tc>
        <w:tc>
          <w:tcPr>
            <w:tcW w:w="6480" w:type="dxa"/>
            <w:vAlign w:val="bottom"/>
          </w:tcPr>
          <w:p>
            <w:pPr>
              <w:jc w:val="right"/>
              <w:ind w:right="4959"/>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64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OFFER AGREEMENT</w:t>
      </w:r>
    </w:p>
    <w:p>
      <w:pPr>
        <w:spacing w:after="0" w:line="211" w:lineRule="exact"/>
        <w:rPr>
          <w:sz w:val="20"/>
          <w:szCs w:val="20"/>
          <w:color w:val="auto"/>
        </w:rPr>
      </w:pPr>
    </w:p>
    <w:p>
      <w:pPr>
        <w:ind w:right="60" w:firstLine="654"/>
        <w:spacing w:after="0" w:line="277" w:lineRule="auto"/>
        <w:rPr>
          <w:sz w:val="20"/>
          <w:szCs w:val="20"/>
          <w:color w:val="auto"/>
        </w:rPr>
      </w:pPr>
      <w:r>
        <w:rPr>
          <w:rFonts w:ascii="Arial" w:cs="Arial" w:eastAsia="Arial" w:hAnsi="Arial"/>
          <w:sz w:val="18"/>
          <w:szCs w:val="18"/>
          <w:color w:val="auto"/>
        </w:rPr>
        <w:t>This FIRST AMENDMENT TO RIGHT OF FIRST OFFER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and entered into as of February 14, 2019, by and between Clearway Energy Group LLC (“</w:t>
      </w:r>
      <w:r>
        <w:rPr>
          <w:rFonts w:ascii="Arial" w:cs="Arial" w:eastAsia="Arial" w:hAnsi="Arial"/>
          <w:sz w:val="18"/>
          <w:szCs w:val="18"/>
          <w:b w:val="1"/>
          <w:bCs w:val="1"/>
          <w:i w:val="1"/>
          <w:iCs w:val="1"/>
          <w:color w:val="auto"/>
        </w:rPr>
        <w:t>CEG</w:t>
      </w:r>
      <w:r>
        <w:rPr>
          <w:rFonts w:ascii="Arial" w:cs="Arial" w:eastAsia="Arial" w:hAnsi="Arial"/>
          <w:sz w:val="18"/>
          <w:szCs w:val="18"/>
          <w:color w:val="auto"/>
        </w:rPr>
        <w:t>”) and Clearway Energy, Inc. (“</w:t>
      </w:r>
      <w:r>
        <w:rPr>
          <w:rFonts w:ascii="Arial" w:cs="Arial" w:eastAsia="Arial" w:hAnsi="Arial"/>
          <w:sz w:val="18"/>
          <w:szCs w:val="18"/>
          <w:b w:val="1"/>
          <w:bCs w:val="1"/>
          <w:i w:val="1"/>
          <w:iCs w:val="1"/>
          <w:color w:val="auto"/>
        </w:rPr>
        <w:t>CWEN</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380" w:firstLine="654"/>
        <w:spacing w:after="0" w:line="277" w:lineRule="auto"/>
        <w:rPr>
          <w:sz w:val="20"/>
          <w:szCs w:val="20"/>
          <w:color w:val="auto"/>
        </w:rPr>
      </w:pPr>
      <w:r>
        <w:rPr>
          <w:rFonts w:ascii="Arial" w:cs="Arial" w:eastAsia="Arial" w:hAnsi="Arial"/>
          <w:sz w:val="18"/>
          <w:szCs w:val="18"/>
          <w:color w:val="auto"/>
        </w:rPr>
        <w:t>WHEREAS, CEG (formerly known as Zephyr Renewables LLC) and CWEN (formerly known as NRG Yield, Inc.) entered into a Right of First Offer Agreement as of August 31, 2018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amend certain provisions of the Agreement as more particularly set forth in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for mutual and valuable consideration, the receipt and sufficiency of which is hereby acknowledged, the Parties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shall be inserted in the list of terms in alphabetical order:</w:t>
      </w:r>
    </w:p>
    <w:p>
      <w:pPr>
        <w:spacing w:after="0" w:line="225" w:lineRule="exact"/>
        <w:rPr>
          <w:rFonts w:ascii="Arial" w:cs="Arial" w:eastAsia="Arial" w:hAnsi="Arial"/>
          <w:sz w:val="18"/>
          <w:szCs w:val="18"/>
          <w:color w:val="auto"/>
        </w:rPr>
      </w:pPr>
    </w:p>
    <w:p>
      <w:pPr>
        <w:ind w:left="1960" w:right="100" w:hanging="169"/>
        <w:spacing w:after="0" w:line="266" w:lineRule="auto"/>
        <w:tabs>
          <w:tab w:leader="none" w:pos="1974" w:val="left"/>
        </w:tabs>
        <w:numPr>
          <w:ilvl w:val="2"/>
          <w:numId w:val="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Mililani I</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100% of the membership interests in Mililani I Renewables, LLC, which in turn owns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interests in Mililani I Solar Holdings, LLC, which in turn owns 100% of the membership interests in Mililani I Solar, LLC.</w:t>
      </w:r>
    </w:p>
    <w:p>
      <w:pPr>
        <w:spacing w:after="0" w:line="176" w:lineRule="exact"/>
        <w:rPr>
          <w:rFonts w:ascii="Arial" w:cs="Arial" w:eastAsia="Arial" w:hAnsi="Arial"/>
          <w:sz w:val="18"/>
          <w:szCs w:val="18"/>
          <w:color w:val="auto"/>
        </w:rPr>
      </w:pPr>
    </w:p>
    <w:p>
      <w:pPr>
        <w:ind w:left="1960" w:right="400" w:hanging="169"/>
        <w:spacing w:after="0" w:line="266" w:lineRule="auto"/>
        <w:tabs>
          <w:tab w:leader="none" w:pos="1983" w:val="left"/>
        </w:tabs>
        <w:numPr>
          <w:ilvl w:val="2"/>
          <w:numId w:val="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Waiawa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100% of the membership interests in Waiawa Renewables LLC, which in turn owns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interests in Waiawa Solar Holdings LLC, which in turn owns 100% of the membership interests in Waiawa Solar Power LLC.</w:t>
      </w:r>
    </w:p>
    <w:p>
      <w:pPr>
        <w:spacing w:after="0" w:line="176" w:lineRule="exact"/>
        <w:rPr>
          <w:rFonts w:ascii="Arial" w:cs="Arial" w:eastAsia="Arial" w:hAnsi="Arial"/>
          <w:sz w:val="18"/>
          <w:szCs w:val="18"/>
          <w:color w:val="auto"/>
        </w:rPr>
      </w:pPr>
    </w:p>
    <w:p>
      <w:pPr>
        <w:ind w:left="1300" w:right="160" w:hanging="320"/>
        <w:spacing w:after="0" w:line="258"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sentence of Section 2.1 shall be deleted in its entirety and replaced with the following: “During the Term, Zephyr</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to Yield and its Subsidiaries a right of first offer on any proposed Transfer of each of Kawailoa, Oahu, Langford, Mesquite Star, Mililani I, Waiawa, Carlsbad (but only if Zephyr or one of its Subsidiaries has acquired Carlsbad following the assignment of NYLD Op’s rights and obligations under the Carlsbad Drop Down PSA pursuant to Section 6.04 of the Carlsbad Drop Down PSA) and the Solar Portfolio (the “</w:t>
      </w:r>
      <w:r>
        <w:rPr>
          <w:rFonts w:ascii="Arial" w:cs="Arial" w:eastAsia="Arial" w:hAnsi="Arial"/>
          <w:sz w:val="18"/>
          <w:szCs w:val="18"/>
          <w:u w:val="single" w:color="auto"/>
          <w:color w:val="auto"/>
        </w:rPr>
        <w:t>Zephyr ROFO Assets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60" w:right="40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and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as of the date hereof. No modification or amendment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 binding unless evidenced in a writing signed by the parties. Except as amended herein by this Amendment, the Agreement shall remain in full force and effect. Capitalized terms used herein, and not otherwise defined, shall have the same meanings as set forth in the Agreement.</w:t>
      </w:r>
    </w:p>
    <w:p>
      <w:pPr>
        <w:spacing w:after="0" w:line="18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governed in accordance with the laws of the jurisdiction specified in the Agreement.</w:t>
      </w:r>
    </w:p>
    <w:p>
      <w:pPr>
        <w:spacing w:after="0" w:line="225" w:lineRule="exact"/>
        <w:rPr>
          <w:rFonts w:ascii="Arial" w:cs="Arial" w:eastAsia="Arial" w:hAnsi="Arial"/>
          <w:sz w:val="18"/>
          <w:szCs w:val="18"/>
          <w:color w:val="auto"/>
        </w:rPr>
      </w:pPr>
    </w:p>
    <w:p>
      <w:pPr>
        <w:ind w:left="660" w:right="160" w:hanging="652"/>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several counterparts, each of which is an original and all of which together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instrument. A signature on a copy of this Amendment received by any party by facsimile or .PDF document is binding upon the other parties as an original. Each party agrees that a photocopy of such facsimile or .PDF document may also be treated by the parties as a duplicate original.</w:t>
      </w:r>
    </w:p>
    <w:p>
      <w:pPr>
        <w:spacing w:after="0" w:line="18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entered into this Amendment as of the date first written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CLEARWAY ENERGY GROUP LLC</w:t>
            </w:r>
          </w:p>
        </w:tc>
        <w:tc>
          <w:tcPr>
            <w:tcW w:w="5840" w:type="dxa"/>
            <w:vAlign w:val="bottom"/>
            <w:gridSpan w:val="2"/>
          </w:tcPr>
          <w:p>
            <w:pPr>
              <w:ind w:left="280"/>
              <w:spacing w:after="0"/>
              <w:rPr>
                <w:sz w:val="20"/>
                <w:szCs w:val="20"/>
                <w:color w:val="auto"/>
              </w:rPr>
            </w:pPr>
            <w:r>
              <w:rPr>
                <w:rFonts w:ascii="Arial" w:cs="Arial" w:eastAsia="Arial" w:hAnsi="Arial"/>
                <w:sz w:val="18"/>
                <w:szCs w:val="18"/>
                <w:b w:val="1"/>
                <w:bCs w:val="1"/>
                <w:color w:val="auto"/>
              </w:rPr>
              <w:t>CLEARWAY ENERGY, INC.</w:t>
            </w:r>
          </w:p>
        </w:tc>
        <w:tc>
          <w:tcPr>
            <w:tcW w:w="40" w:type="dxa"/>
            <w:vAlign w:val="bottom"/>
          </w:tcPr>
          <w:p>
            <w:pPr>
              <w:spacing w:after="0"/>
              <w:rPr>
                <w:sz w:val="20"/>
                <w:szCs w:val="20"/>
                <w:color w:val="auto"/>
              </w:rPr>
            </w:pPr>
          </w:p>
        </w:tc>
      </w:tr>
      <w:tr>
        <w:trPr>
          <w:trHeight w:val="64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/s/ Craig Cornelius</w:t>
            </w:r>
          </w:p>
        </w:tc>
        <w:tc>
          <w:tcPr>
            <w:tcW w:w="1020" w:type="dxa"/>
            <w:vAlign w:val="bottom"/>
          </w:tcPr>
          <w:p>
            <w:pPr>
              <w:ind w:left="280"/>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Christopher S. Sotos</w:t>
            </w: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Craig Cornelius</w:t>
            </w:r>
          </w:p>
        </w:tc>
        <w:tc>
          <w:tcPr>
            <w:tcW w:w="1020" w:type="dxa"/>
            <w:vAlign w:val="bottom"/>
          </w:tcPr>
          <w:p>
            <w:pPr>
              <w:ind w:left="28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Christopher S. Sotos</w:t>
            </w:r>
          </w:p>
        </w:tc>
        <w:tc>
          <w:tcPr>
            <w:tcW w:w="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Its:</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w:t>
            </w:r>
          </w:p>
        </w:tc>
        <w:tc>
          <w:tcPr>
            <w:tcW w:w="1020" w:type="dxa"/>
            <w:vAlign w:val="bottom"/>
          </w:tcPr>
          <w:p>
            <w:pPr>
              <w:ind w:left="280"/>
              <w:spacing w:after="0"/>
              <w:rPr>
                <w:sz w:val="20"/>
                <w:szCs w:val="20"/>
                <w:color w:val="auto"/>
              </w:rPr>
            </w:pPr>
            <w:r>
              <w:rPr>
                <w:rFonts w:ascii="Arial" w:cs="Arial" w:eastAsia="Arial" w:hAnsi="Arial"/>
                <w:sz w:val="18"/>
                <w:szCs w:val="18"/>
                <w:color w:val="auto"/>
              </w:rPr>
              <w:t>Its:</w:t>
            </w:r>
          </w:p>
        </w:tc>
        <w:tc>
          <w:tcPr>
            <w:tcW w:w="4820" w:type="dxa"/>
            <w:vAlign w:val="bottom"/>
          </w:tcPr>
          <w:p>
            <w:pPr>
              <w:spacing w:after="0"/>
              <w:rPr>
                <w:sz w:val="20"/>
                <w:szCs w:val="20"/>
                <w:color w:val="auto"/>
              </w:rPr>
            </w:pPr>
            <w:r>
              <w:rPr>
                <w:rFonts w:ascii="Arial" w:cs="Arial" w:eastAsia="Arial" w:hAnsi="Arial"/>
                <w:sz w:val="18"/>
                <w:szCs w:val="18"/>
                <w:color w:val="auto"/>
              </w:rPr>
              <w:t>President &amp; CEO</w:t>
            </w:r>
          </w:p>
        </w:tc>
        <w:tc>
          <w:tcPr>
            <w:tcW w:w="40" w:type="dxa"/>
            <w:vAlign w:val="bottom"/>
          </w:tcPr>
          <w:p>
            <w:pPr>
              <w:spacing w:after="0"/>
              <w:rPr>
                <w:sz w:val="24"/>
                <w:szCs w:val="24"/>
                <w:color w:val="auto"/>
              </w:rPr>
            </w:pPr>
          </w:p>
        </w:tc>
      </w:tr>
      <w:tr>
        <w:trPr>
          <w:trHeight w:val="341"/>
        </w:trPr>
        <w:tc>
          <w:tcPr>
            <w:tcW w:w="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800" w:type="dxa"/>
            <w:vAlign w:val="bottom"/>
            <w:tcBorders>
              <w:top w:val="single" w:sz="8" w:color="auto"/>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82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872740"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7274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 Announces Update to 2019 Financial Guidance</w:t>
      </w:r>
    </w:p>
    <w:p>
      <w:pPr>
        <w:spacing w:after="0" w:line="225"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Modifying capital allocation approach due to Pacific Gas &amp; Electric’s (PG&amp;E) bankruptcy filing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Reducing quarterly dividend to $0.20 per share in first quarter 2019</w:t>
      </w:r>
    </w:p>
    <w:p>
      <w:pPr>
        <w:spacing w:after="0" w:line="225" w:lineRule="exact"/>
        <w:rPr>
          <w:rFonts w:ascii="Arial" w:cs="Arial" w:eastAsia="Arial" w:hAnsi="Arial"/>
          <w:sz w:val="18"/>
          <w:szCs w:val="18"/>
          <w:color w:val="auto"/>
        </w:rPr>
      </w:pPr>
    </w:p>
    <w:p>
      <w:pPr>
        <w:ind w:left="660" w:right="360" w:hanging="328"/>
        <w:spacing w:after="0" w:line="347"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Global Infrastructure Partners III (GIP), Clearway Energy, Inc.’s controlling shareholder, providing key long-term support through the Carlsbad equity backstop and with continued investment in, and advancement of, Clearway Group’s renewable development business</w:t>
      </w:r>
    </w:p>
    <w:p>
      <w:pPr>
        <w:spacing w:after="0" w:line="116" w:lineRule="exact"/>
        <w:rPr>
          <w:rFonts w:ascii="Arial" w:cs="Arial" w:eastAsia="Arial" w:hAnsi="Arial"/>
          <w:sz w:val="16"/>
          <w:szCs w:val="16"/>
          <w:color w:val="auto"/>
        </w:rPr>
      </w:pP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Lowering 2019 Cash Available for Distribution guidance due to anticipated use of the Carlsbad equity backstop agreement with GIP</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Currently not pursuing acquisition of remaining interest in Agua Caliente from NRG Energy, Inc.</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Hosting regularly scheduled year-end and fourth quarter 2018 earnings call on February 28, 2019</w:t>
      </w:r>
    </w:p>
    <w:p>
      <w:pPr>
        <w:spacing w:after="0" w:line="225"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PRINCETON, NJ </w:t>
      </w:r>
      <w:r>
        <w:rPr>
          <w:rFonts w:ascii="Arial" w:cs="Arial" w:eastAsia="Arial" w:hAnsi="Arial"/>
          <w:sz w:val="17"/>
          <w:szCs w:val="17"/>
          <w:color w:val="auto"/>
        </w:rPr>
        <w:t>—</w:t>
      </w:r>
      <w:r>
        <w:rPr>
          <w:rFonts w:ascii="Arial" w:cs="Arial" w:eastAsia="Arial" w:hAnsi="Arial"/>
          <w:sz w:val="17"/>
          <w:szCs w:val="17"/>
          <w:b w:val="1"/>
          <w:bCs w:val="1"/>
          <w:color w:val="auto"/>
        </w:rPr>
        <w:t xml:space="preserve"> February 14, 2019 </w:t>
      </w:r>
      <w:r>
        <w:rPr>
          <w:rFonts w:ascii="Arial" w:cs="Arial" w:eastAsia="Arial" w:hAnsi="Arial"/>
          <w:sz w:val="17"/>
          <w:szCs w:val="17"/>
          <w:color w:val="auto"/>
        </w:rPr>
        <w:t>— Clearway Energy, Inc. (NYSE: CWEN, CWEN.A) is today announcing an update to its business and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 plans due to impacts resulting from PG&amp;E’s bankruptcy. This includes the announcement that the Company’s Board of Directors declared a quarterly dividend on each of the Company’s Class A and Class C common stock of $0.20 per share payable on March 15, 2019 to shareholders of record as of March 1, 2019(1). This compares to the quarterly dividend of $0.331 per share paid on December 17, 2018.</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“After careful deliberations with management, our board unanimously approved today’s dividend reduction in order to proactively maintain balance sheet and capital allocation flexibility during this period of uncertainty with one of Clearway’s largest customers,” said Jonathan Bram, Founding Partner of GIP and Chairman of the Board of Clearway Energy, Inc. “GIP continues to be committed to the long-term success of the Company by holding the Carlsbad project for a future acquisition by the Company, expanding the ROFO Pipeline with the addition of Hawaii Solar Phase II, and through ongoing investment in, and advancement of, new renewable development at Clearway Group.”</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PG&amp;E bankruptcy has heightened the risk that project level cash distributions could be restricted for an undetermined amount of time, thereby impacting the Company’s corporate liquidity and corporate leverage. Today’s announced dividend reduction, the exercise of GIP’s equity backstop commitment for Carlsbad, and our decision to currently forgo the potential acquisition of the additional interest in Agua Caliente are prudent actions which provide the Company financial flexibility to manage through this period of uncertainty.” said Christopher Sotos, Clearway Energy, Inc.’s President and Chief Executive Officer. “As time progresses and we receive more clarity on the PG&amp;E situation, including our ability to receive project distributions, we will reassess the dividend. Over the long term, these actions will allow us to maintain our balance sheet objectives, which will help the Company grow CAFD per share despite the current lack of clarity around cash distributions from projects impacted by the PG&amp;E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8" w:lineRule="exact"/>
        <w:rPr>
          <w:sz w:val="20"/>
          <w:szCs w:val="20"/>
          <w:color w:val="auto"/>
        </w:rPr>
      </w:pPr>
    </w:p>
    <w:p>
      <w:pPr>
        <w:ind w:left="5660" w:right="1800" w:hanging="5652"/>
        <w:spacing w:after="0" w:line="528" w:lineRule="auto"/>
        <w:tabs>
          <w:tab w:leader="none" w:pos="299"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 to Class A and C common stock holders is commensurate to the distribution received by the Class B and D unit 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PG&amp;E Related Project Exposure</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January 29, 2019, Pacific Gas and Electric Company filed for reorganization under Chapter 11 of the U.S. Bankruptcy Code. The Company either owns or invests in 1,200 net MW of electric generation projects with long-term supply or capacity contracts with PG&amp;E. As of December 31, 2018, the Company’s unaudited balance sheet included approximately $1.4 billion of non-recourse debt associated with these projects. Additionally, these projects represent approximately $90 million(2) of potential exposure to 2019 project level CAFD. The PG&amp;E bankruptcy filing has triggered defaults under the power purchase agreements with PG&amp;E and related project level financing agreements. While the Company is actively working with project level lenders on forbearance agreements, unless such lenders for the related project level debt otherwise agree, distributions to the Company from these projects may not be made during the pendency of the bankruptcy, although the Company currently expects these projects to otherwise operate in the normal course of business. These restrictions, therefore, could result in the Company accumulating less unrestricted cash and thus decrease the Company’s corporate liquidity and cash available for shareholder dividends and growth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14, 2019, PG&amp;E has neither assumed, rejected, or sought to renegotiate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Announcement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February 12, 2019, Clearway Energy, Inc.’s Board of Directors declared a quarterly dividend on Class A and Class C common stock of $0.20 per share payable on March 15, 2019, to stockholders of record as of March 1, 2019. This dividend is reduced from the last quarterly dividend paid in December 2018 of $0.331 per share.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will continue to assess the level of the dividend pending developments in the PG&amp;E bankruptcy, including the Company’s ability to receive unrestricted project distributions.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to 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Carlsbad Energy Center: Exercising the Backstop with GIP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plans to exercise the equity backstop with GIP for the acquisition of the Carlsbad Energy Center when the transaction with NRG Energy,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(NRG) closes, now expected in late February 2019. After considering final purchase price adjustments, GIP is expected to acquire Carlsbad from NRG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$387 million. Pursuant to the terms previously agreed by and between the Company and GIP, the Company maintains the option for a period of eighteen (18)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to acquire Carlsbad from GIP at the same terms and conditions previously negotiated with NRG.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 Agua Caliente: Forgoing the Drop Down Offer from NRG Energy, Inc.</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1, 2018, NRG offered the Company the opportunity to acquire Agua Caliente Borrower 1 LLC, which owns a 35% interest in Agua Caliente, a 290 MW utility-scale solar project located in Dateland, Arizona with PG&amp;E as the project’s customer. The Company has elected to forgo the acquisition at this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own a 16% interest in the project through Agua Caliente Borrower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8"/>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Appendix A-2 of this news release, potential exposure includes Desert Sunlight 250 (contracted with Southern California Edison) due to provisions in the financing agreements with Desert Sunlight 300 (contracted with Pacific Gas &amp; Electric)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Update to the ROFO Pipeline with Clearway Group</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Clearway Energy Group, GIP’s portfolio company that has the controlling ownership in the Company has added Hawaii Solar Phase II, the first addition to the ROFO pipeline since the closing of the GIP Transaction. Hawaii Solar Phase II consists of two solar and storage projects located in Oahu, Hawaii with a combined capacity of 75MW. The Mililani I Solar project, located in the Mililani Agricultural Park, is sized at 39 MW and will include battery storage capability. The Waiawa Solar Power project, located in the Waiawa region, is sized at 36 MW and will also include battery storage capability. The expected commercial operations date for these projects is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Financing Update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1st, the Company repaid the remaining $220 million of 2019 convertible notes outstanding with cash on hand. Other than the remaining $45 million of 2020 convertible notes due in June 2020, the Company has no corporate debt maturity until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Guidance Update</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Because the Company will exercise the Carlsbad backstop with GIP, the Company is revising its 2019 CAFD guidance to $270 million from $295 million. This financial guidance reflects no additional corporate level financing and assumes that all CAFD related to the projects impacted by the PG&amp;E bankruptcy is realized in 2019. Financial guidance for 2019 also continues to be based on median renewable energy production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Conference Call</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February 14, 2019, Clearway Energy, Inc. will host a conference call at 8:00 a.m. Eastern to discuss these updates. Investors, the news media and others may access the live webcast of the conference call and accompanying presentation materials by accessing Clearway Energy Inc.’s website at http://www.clearwayenergy.com and clicking on “Presentations &amp; Webcasts” under “Investor Relations.” The webcast will be archived on the website for those unable to listen in real time.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previously reported, management will continue to report its Full Year and Fourth Quarter 2018 financial results during a conference call and webcast on February 28, 2019 at 8:00 a.m. Eastern.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our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effects relating to the PG&amp;E Bankruptcy, general economic conditions, hazards customary in the power industry, weather conditions, including wind and solar performance, impacts related to climate change, competition in wholesale power markets, the volatility of energy and fuel prices, failure of customers to perform under contracts, changes in the wholesale power markets, changes in government regulations, the condition of capital markets generally, our ability to access capital markets, cyber terrorism and inadequate cybersecurity, the ability to engage in successful acquisitions activity, potential risks to the company as a result of GIP’s acquisition of its ownership interest in the Company, unanticipated outages at our generation facilities, adverse results in current and future litigation, failure to identify, execute or successfully implement acquisitions (including receipt of third party consents and regulatory approvals), our ability to enter into new contracts as existing contracts expire, our ability to acquire assets GIP III Zephyr Acquisition Partners, L.P., Clearway Energy Group or third parties, our ability to close drop down transactions, 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our senior notes, and our ability to maintain and grow our quarterly dividends. Furthermore, any dividends are subject to available capital, market conditions, and compliance with associated laws and regulations.</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Clearway Energy, Inc. undertakes no obligation to update or revise any forward-looking statements, whether as a result of new information, future events or otherwise. Adjusted EBITDA and Cash Available for Distribution are estimates as of today’s date, February 14, 2019, and are based on assumptions believed to be reasonable as of this date. Clearway Energy expressly disclaims any current intention to update such guidance.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with the Securities and Exchange Commission at www.sec.gov. In addition, Clearway Energy makes available free of charge at www.clearwayenergy.com, copies of materials it files with, or furnishes to, the SEC.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60" w:type="dxa"/>
            <w:vAlign w:val="bottom"/>
          </w:tcPr>
          <w:p>
            <w:pPr>
              <w:jc w:val="right"/>
              <w:ind w:right="5470"/>
              <w:spacing w:after="0"/>
              <w:rPr>
                <w:sz w:val="20"/>
                <w:szCs w:val="20"/>
                <w:color w:val="auto"/>
              </w:rPr>
            </w:pPr>
            <w:r>
              <w:rPr>
                <w:rFonts w:ascii="Arial" w:cs="Arial" w:eastAsia="Arial" w:hAnsi="Arial"/>
                <w:sz w:val="18"/>
                <w:szCs w:val="18"/>
                <w:b w:val="1"/>
                <w:bCs w:val="1"/>
                <w:color w:val="auto"/>
              </w:rPr>
              <w:t># # #</w:t>
            </w: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7460" w:type="dxa"/>
            <w:vAlign w:val="bottom"/>
          </w:tcPr>
          <w:p>
            <w:pPr>
              <w:spacing w:after="0"/>
              <w:rPr>
                <w:sz w:val="24"/>
                <w:szCs w:val="24"/>
                <w:color w:val="auto"/>
              </w:rPr>
            </w:pPr>
          </w:p>
        </w:tc>
      </w:tr>
      <w:tr>
        <w:trPr>
          <w:trHeight w:val="418"/>
        </w:trPr>
        <w:tc>
          <w:tcPr>
            <w:tcW w:w="4000" w:type="dxa"/>
            <w:vAlign w:val="bottom"/>
          </w:tcPr>
          <w:p>
            <w:pPr>
              <w:ind w:left="660"/>
              <w:spacing w:after="0"/>
              <w:rPr>
                <w:sz w:val="20"/>
                <w:szCs w:val="20"/>
                <w:color w:val="auto"/>
              </w:rPr>
            </w:pPr>
            <w:r>
              <w:rPr>
                <w:rFonts w:ascii="Arial" w:cs="Arial" w:eastAsia="Arial" w:hAnsi="Arial"/>
                <w:sz w:val="18"/>
                <w:szCs w:val="18"/>
                <w:b w:val="1"/>
                <w:bCs w:val="1"/>
                <w:color w:val="auto"/>
              </w:rPr>
              <w:t>Investors:</w:t>
            </w:r>
          </w:p>
        </w:tc>
        <w:tc>
          <w:tcPr>
            <w:tcW w:w="7460" w:type="dxa"/>
            <w:vAlign w:val="bottom"/>
          </w:tcPr>
          <w:p>
            <w:pPr>
              <w:ind w:left="920"/>
              <w:spacing w:after="0"/>
              <w:rPr>
                <w:sz w:val="20"/>
                <w:szCs w:val="20"/>
                <w:color w:val="auto"/>
              </w:rPr>
            </w:pPr>
            <w:r>
              <w:rPr>
                <w:rFonts w:ascii="Arial" w:cs="Arial" w:eastAsia="Arial" w:hAnsi="Arial"/>
                <w:sz w:val="18"/>
                <w:szCs w:val="18"/>
                <w:b w:val="1"/>
                <w:bCs w:val="1"/>
                <w:color w:val="auto"/>
              </w:rPr>
              <w:t>Media:</w:t>
            </w:r>
          </w:p>
        </w:tc>
      </w:tr>
      <w:tr>
        <w:trPr>
          <w:trHeight w:val="216"/>
        </w:trPr>
        <w:tc>
          <w:tcPr>
            <w:tcW w:w="4000" w:type="dxa"/>
            <w:vAlign w:val="bottom"/>
          </w:tcPr>
          <w:p>
            <w:pPr>
              <w:ind w:left="660"/>
              <w:spacing w:after="0"/>
              <w:rPr>
                <w:sz w:val="20"/>
                <w:szCs w:val="20"/>
                <w:color w:val="auto"/>
              </w:rPr>
            </w:pPr>
            <w:r>
              <w:rPr>
                <w:rFonts w:ascii="Arial" w:cs="Arial" w:eastAsia="Arial" w:hAnsi="Arial"/>
                <w:sz w:val="18"/>
                <w:szCs w:val="18"/>
                <w:color w:val="auto"/>
              </w:rPr>
              <w:t>Akil Marsh</w:t>
            </w:r>
          </w:p>
        </w:tc>
        <w:tc>
          <w:tcPr>
            <w:tcW w:w="7460" w:type="dxa"/>
            <w:vAlign w:val="bottom"/>
          </w:tcPr>
          <w:p>
            <w:pPr>
              <w:ind w:left="920"/>
              <w:spacing w:after="0"/>
              <w:rPr>
                <w:sz w:val="20"/>
                <w:szCs w:val="20"/>
                <w:color w:val="auto"/>
              </w:rPr>
            </w:pPr>
            <w:r>
              <w:rPr>
                <w:rFonts w:ascii="Arial" w:cs="Arial" w:eastAsia="Arial" w:hAnsi="Arial"/>
                <w:sz w:val="18"/>
                <w:szCs w:val="18"/>
                <w:color w:val="auto"/>
              </w:rPr>
              <w:t>Ray Long</w:t>
            </w:r>
          </w:p>
        </w:tc>
      </w:tr>
      <w:tr>
        <w:trPr>
          <w:trHeight w:val="216"/>
        </w:trPr>
        <w:tc>
          <w:tcPr>
            <w:tcW w:w="4000" w:type="dxa"/>
            <w:vAlign w:val="bottom"/>
          </w:tcPr>
          <w:p>
            <w:pPr>
              <w:ind w:left="660"/>
              <w:spacing w:after="0"/>
              <w:rPr>
                <w:sz w:val="20"/>
                <w:szCs w:val="20"/>
                <w:color w:val="auto"/>
              </w:rPr>
            </w:pPr>
            <w:r>
              <w:rPr>
                <w:rFonts w:ascii="Arial" w:cs="Arial" w:eastAsia="Arial" w:hAnsi="Arial"/>
                <w:sz w:val="18"/>
                <w:szCs w:val="18"/>
                <w:color w:val="auto"/>
              </w:rPr>
              <w:t>akil.marsh@clearwayenergy.com</w:t>
            </w:r>
          </w:p>
        </w:tc>
        <w:tc>
          <w:tcPr>
            <w:tcW w:w="7460" w:type="dxa"/>
            <w:vAlign w:val="bottom"/>
          </w:tcPr>
          <w:p>
            <w:pPr>
              <w:ind w:left="920"/>
              <w:spacing w:after="0"/>
              <w:rPr>
                <w:sz w:val="20"/>
                <w:szCs w:val="20"/>
                <w:color w:val="auto"/>
              </w:rPr>
            </w:pPr>
            <w:r>
              <w:rPr>
                <w:rFonts w:ascii="Arial" w:cs="Arial" w:eastAsia="Arial" w:hAnsi="Arial"/>
                <w:sz w:val="18"/>
                <w:szCs w:val="18"/>
                <w:color w:val="auto"/>
              </w:rPr>
              <w:t>media@clearwayenergy.com</w:t>
            </w:r>
          </w:p>
        </w:tc>
      </w:tr>
      <w:tr>
        <w:trPr>
          <w:trHeight w:val="230"/>
        </w:trPr>
        <w:tc>
          <w:tcPr>
            <w:tcW w:w="4000" w:type="dxa"/>
            <w:vAlign w:val="bottom"/>
          </w:tcPr>
          <w:p>
            <w:pPr>
              <w:ind w:left="660"/>
              <w:spacing w:after="0"/>
              <w:rPr>
                <w:sz w:val="20"/>
                <w:szCs w:val="20"/>
                <w:color w:val="auto"/>
              </w:rPr>
            </w:pPr>
            <w:r>
              <w:rPr>
                <w:rFonts w:ascii="Arial" w:cs="Arial" w:eastAsia="Arial" w:hAnsi="Arial"/>
                <w:sz w:val="18"/>
                <w:szCs w:val="18"/>
                <w:color w:val="auto"/>
              </w:rPr>
              <w:t>609-608-1500</w:t>
            </w:r>
          </w:p>
        </w:tc>
        <w:tc>
          <w:tcPr>
            <w:tcW w:w="7460" w:type="dxa"/>
            <w:vAlign w:val="bottom"/>
          </w:tcPr>
          <w:p>
            <w:pPr>
              <w:spacing w:after="0"/>
              <w:rPr>
                <w:sz w:val="20"/>
                <w:szCs w:val="20"/>
                <w:color w:val="auto"/>
              </w:rPr>
            </w:pPr>
          </w:p>
        </w:tc>
      </w:tr>
      <w:tr>
        <w:trPr>
          <w:trHeight w:val="432"/>
        </w:trPr>
        <w:tc>
          <w:tcPr>
            <w:tcW w:w="4000" w:type="dxa"/>
            <w:vAlign w:val="bottom"/>
          </w:tcPr>
          <w:p>
            <w:pPr>
              <w:spacing w:after="0"/>
              <w:rPr>
                <w:sz w:val="24"/>
                <w:szCs w:val="24"/>
                <w:color w:val="auto"/>
              </w:rPr>
            </w:pPr>
          </w:p>
        </w:tc>
        <w:tc>
          <w:tcPr>
            <w:tcW w:w="7460" w:type="dxa"/>
            <w:vAlign w:val="bottom"/>
          </w:tcPr>
          <w:p>
            <w:pPr>
              <w:jc w:val="right"/>
              <w:ind w:right="5610"/>
              <w:spacing w:after="0"/>
              <w:rPr>
                <w:sz w:val="20"/>
                <w:szCs w:val="20"/>
                <w:color w:val="auto"/>
              </w:rPr>
            </w:pPr>
            <w:r>
              <w:rPr>
                <w:rFonts w:ascii="Arial" w:cs="Arial" w:eastAsia="Arial" w:hAnsi="Arial"/>
                <w:sz w:val="18"/>
                <w:szCs w:val="18"/>
                <w:color w:val="auto"/>
              </w:rPr>
              <w:t>4</w:t>
            </w:r>
          </w:p>
        </w:tc>
      </w:tr>
      <w:tr>
        <w:trPr>
          <w:trHeight w:val="132"/>
        </w:trPr>
        <w:tc>
          <w:tcPr>
            <w:tcW w:w="4000" w:type="dxa"/>
            <w:vAlign w:val="bottom"/>
            <w:tcBorders>
              <w:bottom w:val="single" w:sz="8" w:color="808080"/>
            </w:tcBorders>
          </w:tcPr>
          <w:p>
            <w:pPr>
              <w:spacing w:after="0"/>
              <w:rPr>
                <w:sz w:val="11"/>
                <w:szCs w:val="11"/>
                <w:color w:val="auto"/>
              </w:rPr>
            </w:pPr>
          </w:p>
        </w:tc>
        <w:tc>
          <w:tcPr>
            <w:tcW w:w="7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Appendix Table A-1: Cash Available for Distribution Guidance and GAAP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Original 2019</w:t>
            </w:r>
          </w:p>
        </w:tc>
        <w:tc>
          <w:tcPr>
            <w:tcW w:w="146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Revised 2019 Full</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7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Full Year</w:t>
            </w: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480" w:type="dxa"/>
            <w:vAlign w:val="bottom"/>
            <w:gridSpan w:val="3"/>
            <w:vMerge w:val="continue"/>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Guidance(3)</w:t>
            </w:r>
          </w:p>
        </w:tc>
        <w:tc>
          <w:tcPr>
            <w:tcW w:w="14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Guidance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Income Tax Expense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355</w:t>
            </w: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660" w:type="dxa"/>
            <w:vAlign w:val="bottom"/>
            <w:gridSpan w:val="4"/>
          </w:tcPr>
          <w:p>
            <w:pPr>
              <w:jc w:val="right"/>
              <w:ind w:right="280"/>
              <w:spacing w:after="0"/>
              <w:rPr>
                <w:sz w:val="20"/>
                <w:szCs w:val="20"/>
                <w:color w:val="auto"/>
              </w:rPr>
            </w:pPr>
            <w:r>
              <w:rPr>
                <w:rFonts w:ascii="Arial" w:cs="Arial" w:eastAsia="Arial" w:hAnsi="Arial"/>
                <w:sz w:val="18"/>
                <w:szCs w:val="18"/>
                <w:color w:val="auto"/>
              </w:rPr>
              <w:t>455</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Acquisition related transaction and integration costs</w:t>
            </w:r>
          </w:p>
        </w:tc>
        <w:tc>
          <w:tcPr>
            <w:tcW w:w="16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Adjustment to reflect CWEN share of Adjusted EBITDA in unconsolidated affiliates</w:t>
            </w:r>
          </w:p>
        </w:tc>
        <w:tc>
          <w:tcPr>
            <w:tcW w:w="1660" w:type="dxa"/>
            <w:vAlign w:val="bottom"/>
            <w:gridSpan w:val="4"/>
          </w:tcPr>
          <w:p>
            <w:pPr>
              <w:jc w:val="right"/>
              <w:ind w:right="280"/>
              <w:spacing w:after="0"/>
              <w:rPr>
                <w:sz w:val="20"/>
                <w:szCs w:val="20"/>
                <w:color w:val="auto"/>
              </w:rPr>
            </w:pPr>
            <w:r>
              <w:rPr>
                <w:rFonts w:ascii="Arial" w:cs="Arial" w:eastAsia="Arial" w:hAnsi="Arial"/>
                <w:sz w:val="18"/>
                <w:szCs w:val="18"/>
                <w:color w:val="auto"/>
              </w:rPr>
              <w:t>85</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Cash interest paid</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6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Adjustment to reflect Walnut Creek investment payments</w:t>
            </w:r>
          </w:p>
        </w:tc>
        <w:tc>
          <w:tcPr>
            <w:tcW w:w="1660" w:type="dxa"/>
            <w:vAlign w:val="bottom"/>
            <w:gridSpan w:val="4"/>
          </w:tcPr>
          <w:p>
            <w:pPr>
              <w:jc w:val="right"/>
              <w:ind w:right="220"/>
              <w:spacing w:after="0"/>
              <w:rPr>
                <w:sz w:val="20"/>
                <w:szCs w:val="20"/>
                <w:color w:val="auto"/>
              </w:rPr>
            </w:pPr>
            <w:r>
              <w:rPr>
                <w:rFonts w:ascii="Arial" w:cs="Arial" w:eastAsia="Arial" w:hAnsi="Arial"/>
                <w:sz w:val="18"/>
                <w:szCs w:val="18"/>
                <w:color w:val="auto"/>
              </w:rPr>
              <w:t>(1)</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16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Cash distributions from unconsolidated affiliates</w:t>
            </w:r>
          </w:p>
        </w:tc>
        <w:tc>
          <w:tcPr>
            <w:tcW w:w="1660" w:type="dxa"/>
            <w:vAlign w:val="bottom"/>
            <w:gridSpan w:val="4"/>
          </w:tcPr>
          <w:p>
            <w:pPr>
              <w:jc w:val="right"/>
              <w:ind w:right="280"/>
              <w:spacing w:after="0"/>
              <w:rPr>
                <w:sz w:val="20"/>
                <w:szCs w:val="20"/>
                <w:color w:val="auto"/>
              </w:rPr>
            </w:pPr>
            <w:r>
              <w:rPr>
                <w:rFonts w:ascii="Arial" w:cs="Arial" w:eastAsia="Arial" w:hAnsi="Arial"/>
                <w:sz w:val="18"/>
                <w:szCs w:val="18"/>
                <w:color w:val="auto"/>
              </w:rPr>
              <w:t>130</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Development Expense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w:t>
            </w:r>
          </w:p>
        </w:tc>
        <w:tc>
          <w:tcPr>
            <w:tcW w:w="16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tcPr>
          <w:p>
            <w:pPr>
              <w:ind w:left="180"/>
              <w:spacing w:after="0"/>
              <w:rPr>
                <w:sz w:val="20"/>
                <w:szCs w:val="20"/>
                <w:color w:val="auto"/>
              </w:rPr>
            </w:pPr>
            <w:r>
              <w:rPr>
                <w:rFonts w:ascii="Arial" w:cs="Arial" w:eastAsia="Arial" w:hAnsi="Arial"/>
                <w:sz w:val="18"/>
                <w:szCs w:val="18"/>
                <w:color w:val="auto"/>
              </w:rPr>
              <w:t>Maintenance capital expenditures</w:t>
            </w:r>
          </w:p>
        </w:tc>
        <w:tc>
          <w:tcPr>
            <w:tcW w:w="1660" w:type="dxa"/>
            <w:vAlign w:val="bottom"/>
            <w:gridSpan w:val="4"/>
          </w:tcPr>
          <w:p>
            <w:pPr>
              <w:jc w:val="right"/>
              <w:ind w:right="220"/>
              <w:spacing w:after="0"/>
              <w:rPr>
                <w:sz w:val="20"/>
                <w:szCs w:val="20"/>
                <w:color w:val="auto"/>
              </w:rPr>
            </w:pPr>
            <w:r>
              <w:rPr>
                <w:rFonts w:ascii="Arial" w:cs="Arial" w:eastAsia="Arial" w:hAnsi="Arial"/>
                <w:sz w:val="18"/>
                <w:szCs w:val="18"/>
                <w:color w:val="auto"/>
              </w:rPr>
              <w:t>(33)</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6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Cash Available for Distribution</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295</w:t>
            </w:r>
          </w:p>
        </w:tc>
        <w:tc>
          <w:tcPr>
            <w:tcW w:w="28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 Back: Principal amortization of indebtedness</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Adjusted Cash from Operations</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628</w:t>
            </w:r>
          </w:p>
        </w:tc>
        <w:tc>
          <w:tcPr>
            <w:tcW w:w="28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820" w:type="dxa"/>
            <w:vAlign w:val="bottom"/>
            <w:gridSpan w:val="4"/>
          </w:tcPr>
          <w:p>
            <w:pPr>
              <w:spacing w:after="0"/>
              <w:rPr>
                <w:sz w:val="20"/>
                <w:szCs w:val="20"/>
                <w:color w:val="auto"/>
              </w:rPr>
            </w:pPr>
            <w:r>
              <w:rPr>
                <w:rFonts w:ascii="Arial" w:cs="Arial" w:eastAsia="Arial" w:hAnsi="Arial"/>
                <w:sz w:val="18"/>
                <w:szCs w:val="18"/>
                <w:b w:val="1"/>
                <w:bCs w:val="1"/>
                <w:color w:val="auto"/>
              </w:rPr>
              <w:t>Appendix Table A-2: Potential Exposure to 2019 CAFD Related to PG&amp;E Bankruptcy</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7480" w:type="dxa"/>
            <w:vAlign w:val="bottom"/>
            <w:gridSpan w:val="3"/>
          </w:tcPr>
          <w:p>
            <w:pPr>
              <w:ind w:left="640"/>
              <w:spacing w:after="0"/>
              <w:rPr>
                <w:sz w:val="20"/>
                <w:szCs w:val="20"/>
                <w:color w:val="auto"/>
              </w:rPr>
            </w:pPr>
            <w:r>
              <w:rPr>
                <w:rFonts w:ascii="Arial" w:cs="Arial" w:eastAsia="Arial" w:hAnsi="Arial"/>
                <w:sz w:val="14"/>
                <w:szCs w:val="14"/>
                <w:b w:val="1"/>
                <w:bCs w:val="1"/>
                <w:color w:val="auto"/>
              </w:rPr>
              <w:t>($ in millions)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2019 Full Year</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Adjustment to reflect CWEN share of Adjusted EBITDA in unconsolidated affiliates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Cash interest paid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Cash distributions from unconsolidated affiliates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Available for Distribution</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firstLine="8"/>
        <w:spacing w:after="0" w:line="26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2019 Guidance factored in the impact of financing updates, the contribution of committed growth investments based on expected closing timelines, and assumed additional corporate financing to refinance the tendered 2020 convertible notes in October 2018. 2019 financial guidance excluded any impact from the Agua Caliente offer.</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0" w:name="page11"/>
    <w:bookmarkEnd w:id="10"/>
    <w:p>
      <w:pPr>
        <w:ind w:right="400"/>
        <w:spacing w:after="0" w:line="277" w:lineRule="auto"/>
        <w:rPr>
          <w:sz w:val="20"/>
          <w:szCs w:val="20"/>
          <w:color w:val="auto"/>
        </w:rPr>
      </w:pPr>
      <w:r>
        <w:rPr>
          <w:rFonts w:ascii="Arial" w:cs="Arial" w:eastAsia="Arial" w:hAnsi="Arial"/>
          <w:sz w:val="18"/>
          <w:szCs w:val="18"/>
          <w:color w:val="auto"/>
        </w:rPr>
        <w:t>service capacity. EBITDA has limitations as an analytical tool, and you should not consider it in isolation, or as a substitute for analysis of our operating results as reported under GAAP. Some of these limitations are:</w:t>
      </w:r>
    </w:p>
    <w:p>
      <w:pPr>
        <w:spacing w:after="0" w:line="170"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right="40" w:hanging="332"/>
        <w:spacing w:after="0" w:line="250"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00" w:hanging="292"/>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Adjusted EBITDA is presented as a further supplemental measure of operating performance. Adjusted EBITDA represents EBITDA adjusted for mark-to-market gains or losses, non cash equity compensation expense, asset write offs and impairments; and factors which we do not consider indicative of future operating performance.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 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6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t>Cash Available for Distribution (CAFD), a non-GAAP financial measure, is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cash available for distribution is a relevant supplemental measure of the Company’s ability to earn and distribute cash returns to investors.</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2019-12-28T16:45:48Z</dcterms:created>
  <dcterms:modified xsi:type="dcterms:W3CDTF">2019-12-28T16:45:48Z</dcterms:modified>
</cp:coreProperties>
</file>