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Ford Brian R.</w:t>
              </w:r>
            </w:hyperlink>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vMerge w:val="continue"/>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09/01/2022</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8"/>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PRINCETON   NJ</w:t>
            </w:r>
          </w:p>
        </w:tc>
        <w:tc>
          <w:tcPr>
            <w:tcW w:w="86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08540</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4"/>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21"/>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09/01/2022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color w:val="0000FF"/>
              </w:rPr>
              <w:t>73</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color w:val="0000FF"/>
              </w:rPr>
              <w:t>8,103</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1820" w:type="dxa"/>
            <w:vAlign w:val="bottom"/>
            <w:tcBorders>
              <w:bottom w:val="single" w:sz="8" w:color="2C2C2C"/>
            </w:tcBorders>
            <w:gridSpan w:val="3"/>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09/01/2022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562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1"/>
                <w:szCs w:val="21"/>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59,485</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2,556 dividend equivalent rights that may only be settled in Class A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11,495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2022-09-06T15:20:38Z</dcterms:created>
  <dcterms:modified xsi:type="dcterms:W3CDTF">2022-09-06T15:20:38Z</dcterms:modified>
</cp:coreProperties>
</file>