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6246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246495"/>
                    </a:xfrm>
                    <a:prstGeom prst="rect">
                      <a:avLst/>
                    </a:prstGeom>
                    <a:noFill/>
                  </pic:spPr>
                </pic:pic>
              </a:graphicData>
            </a:graphic>
          </wp:anchor>
        </w:drawing>
      </w:r>
    </w:p>
    <w:p>
      <w:pPr>
        <w:spacing w:after="0" w:line="91" w:lineRule="exact"/>
        <w:rPr>
          <w:sz w:val="24"/>
          <w:szCs w:val="24"/>
          <w:color w:val="auto"/>
        </w:rPr>
      </w:pPr>
    </w:p>
    <w:p>
      <w:pPr>
        <w:sectPr>
          <w:pgSz w:w="11900" w:h="1692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Murphy Michael Taft</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160"/>
              <w:spacing w:after="0"/>
              <w:rPr>
                <w:sz w:val="20"/>
                <w:szCs w:val="20"/>
                <w:color w:val="auto"/>
              </w:rPr>
            </w:pPr>
            <w:r>
              <w:rPr>
                <w:rFonts w:ascii="Arial" w:cs="Arial" w:eastAsia="Arial" w:hAnsi="Arial"/>
                <w:sz w:val="13"/>
                <w:szCs w:val="13"/>
                <w:color w:val="auto"/>
              </w:rPr>
              <w:t>(First)</w:t>
            </w:r>
          </w:p>
        </w:tc>
        <w:tc>
          <w:tcPr>
            <w:tcW w:w="780" w:type="dxa"/>
            <w:vAlign w:val="bottom"/>
          </w:tcPr>
          <w:p>
            <w:pPr>
              <w:ind w:left="340"/>
              <w:spacing w:after="0"/>
              <w:rPr>
                <w:sz w:val="20"/>
                <w:szCs w:val="20"/>
                <w:color w:val="auto"/>
              </w:rPr>
            </w:pPr>
            <w:r>
              <w:rPr>
                <w:rFonts w:ascii="Arial" w:cs="Arial" w:eastAsia="Arial" w:hAnsi="Arial"/>
                <w:sz w:val="13"/>
                <w:szCs w:val="13"/>
                <w:color w:val="auto"/>
                <w:w w:val="89"/>
              </w:rPr>
              <w:t>(Middle)</w:t>
            </w:r>
          </w:p>
        </w:tc>
      </w:tr>
      <w:tr>
        <w:trPr>
          <w:trHeight w:val="262"/>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300 CARNEGIE CENTER</w:t>
            </w:r>
          </w:p>
        </w:tc>
        <w:tc>
          <w:tcPr>
            <w:tcW w:w="780" w:type="dxa"/>
            <w:vAlign w:val="bottom"/>
          </w:tcPr>
          <w:p>
            <w:pPr>
              <w:spacing w:after="0"/>
              <w:rPr>
                <w:sz w:val="22"/>
                <w:szCs w:val="22"/>
                <w:color w:val="auto"/>
              </w:rPr>
            </w:pPr>
          </w:p>
        </w:tc>
      </w:tr>
      <w:tr>
        <w:trPr>
          <w:trHeight w:val="252"/>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300</w:t>
            </w: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4"/>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PRINCETON</w:t>
            </w:r>
          </w:p>
        </w:tc>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08540</w:t>
            </w:r>
          </w:p>
        </w:tc>
      </w:tr>
      <w:tr>
        <w:trPr>
          <w:trHeight w:val="455"/>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78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80" w:type="dxa"/>
            <w:vAlign w:val="bottom"/>
            <w:tcBorders>
              <w:top w:val="single" w:sz="8" w:color="0000EE"/>
            </w:tcBorders>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ind w:left="16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380" w:type="dxa"/>
            <w:vAlign w:val="bottom"/>
          </w:tcPr>
          <w:p>
            <w:pPr>
              <w:ind w:left="16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04/15/2023</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CHIEF INVESTMENT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2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tcPr>
          <w:p>
            <w:pPr>
              <w:jc w:val="center"/>
              <w:ind w:left="88"/>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1,790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25,684</w:t>
            </w:r>
            <w:r>
              <w:rPr>
                <w:rFonts w:ascii="Times New Roman" w:cs="Times New Roman" w:eastAsia="Times New Roman" w:hAnsi="Times New Roman"/>
                <w:sz w:val="20"/>
                <w:szCs w:val="20"/>
                <w:color w:val="008000"/>
                <w:vertAlign w:val="superscript"/>
              </w:rPr>
              <w:t>(2)</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1,164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24,520</w:t>
            </w:r>
            <w:r>
              <w:rPr>
                <w:rFonts w:ascii="Times New Roman" w:cs="Times New Roman" w:eastAsia="Times New Roman" w:hAnsi="Times New Roman"/>
                <w:sz w:val="20"/>
                <w:szCs w:val="20"/>
                <w:color w:val="008000"/>
                <w:vertAlign w:val="superscript"/>
              </w:rPr>
              <w:t>(4)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591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23,929</w:t>
            </w:r>
            <w:r>
              <w:rPr>
                <w:rFonts w:ascii="Times New Roman" w:cs="Times New Roman" w:eastAsia="Times New Roman" w:hAnsi="Times New Roman"/>
                <w:sz w:val="20"/>
                <w:szCs w:val="20"/>
                <w:color w:val="008000"/>
                <w:vertAlign w:val="superscript"/>
              </w:rPr>
              <w:t>(6)</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w w:val="96"/>
              </w:rPr>
              <w:t>5,234</w:t>
            </w:r>
            <w:r>
              <w:rPr>
                <w:rFonts w:ascii="Times New Roman" w:cs="Times New Roman" w:eastAsia="Times New Roman" w:hAnsi="Times New Roman"/>
                <w:sz w:val="20"/>
                <w:szCs w:val="20"/>
                <w:color w:val="008000"/>
                <w:w w:val="96"/>
                <w:vertAlign w:val="superscript"/>
              </w:rPr>
              <w:t>(7)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(8)</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29,163</w:t>
            </w:r>
            <w:r>
              <w:rPr>
                <w:rFonts w:ascii="Times New Roman" w:cs="Times New Roman" w:eastAsia="Times New Roman" w:hAnsi="Times New Roman"/>
                <w:sz w:val="20"/>
                <w:szCs w:val="20"/>
                <w:color w:val="008000"/>
                <w:vertAlign w:val="superscript"/>
              </w:rPr>
              <w:t>(9)</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1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8"/>
          </w:tcPr>
          <w:p>
            <w:pPr>
              <w:jc w:val="center"/>
              <w:ind w:right="2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ind w:left="120"/>
              <w:spacing w:after="0" w:line="215" w:lineRule="exact"/>
              <w:rPr>
                <w:sz w:val="20"/>
                <w:szCs w:val="20"/>
                <w:color w:val="auto"/>
              </w:rPr>
            </w:pPr>
            <w:r>
              <w:rPr>
                <w:rFonts w:ascii="Times New Roman" w:cs="Times New Roman" w:eastAsia="Times New Roman" w:hAnsi="Times New Roman"/>
                <w:sz w:val="13"/>
                <w:szCs w:val="13"/>
                <w:color w:val="0000FF"/>
                <w:w w:val="99"/>
              </w:rPr>
              <w:t>10,649</w:t>
            </w:r>
            <w:r>
              <w:rPr>
                <w:rFonts w:ascii="Times New Roman" w:cs="Times New Roman" w:eastAsia="Times New Roman" w:hAnsi="Times New Roman"/>
                <w:sz w:val="20"/>
                <w:szCs w:val="20"/>
                <w:color w:val="008000"/>
                <w:w w:val="99"/>
                <w:vertAlign w:val="superscript"/>
              </w:rPr>
              <w:t>(10)</w:t>
            </w: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Stock,</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15,973</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60"/>
              <w:spacing w:after="0" w:line="215" w:lineRule="exact"/>
              <w:rPr>
                <w:sz w:val="20"/>
                <w:szCs w:val="20"/>
                <w:color w:val="auto"/>
              </w:rPr>
            </w:pPr>
            <w:r>
              <w:rPr>
                <w:rFonts w:ascii="Times New Roman" w:cs="Times New Roman" w:eastAsia="Times New Roman" w:hAnsi="Times New Roman"/>
                <w:sz w:val="13"/>
                <w:szCs w:val="13"/>
                <w:color w:val="0000FF"/>
              </w:rPr>
              <w:t>10,649</w:t>
            </w:r>
            <w:r>
              <w:rPr>
                <w:rFonts w:ascii="Times New Roman" w:cs="Times New Roman" w:eastAsia="Times New Roman" w:hAnsi="Times New Roman"/>
                <w:sz w:val="20"/>
                <w:szCs w:val="20"/>
                <w:color w:val="008000"/>
                <w:vertAlign w:val="superscript"/>
              </w:rPr>
              <w:t>(11)</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6"/>
                <w:szCs w:val="6"/>
                <w:color w:val="auto"/>
              </w:rPr>
            </w:pP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04/15/2023</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04/15/2026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04/15/2026</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40"/>
        <w:spacing w:after="0"/>
        <w:rPr>
          <w:sz w:val="20"/>
          <w:szCs w:val="20"/>
          <w:color w:val="auto"/>
        </w:rPr>
      </w:pPr>
      <w:r>
        <w:rPr>
          <w:rFonts w:ascii="Times New Roman" w:cs="Times New Roman" w:eastAsia="Times New Roman" w:hAnsi="Times New Roman"/>
          <w:sz w:val="13"/>
          <w:szCs w:val="13"/>
          <w:color w:val="0000FF"/>
        </w:rPr>
        <w:t>share</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2020, Mr. Murphy was issued 10,856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4,123 shares vested. Mr. Murphy elected to satisfy his tax obligation upon the exchange of common stock for RSUs having a value on the date of the exchange equal to the withholding obligation. This form reflects the surrender of 1,790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jc w:val="both"/>
        <w:ind w:left="40" w:right="40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497 DERs converted to Class C Common Stock, resulting in the reporting person holding 937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jc w:val="both"/>
        <w:ind w:left="40" w:right="1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Mr. Murphy was issued 7,397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2,680 shares vested. Mr. Murphy elected to satisfy his tax obligation upon the exchange of common stock for RSUs having a value on the date of the exchange equal to the withholding obligation. This form reflects the surrender of 1,164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jc w:val="both"/>
        <w:ind w:left="40" w:right="40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217 DERs converted to Class C Common Stock, resulting in the reporting person holding 720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jc w:val="both"/>
        <w:ind w:left="40" w:right="1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Mr. Murphy was issued 3,916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1,360 shares vested. Mr. Murphy elected to satisfy his tax obligation upon the exchange of common stock for RSUs having a value on the date of the exchange equal to the withholding obligation. This form reflects the surrender of 591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56 DERs converted to Class C Common Stock, resulting in the reporting person holding 664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Murphy under the LTIP.</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39"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1" w:lineRule="exact"/>
        <w:rPr>
          <w:rFonts w:ascii="Times New Roman" w:cs="Times New Roman" w:eastAsia="Times New Roman" w:hAnsi="Times New Roman"/>
          <w:sz w:val="13"/>
          <w:szCs w:val="13"/>
          <w:color w:val="008000"/>
        </w:rPr>
      </w:pPr>
    </w:p>
    <w:p>
      <w:pPr>
        <w:jc w:val="both"/>
        <w:ind w:left="40" w:right="400" w:hanging="2"/>
        <w:spacing w:after="0" w:line="263"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10,649 Relative Performance Stock Units ("RPSUs") by Clearway Energy, Inc. under the LTIP on April 15, 2023. The RPSUs will convert to shares of Clearway Energy, Inc. Class C Common Stock on April 15, 2026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1" w:lineRule="exact"/>
        <w:rPr>
          <w:rFonts w:ascii="Times New Roman" w:cs="Times New Roman" w:eastAsia="Times New Roman" w:hAnsi="Times New Roman"/>
          <w:sz w:val="12"/>
          <w:szCs w:val="12"/>
          <w:color w:val="008000"/>
        </w:rPr>
      </w:pPr>
    </w:p>
    <w:p>
      <w:pPr>
        <w:ind w:left="40" w:right="200" w:hanging="2"/>
        <w:spacing w:after="0" w:line="263" w:lineRule="auto"/>
        <w:tabs>
          <w:tab w:leader="none" w:pos="2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will receive (i) a maximum of 15,973 shares of Class C Common Stock if Company's TSR is ranked at or above the 75th percentile relative to a peer group of companies approved by the Company's Compensation Committee (the "Peer Group") for the performance period ("Maximum"); (ii) 10,649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w:t>
      </w:r>
    </w:p>
    <w:p>
      <w:pPr>
        <w:sectPr>
          <w:pgSz w:w="11900" w:h="16928" w:orient="portrait"/>
          <w:cols w:equalWidth="0" w:num="1">
            <w:col w:w="11080"/>
          </w:cols>
          <w:pgMar w:left="460" w:top="215" w:right="359" w:bottom="0" w:gutter="0" w:footer="0" w:header="0"/>
          <w:type w:val="continuous"/>
        </w:sectPr>
      </w:pPr>
    </w:p>
    <w:bookmarkStart w:id="1" w:name="page2"/>
    <w:bookmarkEnd w:id="1"/>
    <w:p>
      <w:pPr>
        <w:ind w:left="2"/>
        <w:spacing w:after="0" w:line="245" w:lineRule="auto"/>
        <w:rPr>
          <w:sz w:val="20"/>
          <w:szCs w:val="20"/>
          <w:color w:val="auto"/>
        </w:rPr>
      </w:pPr>
      <w:r>
        <w:rPr>
          <w:rFonts w:ascii="Times New Roman" w:cs="Times New Roman" w:eastAsia="Times New Roman" w:hAnsi="Times New Roman"/>
          <w:sz w:val="13"/>
          <w:szCs w:val="13"/>
          <w:color w:val="008000"/>
        </w:rPr>
        <w:t>performance period to receive the Target award; or (iii) 2,662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9"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P. Malcarney,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04/18/2023</w:t>
            </w:r>
          </w:p>
        </w:tc>
        <w:tc>
          <w:tcPr>
            <w:tcW w:w="0" w:type="dxa"/>
            <w:vAlign w:val="bottom"/>
          </w:tcPr>
          <w:p>
            <w:pPr>
              <w:spacing w:after="0"/>
              <w:rPr>
                <w:sz w:val="1"/>
                <w:szCs w:val="1"/>
                <w:color w:val="auto"/>
              </w:rPr>
            </w:pPr>
          </w:p>
        </w:tc>
      </w:tr>
      <w:tr>
        <w:trPr>
          <w:trHeight w:val="86"/>
        </w:trPr>
        <w:tc>
          <w:tcPr>
            <w:tcW w:w="150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w:t>
            </w:r>
          </w:p>
        </w:tc>
        <w:tc>
          <w:tcPr>
            <w:tcW w:w="7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60"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2"/>
      </w:cols>
      <w:pgMar w:left="498"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2023-04-18T18:00:32Z</dcterms:created>
  <dcterms:modified xsi:type="dcterms:W3CDTF">2023-04-18T18:00:32Z</dcterms:modified>
</cp:coreProperties>
</file>