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9"/>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80" w:type="dxa"/>
            <w:vAlign w:val="bottom"/>
          </w:tcPr>
          <w:p>
            <w:pPr>
              <w:spacing w:after="0"/>
              <w:rPr>
                <w:sz w:val="9"/>
                <w:szCs w:val="9"/>
                <w:color w:val="auto"/>
              </w:rPr>
            </w:pPr>
          </w:p>
        </w:tc>
        <w:tc>
          <w:tcPr>
            <w:tcW w:w="288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5"/>
                <w:szCs w:val="15"/>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1345 AVENUE OF THE AMERICAS, 30TH</w:t>
            </w:r>
          </w:p>
        </w:tc>
        <w:tc>
          <w:tcPr>
            <w:tcW w:w="13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04/01/2022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9"/>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6"/>
                <w:szCs w:val="16"/>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9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vMerge w:val="restart"/>
          </w:tcPr>
          <w:p>
            <w:pPr>
              <w:spacing w:after="0"/>
              <w:rPr>
                <w:sz w:val="2"/>
                <w:szCs w:val="2"/>
                <w:color w:val="auto"/>
              </w:rPr>
            </w:pPr>
          </w:p>
        </w:tc>
        <w:tc>
          <w:tcPr>
            <w:tcW w:w="4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60" w:type="dxa"/>
            <w:vAlign w:val="bottom"/>
            <w:gridSpan w:val="4"/>
            <w:vMerge w:val="continue"/>
          </w:tcPr>
          <w:p>
            <w:pPr>
              <w:spacing w:after="0"/>
              <w:rPr>
                <w:sz w:val="10"/>
                <w:szCs w:val="10"/>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10105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5"/>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880" w:type="dxa"/>
            <w:vAlign w:val="bottom"/>
            <w:gridSpan w:val="4"/>
          </w:tcPr>
          <w:p>
            <w:pPr>
              <w:ind w:left="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1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6"/>
            <w:vMerge w:val="restart"/>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47,949</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36.46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140,157</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tcBorders>
              <w:top w:val="single" w:sz="8" w:color="2C2C2C"/>
            </w:tcBorders>
            <w:gridSpan w:val="6"/>
            <w:vMerge w:val="restart"/>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gridSpan w:val="2"/>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535</w:t>
            </w:r>
          </w:p>
        </w:tc>
        <w:tc>
          <w:tcPr>
            <w:tcW w:w="5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top w:val="single" w:sz="8" w:color="2C2C2C"/>
            </w:tcBorders>
            <w:vMerge w:val="restart"/>
          </w:tcPr>
          <w:p>
            <w:pPr>
              <w:jc w:val="center"/>
              <w:ind w:left="95"/>
              <w:spacing w:after="0"/>
              <w:rPr>
                <w:sz w:val="20"/>
                <w:szCs w:val="20"/>
                <w:color w:val="auto"/>
              </w:rPr>
            </w:pPr>
            <w:r>
              <w:rPr>
                <w:rFonts w:ascii="Times New Roman" w:cs="Times New Roman" w:eastAsia="Times New Roman" w:hAnsi="Times New Roman"/>
                <w:sz w:val="11"/>
                <w:szCs w:val="11"/>
                <w:color w:val="008000"/>
                <w:w w:val="93"/>
              </w:rPr>
              <w:t>(2)</w:t>
            </w: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140,692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tcBorders>
              <w:top w:val="single" w:sz="8" w:color="2C2C2C"/>
            </w:tcBorders>
            <w:gridSpan w:val="6"/>
            <w:vMerge w:val="restart"/>
          </w:tcPr>
          <w:p>
            <w:pPr>
              <w:ind w:left="680"/>
              <w:spacing w:after="0"/>
              <w:rPr>
                <w:sz w:val="20"/>
                <w:szCs w:val="20"/>
                <w:color w:val="auto"/>
              </w:rPr>
            </w:pPr>
            <w:r>
              <w:rPr>
                <w:rFonts w:ascii="Times New Roman" w:cs="Times New Roman" w:eastAsia="Times New Roman" w:hAnsi="Times New Roman"/>
                <w:sz w:val="17"/>
                <w:szCs w:val="17"/>
                <w:color w:val="0000FF"/>
              </w:rPr>
              <w:t>04/01/2022</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gridSpan w:val="2"/>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w:t>
            </w: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97,481</w:t>
            </w:r>
          </w:p>
        </w:tc>
        <w:tc>
          <w:tcPr>
            <w:tcW w:w="5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36.46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color w:val="0000FF"/>
                <w:w w:val="98"/>
              </w:rPr>
              <w:t>43,211</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4"/>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gridSpan w:val="20"/>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5"/>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1345 AVENUE OF THE AMERICAS, 30TH FLOOR</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10105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1345 AVENUE OF THE AMERICAS, 30TH FLOOR</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10105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GIP III Zephyr Acquisition Partners L.P.</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804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80479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under its Long Term Equity Incentive Program to one or more of its employees.</w:t>
      </w:r>
    </w:p>
    <w:p>
      <w:pPr>
        <w:spacing w:after="0" w:line="50" w:lineRule="exact"/>
        <w:rPr>
          <w:rFonts w:ascii="Times New Roman" w:cs="Times New Roman" w:eastAsia="Times New Roman" w:hAnsi="Times New Roman"/>
          <w:sz w:val="13"/>
          <w:szCs w:val="13"/>
          <w:color w:val="008000"/>
        </w:rPr>
      </w:pPr>
    </w:p>
    <w:p>
      <w:pPr>
        <w:ind w:left="20" w:right="2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grants of shares of restricted stock of the Issuer granted by Clearway Energy Group under its Long Term Equity Incentive Program to certain of its employees. The Reporting Persons have agreed to voluntarily disgorge any profits deemed realized from such transactions to the Issuer.</w:t>
      </w:r>
    </w:p>
    <w:p>
      <w:pPr>
        <w:spacing w:after="0" w:line="7" w:lineRule="exact"/>
        <w:rPr>
          <w:rFonts w:ascii="Times New Roman" w:cs="Times New Roman" w:eastAsia="Times New Roman" w:hAnsi="Times New Roman"/>
          <w:sz w:val="13"/>
          <w:szCs w:val="13"/>
          <w:color w:val="008000"/>
        </w:rPr>
      </w:pPr>
    </w:p>
    <w:p>
      <w:pPr>
        <w:ind w:left="20" w:right="16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LLC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40"/>
          </w:cols>
          <w:pgMar w:left="480" w:top="167" w:right="57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80"/>
          </w:cols>
          <w:pgMar w:left="480" w:top="167"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6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2022-04-05T15:36:44Z</dcterms:created>
  <dcterms:modified xsi:type="dcterms:W3CDTF">2022-04-05T15:36:44Z</dcterms:modified>
</cp:coreProperties>
</file>