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27,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2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On June 27, 2024, LV-Daggett Parent Holdco LLC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subsidiary of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Membership Interest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D1-LV CE Seller LLC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 affiliate of Clearway Energy Group LLC. Pursuant to the terms of the Purchase Agreement, Purchaser will acquire from Seller certain limited liability company membership interests in D1-LV TargetCo LLC (“</w:t>
      </w:r>
      <w:r>
        <w:rPr>
          <w:rFonts w:ascii="Times New Roman" w:cs="Times New Roman" w:eastAsia="Times New Roman" w:hAnsi="Times New Roman"/>
          <w:sz w:val="18"/>
          <w:szCs w:val="18"/>
          <w:u w:val="single" w:color="auto"/>
          <w:color w:val="auto"/>
        </w:rPr>
        <w:t>Target Company</w:t>
      </w:r>
      <w:r>
        <w:rPr>
          <w:rFonts w:ascii="Times New Roman" w:cs="Times New Roman" w:eastAsia="Times New Roman" w:hAnsi="Times New Roman"/>
          <w:sz w:val="18"/>
          <w:szCs w:val="18"/>
          <w:color w:val="auto"/>
        </w:rPr>
        <w:t>”), which, subject to certain terms and conditions referenced in the Purchase Agreement, will become the indirect owner of all of the limited liability company interests in Luna Valley Solar I, LLC (“</w:t>
      </w:r>
      <w:r>
        <w:rPr>
          <w:rFonts w:ascii="Times New Roman" w:cs="Times New Roman" w:eastAsia="Times New Roman" w:hAnsi="Times New Roman"/>
          <w:sz w:val="18"/>
          <w:szCs w:val="18"/>
          <w:u w:val="single" w:color="auto"/>
          <w:color w:val="auto"/>
        </w:rPr>
        <w:t>Luna Valley Solar</w:t>
      </w:r>
      <w:r>
        <w:rPr>
          <w:rFonts w:ascii="Times New Roman" w:cs="Times New Roman" w:eastAsia="Times New Roman" w:hAnsi="Times New Roman"/>
          <w:sz w:val="18"/>
          <w:szCs w:val="18"/>
          <w:color w:val="auto"/>
        </w:rPr>
        <w:t>”) and Daggett Solar Power I LLC (“</w:t>
      </w:r>
      <w:r>
        <w:rPr>
          <w:rFonts w:ascii="Times New Roman" w:cs="Times New Roman" w:eastAsia="Times New Roman" w:hAnsi="Times New Roman"/>
          <w:sz w:val="18"/>
          <w:szCs w:val="18"/>
          <w:u w:val="single" w:color="auto"/>
          <w:color w:val="auto"/>
        </w:rPr>
        <w:t>Daggett Solar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Power</w:t>
      </w:r>
      <w:r>
        <w:rPr>
          <w:rFonts w:ascii="Times New Roman" w:cs="Times New Roman" w:eastAsia="Times New Roman" w:hAnsi="Times New Roman"/>
          <w:sz w:val="18"/>
          <w:szCs w:val="18"/>
          <w:color w:val="auto"/>
        </w:rPr>
        <w:t>”) for a base purchase price of approximately $89.7 million with respect to Luna Valley Solar, and approximately $53.2 million with respect to Daggett Solar Power, in each case, in cash and subject to customary working capital adjustments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Luna Valley Solar is developing and constructing an approximately 200 megawatt alternating current solar photovoltaic energy generating facility and associated infrastructure in Fresno County, California. Daggett Solar Power is developing an approximately 113 megawatt battery energy storage system and associated infrastructure in San Bernardino, California. At closing, Purchaser will acquire 999 units of the Target Company, which will represent 100% of the class A units of the Target Company. Seller will distribute the remaining one unit to Clearway Renew, LLC, with such unit being converted into 100% of the class C units of the Target Company.</w:t>
      </w:r>
    </w:p>
    <w:p>
      <w:pPr>
        <w:spacing w:after="0" w:line="1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covenants made by each of the parties. Each of the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Transaction is subject to customary closing conditions and certain third-party actions. The closing of the Transaction is expected to occur during the second half of 2024.</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a copy of which is filed as Exhibit 10.1 to 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18"/>
                <w:szCs w:val="18"/>
                <w:color w:val="auto"/>
              </w:rPr>
            </w:pPr>
          </w:p>
        </w:tc>
        <w:tc>
          <w:tcPr>
            <w:tcW w:w="10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20"/>
                <w:szCs w:val="20"/>
                <w:color w:val="auto"/>
              </w:rPr>
            </w:pPr>
          </w:p>
        </w:tc>
        <w:tc>
          <w:tcPr>
            <w:tcW w:w="10600" w:type="dxa"/>
            <w:vAlign w:val="bottom"/>
            <w:tcBorders>
              <w:bottom w:val="single" w:sz="8" w:color="auto"/>
            </w:tcBorders>
            <w:gridSpan w:val="2"/>
          </w:tcPr>
          <w:p>
            <w:pPr>
              <w:ind w:left="49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EE"/>
                <w:w w:val="99"/>
              </w:rPr>
              <w:t>Membership Interest Purchase Agreement, dated as of June 27, 2024, by and between D1-LV CE Seller LLC and LV-Daggett Parent Holdco LLC.</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25" w:lineRule="exact"/>
        <w:rPr>
          <w:sz w:val="20"/>
          <w:szCs w:val="20"/>
          <w:color w:val="auto"/>
        </w:rPr>
      </w:pPr>
    </w:p>
    <w:p>
      <w:pPr>
        <w:ind w:left="100" w:right="560" w:hanging="93"/>
        <w:spacing w:after="0" w:line="282" w:lineRule="auto"/>
        <w:rPr>
          <w:sz w:val="20"/>
          <w:szCs w:val="20"/>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spacing w:after="0" w:line="162" w:lineRule="exact"/>
        <w:rPr>
          <w:sz w:val="20"/>
          <w:szCs w:val="20"/>
          <w:color w:val="auto"/>
        </w:rPr>
      </w:pPr>
    </w:p>
    <w:p>
      <w:pPr>
        <w:ind w:left="100" w:right="80" w:hanging="93"/>
        <w:spacing w:after="0" w:line="266" w:lineRule="auto"/>
        <w:rPr>
          <w:sz w:val="20"/>
          <w:szCs w:val="20"/>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 is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LUNA VALLEY &amp; DAGGETT 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D1-LV TargetCo LLC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D1-LV CE Seller LLC, as Seller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LV-Daggett Parent Holdco LLC, as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0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120" w:type="dxa"/>
            <w:vAlign w:val="bottom"/>
          </w:tcPr>
          <w:p>
            <w:pPr>
              <w:spacing w:after="0"/>
              <w:rPr>
                <w:sz w:val="20"/>
                <w:szCs w:val="20"/>
                <w:color w:val="auto"/>
              </w:rPr>
            </w:pPr>
          </w:p>
        </w:tc>
      </w:tr>
      <w:tr>
        <w:trPr>
          <w:trHeight w:val="414"/>
        </w:trPr>
        <w:tc>
          <w:tcPr>
            <w:tcW w:w="10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RULES OF INTERPRETATION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1.01.</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0"/>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1.02.</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2.01.</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2.02.</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Payment of Purchase Price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2.03.</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Closing; Additional 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2.04.</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Purchase Price Amount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2.05.</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0"/>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2.06.</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Reporting of Transaction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3.01.</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0"/>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3.02.</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Purchaser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4.01.</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Parties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4.02.</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Purchaser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0"/>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4.03.</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Seller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5.01.</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Other Permits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5.02.</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5.03.</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Certain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5.04.</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5.05.</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5.06.</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5.07.</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5.08.</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5.09.</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5.10.</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5.11.</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Seller Parent Guaranty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5.12.</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Equity Agreements; Tax Credit Monetization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8"/>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5.13.</w:t>
            </w:r>
          </w:p>
        </w:tc>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Duties of Initial Manager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6.01.</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6.02.</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6.03.</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6.04.</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6.05.</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6.06.</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6.07.</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6.08.</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6.09.</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0"/>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6.10.</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7.01.</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0"/>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7.02.</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2"/>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8.01.</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8.02.</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8.03.</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8.04.</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8.05.</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8.06.</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8.07.</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8.08.</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8.09.</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8.10.</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8.11.</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8.12.</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8.13.</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8.14.</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8.15.</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8.16.</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8"/>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8.17.</w:t>
            </w: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Assignment of Membership Interests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Purchaser Parent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Seller Parent 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Officer’s Certificate of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Secretary’s Certificate of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Officer’s Certificate of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Secretary’s Certificate of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A&amp;R LLC Agreement</w:t>
      </w:r>
    </w:p>
    <w:p>
      <w:pPr>
        <w:spacing w:after="0" w:line="200" w:lineRule="exact"/>
        <w:rPr>
          <w:sz w:val="20"/>
          <w:szCs w:val="20"/>
          <w:color w:val="auto"/>
        </w:rPr>
      </w:pPr>
    </w:p>
    <w:p>
      <w:pPr>
        <w:sectPr>
          <w:pgSz w:w="11900" w:h="16838" w:orient="portrait"/>
          <w:cols w:equalWidth="0" w:num="2">
            <w:col w:w="1320" w:space="720"/>
            <w:col w:w="8099"/>
          </w:cols>
          <w:pgMar w:left="320" w:top="90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Schedules:</w:t>
      </w:r>
    </w:p>
    <w:p>
      <w:pPr>
        <w:sectPr>
          <w:pgSz w:w="11900" w:h="16838" w:orient="portrait"/>
          <w:cols w:equalWidth="0" w:num="1">
            <w:col w:w="10139"/>
          </w:cols>
          <w:pgMar w:left="320" w:top="900"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6.01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Indemnification Matters</w:t>
      </w:r>
    </w:p>
    <w:p>
      <w:pPr>
        <w:spacing w:after="0" w:line="200" w:lineRule="exact"/>
        <w:rPr>
          <w:sz w:val="20"/>
          <w:szCs w:val="20"/>
          <w:color w:val="auto"/>
        </w:rPr>
      </w:pPr>
    </w:p>
    <w:p>
      <w:pPr>
        <w:sectPr>
          <w:pgSz w:w="11900" w:h="16838" w:orient="portrait"/>
          <w:cols w:equalWidth="0" w:num="2">
            <w:col w:w="1320" w:space="720"/>
            <w:col w:w="8099"/>
          </w:cols>
          <w:pgMar w:left="320" w:top="90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 Disclosure Schedules:</w:t>
      </w:r>
    </w:p>
    <w:p>
      <w:pPr>
        <w:sectPr>
          <w:pgSz w:w="11900" w:h="16838" w:orient="portrait"/>
          <w:cols w:equalWidth="0" w:num="1">
            <w:col w:w="10139"/>
          </w:cols>
          <w:pgMar w:left="320" w:top="900" w:right="1440" w:bottom="1440" w:gutter="0" w:footer="0" w:header="0"/>
          <w:type w:val="continuous"/>
        </w:sectPr>
      </w:pP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Schedule 1.01 Schedule 3.01(c) Schedule 3.01(e) Schedule 3.01(f) Schedule 3.01(g) Schedule 3.01(i) Schedule 3.01(i)(ii) Schedule 3.01(i)(iii) Schedule 3.01(i)(v) Schedule 3.01(i)(vi) Schedule 3.01(i)(vii) Schedule 3.01(j) Schedule 3.01(k) Schedule 3.01(m)(i) Schedule 3.01(m)(iii) Schedule 3.01(n)(i) Schedule 3.01(n)(ii) Schedule 3.01(n)(iii) Schedule 3.01(o) Schedule 3.01(p)(i) Schedule 3.01(p)(iii) Schedule 3.01(p)(iv) Schedule 3.01(q)(i) Schedule 3.01(q)(ii) Schedule 3.01(r) Schedule 3.01(s)(i) Schedule 3.01(t) Schedule 3.01(v) Schedule 3.01(w) Schedule 3.01(y) Schedule 5.04(b)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Business Jurisdictions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Equity 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Additional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Additional Business Operations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Contracts Defaults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Real Property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Insured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 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Hazardous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Absence of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Business</w:t>
      </w:r>
    </w:p>
    <w:p>
      <w:pPr>
        <w:spacing w:after="0" w:line="205" w:lineRule="exact"/>
        <w:rPr>
          <w:sz w:val="20"/>
          <w:szCs w:val="20"/>
          <w:color w:val="auto"/>
        </w:rPr>
      </w:pPr>
    </w:p>
    <w:p>
      <w:pPr>
        <w:sectPr>
          <w:pgSz w:w="11900" w:h="16838" w:orient="portrait"/>
          <w:cols w:equalWidth="0" w:num="2">
            <w:col w:w="1560" w:space="480"/>
            <w:col w:w="8099"/>
          </w:cols>
          <w:pgMar w:left="320" w:top="900" w:right="1440" w:bottom="1440" w:gutter="0" w:footer="0" w:header="0"/>
          <w:type w:val="continuous"/>
        </w:sectPr>
      </w:pP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7" w:name="page8"/>
    <w:bookmarkEnd w:id="7"/>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 Disclosure Schedules:</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Approvals</w:t>
      </w:r>
    </w:p>
    <w:p>
      <w:pPr>
        <w:spacing w:after="0" w:line="211" w:lineRule="exact"/>
        <w:rPr>
          <w:sz w:val="20"/>
          <w:szCs w:val="20"/>
          <w:color w:val="auto"/>
        </w:rPr>
      </w:pPr>
    </w:p>
    <w:p>
      <w:pPr>
        <w:sectPr>
          <w:pgSz w:w="11900" w:h="16838" w:orient="portrait"/>
          <w:cols w:equalWidth="0" w:num="2">
            <w:col w:w="1320" w:space="720"/>
            <w:col w:w="8099"/>
          </w:cols>
          <w:pgMar w:left="320" w:top="900" w:right="1440" w:bottom="1440" w:gutter="0" w:footer="0" w:header="0"/>
          <w:type w:val="continuous"/>
        </w:sect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June 27, 2024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D1-LV CE Seller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LV-Daggett Parent Holdco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(a) Renew Development HoldCo LLC, a Delaware limited liability company (“</w:t>
      </w:r>
      <w:r>
        <w:rPr>
          <w:rFonts w:ascii="Times New Roman" w:cs="Times New Roman" w:eastAsia="Times New Roman" w:hAnsi="Times New Roman"/>
          <w:sz w:val="18"/>
          <w:szCs w:val="18"/>
          <w:i w:val="1"/>
          <w:iCs w:val="1"/>
          <w:color w:val="auto"/>
        </w:rPr>
        <w:t>Project DevCo</w:t>
      </w:r>
      <w:r>
        <w:rPr>
          <w:rFonts w:ascii="Times New Roman" w:cs="Times New Roman" w:eastAsia="Times New Roman" w:hAnsi="Times New Roman"/>
          <w:sz w:val="18"/>
          <w:szCs w:val="18"/>
          <w:color w:val="auto"/>
        </w:rPr>
        <w:t>”) directly owns one hundred percent (100%) of the limited liability company membership interests of D1-LV Project Holdco LLC, a Delaware limited liability company (“</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and (b) Project HoldCo directly owns hundred percent (100%) of the limited liability company membership interests of each of (i) Luna Valley Pledgor, LLC, a Delaware limited liability company (the “</w:t>
      </w:r>
      <w:r>
        <w:rPr>
          <w:rFonts w:ascii="Times New Roman" w:cs="Times New Roman" w:eastAsia="Times New Roman" w:hAnsi="Times New Roman"/>
          <w:sz w:val="18"/>
          <w:szCs w:val="18"/>
          <w:i w:val="1"/>
          <w:iCs w:val="1"/>
          <w:color w:val="auto"/>
        </w:rPr>
        <w:t>LV Pledgor Company</w:t>
      </w:r>
      <w:r>
        <w:rPr>
          <w:rFonts w:ascii="Times New Roman" w:cs="Times New Roman" w:eastAsia="Times New Roman" w:hAnsi="Times New Roman"/>
          <w:sz w:val="18"/>
          <w:szCs w:val="18"/>
          <w:color w:val="auto"/>
        </w:rPr>
        <w:t>”), and (ii) Daggett 1 Pledgor, LLC, a Delaware limited liability company (the “</w:t>
      </w:r>
      <w:r>
        <w:rPr>
          <w:rFonts w:ascii="Times New Roman" w:cs="Times New Roman" w:eastAsia="Times New Roman" w:hAnsi="Times New Roman"/>
          <w:sz w:val="18"/>
          <w:szCs w:val="18"/>
          <w:i w:val="1"/>
          <w:iCs w:val="1"/>
          <w:color w:val="auto"/>
        </w:rPr>
        <w:t>D1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 and, together with LV Pledgor Company, each a “</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LV Pledgor Company owns hundred percent (100%) of the limited liability company membership interests of Luna Valley Solar I, LLC, a Delaware limited liability company (the “</w:t>
      </w:r>
      <w:r>
        <w:rPr>
          <w:rFonts w:ascii="Times New Roman" w:cs="Times New Roman" w:eastAsia="Times New Roman" w:hAnsi="Times New Roman"/>
          <w:sz w:val="18"/>
          <w:szCs w:val="18"/>
          <w:i w:val="1"/>
          <w:iCs w:val="1"/>
          <w:color w:val="auto"/>
        </w:rPr>
        <w:t>LV Project 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D1 Pledgor Company owns one hundred percent (100%) of the limited liability company membership interests of Daggett Solar Power 1 LLC, a Delaware limited liability company (the “</w:t>
      </w:r>
      <w:r>
        <w:rPr>
          <w:rFonts w:ascii="Times New Roman" w:cs="Times New Roman" w:eastAsia="Times New Roman" w:hAnsi="Times New Roman"/>
          <w:sz w:val="18"/>
          <w:szCs w:val="18"/>
          <w:i w:val="1"/>
          <w:iCs w:val="1"/>
          <w:color w:val="auto"/>
        </w:rPr>
        <w:t>D1 Project Company</w:t>
      </w:r>
      <w:r>
        <w:rPr>
          <w:rFonts w:ascii="Times New Roman" w:cs="Times New Roman" w:eastAsia="Times New Roman" w:hAnsi="Times New Roman"/>
          <w:sz w:val="18"/>
          <w:szCs w:val="18"/>
          <w:color w:val="auto"/>
        </w:rPr>
        <w:t>” and, together with the LV Project Company, each a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 the LV Project Company is developing and constructing an approximately 200 MWAC solar PV electric generating facility, and associated infrastructure, located in Fresno County, California (the “</w:t>
      </w:r>
      <w:r>
        <w:rPr>
          <w:rFonts w:ascii="Times New Roman" w:cs="Times New Roman" w:eastAsia="Times New Roman" w:hAnsi="Times New Roman"/>
          <w:sz w:val="18"/>
          <w:szCs w:val="18"/>
          <w:i w:val="1"/>
          <w:iCs w:val="1"/>
          <w:color w:val="auto"/>
        </w:rPr>
        <w:t>LV Project</w:t>
      </w:r>
      <w:r>
        <w:rPr>
          <w:rFonts w:ascii="Times New Roman" w:cs="Times New Roman" w:eastAsia="Times New Roman" w:hAnsi="Times New Roman"/>
          <w:sz w:val="18"/>
          <w:szCs w:val="18"/>
          <w:color w:val="auto"/>
        </w:rPr>
        <w:t>”), and (b) the D1 Project Company is developing and constructing an approximately 113.5 MW battery energy storage system, and associated infrastructure, located in San Bernardino County, California (the “</w:t>
      </w:r>
      <w:r>
        <w:rPr>
          <w:rFonts w:ascii="Times New Roman" w:cs="Times New Roman" w:eastAsia="Times New Roman" w:hAnsi="Times New Roman"/>
          <w:sz w:val="18"/>
          <w:szCs w:val="18"/>
          <w:i w:val="1"/>
          <w:iCs w:val="1"/>
          <w:color w:val="auto"/>
        </w:rPr>
        <w:t>D1 Project</w:t>
      </w:r>
      <w:r>
        <w:rPr>
          <w:rFonts w:ascii="Times New Roman" w:cs="Times New Roman" w:eastAsia="Times New Roman" w:hAnsi="Times New Roman"/>
          <w:sz w:val="18"/>
          <w:szCs w:val="18"/>
          <w:color w:val="auto"/>
        </w:rPr>
        <w:t>” and, together with the LV Project, each a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(a) Seller directly owns one hundred percent (100%) of the limited liability company membership interests of D1-LV TargetCo LLC, a Delaware limited liability company (the “</w:t>
      </w:r>
      <w:r>
        <w:rPr>
          <w:rFonts w:ascii="Times New Roman" w:cs="Times New Roman" w:eastAsia="Times New Roman" w:hAnsi="Times New Roman"/>
          <w:sz w:val="18"/>
          <w:szCs w:val="18"/>
          <w:i w:val="1"/>
          <w:iCs w:val="1"/>
          <w:color w:val="auto"/>
        </w:rPr>
        <w:t>Target Company</w:t>
      </w:r>
      <w:r>
        <w:rPr>
          <w:rFonts w:ascii="Times New Roman" w:cs="Times New Roman" w:eastAsia="Times New Roman" w:hAnsi="Times New Roman"/>
          <w:sz w:val="18"/>
          <w:szCs w:val="18"/>
          <w:color w:val="auto"/>
        </w:rPr>
        <w:t>”), (b) the Target Company owns one hundred percent (100%) of the limited liability company membership interests of (i) Luna Valley Class B Member LLC, a Delaware limited liability company (“</w:t>
      </w:r>
      <w:r>
        <w:rPr>
          <w:rFonts w:ascii="Times New Roman" w:cs="Times New Roman" w:eastAsia="Times New Roman" w:hAnsi="Times New Roman"/>
          <w:sz w:val="18"/>
          <w:szCs w:val="18"/>
          <w:i w:val="1"/>
          <w:iCs w:val="1"/>
          <w:color w:val="auto"/>
        </w:rPr>
        <w:t>LV Class B HoldCo</w:t>
      </w:r>
      <w:r>
        <w:rPr>
          <w:rFonts w:ascii="Times New Roman" w:cs="Times New Roman" w:eastAsia="Times New Roman" w:hAnsi="Times New Roman"/>
          <w:sz w:val="18"/>
          <w:szCs w:val="18"/>
          <w:color w:val="auto"/>
        </w:rPr>
        <w:t>”) and (ii) Daggett 1 Class B Member LLC, a Delaware limited liability company (“</w:t>
      </w:r>
      <w:r>
        <w:rPr>
          <w:rFonts w:ascii="Times New Roman" w:cs="Times New Roman" w:eastAsia="Times New Roman" w:hAnsi="Times New Roman"/>
          <w:sz w:val="18"/>
          <w:szCs w:val="18"/>
          <w:i w:val="1"/>
          <w:iCs w:val="1"/>
          <w:color w:val="auto"/>
        </w:rPr>
        <w:t>D1 Class B HoldCo</w:t>
      </w:r>
      <w:r>
        <w:rPr>
          <w:rFonts w:ascii="Times New Roman" w:cs="Times New Roman" w:eastAsia="Times New Roman" w:hAnsi="Times New Roman"/>
          <w:sz w:val="18"/>
          <w:szCs w:val="18"/>
          <w:color w:val="auto"/>
        </w:rPr>
        <w:t>” and, together with LV Class B HoldCo, the “</w:t>
      </w:r>
      <w:r>
        <w:rPr>
          <w:rFonts w:ascii="Times New Roman" w:cs="Times New Roman" w:eastAsia="Times New Roman" w:hAnsi="Times New Roman"/>
          <w:sz w:val="18"/>
          <w:szCs w:val="18"/>
          <w:i w:val="1"/>
          <w:iCs w:val="1"/>
          <w:color w:val="auto"/>
        </w:rPr>
        <w:t>Class B HoldCos</w:t>
      </w:r>
      <w:r>
        <w:rPr>
          <w:rFonts w:ascii="Times New Roman" w:cs="Times New Roman" w:eastAsia="Times New Roman" w:hAnsi="Times New Roman"/>
          <w:sz w:val="18"/>
          <w:szCs w:val="18"/>
          <w:color w:val="auto"/>
        </w:rPr>
        <w:t>”), (c) until the Tax Equity Investor (as defined below) makes its initial investment in Luna Valley TE Holdco LLC, a Delaware limited liability company (“</w:t>
      </w:r>
      <w:r>
        <w:rPr>
          <w:rFonts w:ascii="Times New Roman" w:cs="Times New Roman" w:eastAsia="Times New Roman" w:hAnsi="Times New Roman"/>
          <w:sz w:val="18"/>
          <w:szCs w:val="18"/>
          <w:i w:val="1"/>
          <w:iCs w:val="1"/>
          <w:color w:val="auto"/>
        </w:rPr>
        <w:t>LV 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in accordance with the LV Tax Equity Agreements (as defined below), LV Class B HoldCo will own one hundred percent (100%) of the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membership interests of LV TE Holdco, and (d) until the Tax Equity Investor makes its initial investment in Daggett 1 TE Holdco LLC, a Delaware limited liability company (“</w:t>
      </w:r>
      <w:r>
        <w:rPr>
          <w:rFonts w:ascii="Times New Roman" w:cs="Times New Roman" w:eastAsia="Times New Roman" w:hAnsi="Times New Roman"/>
          <w:sz w:val="18"/>
          <w:szCs w:val="18"/>
          <w:i w:val="1"/>
          <w:iCs w:val="1"/>
          <w:color w:val="auto"/>
        </w:rPr>
        <w:t>D1 TE HoldCo</w:t>
      </w:r>
      <w:r>
        <w:rPr>
          <w:rFonts w:ascii="Times New Roman" w:cs="Times New Roman" w:eastAsia="Times New Roman" w:hAnsi="Times New Roman"/>
          <w:sz w:val="18"/>
          <w:szCs w:val="18"/>
          <w:color w:val="auto"/>
        </w:rPr>
        <w:t>” and, together with LV TE HoldCo, the “</w:t>
      </w:r>
      <w:r>
        <w:rPr>
          <w:rFonts w:ascii="Times New Roman" w:cs="Times New Roman" w:eastAsia="Times New Roman" w:hAnsi="Times New Roman"/>
          <w:sz w:val="18"/>
          <w:szCs w:val="18"/>
          <w:i w:val="1"/>
          <w:iCs w:val="1"/>
          <w:color w:val="auto"/>
        </w:rPr>
        <w:t>TE HoldCos</w:t>
      </w:r>
      <w:r>
        <w:rPr>
          <w:rFonts w:ascii="Times New Roman" w:cs="Times New Roman" w:eastAsia="Times New Roman" w:hAnsi="Times New Roman"/>
          <w:sz w:val="18"/>
          <w:szCs w:val="18"/>
          <w:color w:val="auto"/>
        </w:rPr>
        <w:t>” and such TE HoldCos, together with the LV Pledgor Company, the D1 Pledgor Company, the LV Project Company, the D1 Project Company, LV Class B HoldCo, D1 Class B HoldCo and the Target Company, the “</w:t>
      </w:r>
      <w:r>
        <w:rPr>
          <w:rFonts w:ascii="Times New Roman" w:cs="Times New Roman" w:eastAsia="Times New Roman" w:hAnsi="Times New Roman"/>
          <w:sz w:val="18"/>
          <w:szCs w:val="18"/>
          <w:i w:val="1"/>
          <w:iCs w:val="1"/>
          <w:color w:val="auto"/>
        </w:rPr>
        <w:t>Acquired Companies</w:t>
      </w:r>
      <w:r>
        <w:rPr>
          <w:rFonts w:ascii="Times New Roman" w:cs="Times New Roman" w:eastAsia="Times New Roman" w:hAnsi="Times New Roman"/>
          <w:sz w:val="18"/>
          <w:szCs w:val="18"/>
          <w:color w:val="auto"/>
        </w:rPr>
        <w:t>”), in accordance with the D1 Tax Equity Agreements (as defined below), D1 Class B HoldCo will directly own one hundred percent (100%) of the limited liability company membership interests of D1 TE HoldCo;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prior to the Closing (as defined below), consistent with the provisions of the Tax Equity Agreements in respect of the First Funded Project (as defined below), (a) Class B HoldCo in respect of the First Funded Project will make a contribution to TE HoldCo in respect of the First Funded Project, and the Tax Equity Investor will make its initial investment in such TE HoldCo in accordance with such Tax Equity Agreements, (b) the limited liability company membership interests in TE HoldCo in respect of the First Funded Project will be divided into Class A membership interests and Class B membership interests, with (i) one hundred percent (100%) of the Class A membership interests in such TE HoldCo to be issued, directly or indirectly, to the Tax Equity Investor, and (ii) the portion of the limited liability company membership interests in such TE HoldCo retained by Class B HoldCo in respect of the First Funded Project to be converted into one hundred percent (100%) of the Class B membership interests in such TE HoldCo, and</w:t>
      </w:r>
    </w:p>
    <w:p>
      <w:pPr>
        <w:spacing w:after="0" w:line="3" w:lineRule="exact"/>
        <w:rPr>
          <w:sz w:val="20"/>
          <w:szCs w:val="20"/>
          <w:color w:val="auto"/>
        </w:rPr>
      </w:pPr>
    </w:p>
    <w:p>
      <w:pPr>
        <w:jc w:val="both"/>
        <w:ind w:firstLine="8"/>
        <w:spacing w:after="0" w:line="255"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 HoldCo MIPA in respect of the First Funded Project, TE HoldCo in respect of the First Funded Project will acquire one hundred percent (100%) of the limited liability company membership interests of the Pledgor Company that indirectly owns the First Funded Project (as defined below), from Project HoldCo;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immediately subsequent to the consummation of the transactions described in the immediately preceding recital, TE HoldCo in respect of the First Funded Project will own, directly or indirectly, all the limited liability company membership interests in the Project Company that directly owns the First Funded Project, and the Pledgor Company that directly owns such Project Company;</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at the Closing, and subsequent to the Tax Equity Investor making its initial investment in TE HoldCo in respect of the First Funded Project, Seller desires to sell, and Purchaser desires to purchase, nine hundred and ninety-nine (999) units, which represent a portion of the limited liability company membership interests of the Target Company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which shall be converted into one hundred percent (100%) of the Class A limited liability company membership interests in the Target Company, on the terms and subject to the conditions set forth in this Agreement;</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immediately following Purchaser’s acquisition of the Acquired Interests,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Seller will distribute (the “</w:t>
      </w:r>
      <w:r>
        <w:rPr>
          <w:rFonts w:ascii="Times New Roman" w:cs="Times New Roman" w:eastAsia="Times New Roman" w:hAnsi="Times New Roman"/>
          <w:sz w:val="18"/>
          <w:szCs w:val="18"/>
          <w:i w:val="1"/>
          <w:iCs w:val="1"/>
          <w:color w:val="auto"/>
        </w:rPr>
        <w:t>Seller Distribution</w:t>
      </w:r>
      <w:r>
        <w:rPr>
          <w:rFonts w:ascii="Times New Roman" w:cs="Times New Roman" w:eastAsia="Times New Roman" w:hAnsi="Times New Roman"/>
          <w:sz w:val="18"/>
          <w:szCs w:val="18"/>
          <w:color w:val="auto"/>
        </w:rPr>
        <w:t>”) to Clearway Renew LLC, a Delaware limited liability company (“</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the remaining one (1) unit, which represents the remaining portion of the limited liability company membership interests of the Target Company owned by Seller (the “</w:t>
      </w:r>
      <w:r>
        <w:rPr>
          <w:rFonts w:ascii="Times New Roman" w:cs="Times New Roman" w:eastAsia="Times New Roman" w:hAnsi="Times New Roman"/>
          <w:sz w:val="18"/>
          <w:szCs w:val="18"/>
          <w:i w:val="1"/>
          <w:iCs w:val="1"/>
          <w:color w:val="auto"/>
        </w:rPr>
        <w:t>Retained Interest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Retained Interest shall be converted into one hundred percent (100%) of the Class C limited liability company membership interests in the Target Company;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pursuant to the A&amp;R LLCA, upon the consummation of the Closing,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Acquired Interests shall be designated the “Class A Membership Interest”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Retained Interests shall be designated the “Class C Membership Interest”; and</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upon the occurrence of the Second Project MC Funding (as defined below), consistent with the provisions of the Tax Equity Agreements in respect of the Second Funded Project, (a) Class B HoldCo in respect of the Second Funded Project will make a contribution to TE HoldCo in respect of the Second Funded Project, and the Tax Equity Investor will make its initial investment in such TE HoldCo in accordance with such Tax Equity Agreements, (b) the limited liability company membership interests in TE HoldCo in respect of the Second Funded Project will be divided into Class A membership interests and Class B membership interests, with (i) one hundred percent (100%) of the Class A membership interests in such TE HoldCo to be issued, directly or indirectly, to the Tax Equity Investor, and (ii) the portion of the limited liability company membership interests in such TE HoldCo retained by Class B HoldCo in respect of the Second Funded Project to be converted into one hundred percent (100%) of the Class B membership interests in such TE HoldCo, and (c) pursuant to the TE HoldCo MIPA in respect of the Second Funded Project, TE HoldCo in respect of the Second Funded Project will acquire one hundred percent (100%) of the limited liability company membership interests of the Pledgor Company that indirectly owns the Second Funded Project (as defined below), from Project HoldCo.</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RULES OF INTERPRETATION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1.01.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7"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A&amp;R LLCA</w:t>
      </w:r>
      <w:r>
        <w:rPr>
          <w:rFonts w:ascii="Times New Roman" w:cs="Times New Roman" w:eastAsia="Times New Roman" w:hAnsi="Times New Roman"/>
          <w:sz w:val="18"/>
          <w:szCs w:val="18"/>
          <w:color w:val="auto"/>
        </w:rPr>
        <w:t xml:space="preserve">” means that certain Amended and Restated Limited Liability Company Agreement of the Target Company, substantially in the form attached hereto as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 xml:space="preserve"> (and, with respect to any portion of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 xml:space="preserve"> subject to finalization during the Interim Period, with such supplements or modifications thereto as may be mutually-agreed by the Parties, each acting reasonably and in good faith).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Companies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means KeyBank National Association.</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CEG, Seller and the direct or indirect subsidiaries of each (other than Clearway Energy Inc., and its direct or indirect subsidiaries), on the one hand,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Clearway Energy Inc., Clearway Energy LLC, Purchaser Parent, Purchaser and the direct or indirect subsidiaries of each, on the other hand, shall not be considered “Affiliates,”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Purchaser, “Affiliates” shall be limited to Clearway Energy Inc. and its subsidiaries,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with respect to Seller, “Affiliates” shall be limited to Clearway Energy Group LLC and its subsidiaries.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Aggregate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Documents</w:t>
      </w:r>
      <w:r>
        <w:rPr>
          <w:rFonts w:ascii="Times New Roman" w:cs="Times New Roman" w:eastAsia="Times New Roman" w:hAnsi="Times New Roman"/>
          <w:sz w:val="18"/>
          <w:szCs w:val="18"/>
          <w:color w:val="auto"/>
        </w:rPr>
        <w:t xml:space="preserve">” means (a) the Assignment of Membership Interests and (b) the respective certificates to be executed and delivered at the Closing by Purchaser pursuant to </w:t>
      </w:r>
      <w:r>
        <w:rPr>
          <w:rFonts w:ascii="Times New Roman" w:cs="Times New Roman" w:eastAsia="Times New Roman" w:hAnsi="Times New Roman"/>
          <w:sz w:val="18"/>
          <w:szCs w:val="18"/>
          <w:i w:val="1"/>
          <w:iCs w:val="1"/>
          <w:color w:val="auto"/>
        </w:rPr>
        <w:t>Section 4.03(c)</w:t>
      </w:r>
      <w:r>
        <w:rPr>
          <w:rFonts w:ascii="Times New Roman" w:cs="Times New Roman" w:eastAsia="Times New Roman" w:hAnsi="Times New Roman"/>
          <w:sz w:val="18"/>
          <w:szCs w:val="18"/>
          <w:color w:val="auto"/>
        </w:rPr>
        <w:t xml:space="preserve"> or by Seller pursuant to </w:t>
      </w:r>
      <w:r>
        <w:rPr>
          <w:rFonts w:ascii="Times New Roman" w:cs="Times New Roman" w:eastAsia="Times New Roman" w:hAnsi="Times New Roman"/>
          <w:sz w:val="18"/>
          <w:szCs w:val="18"/>
          <w:i w:val="1"/>
          <w:iCs w:val="1"/>
          <w:color w:val="auto"/>
        </w:rPr>
        <w:t>Section 4.02(d)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w:t>
      </w:r>
      <w:r>
        <w:rPr>
          <w:rFonts w:ascii="Times New Roman" w:cs="Times New Roman" w:eastAsia="Times New Roman" w:hAnsi="Times New Roman"/>
          <w:sz w:val="18"/>
          <w:szCs w:val="18"/>
          <w:color w:val="auto"/>
        </w:rPr>
        <w:t>” has the meaning set forth in each Tax Equity ECCA,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with respect to the D1 Project Company, the financial projections in file “Daggett 1 - CWEN External - 6_18_24 ”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the LV Project Company, the financial projections in file “Luna Valley - CWEN External - 6_18_24”, as the context may require.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2" w:name="page13"/>
    <w:bookmarkEnd w:id="12"/>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D1 Price</w:t>
      </w:r>
      <w:r>
        <w:rPr>
          <w:rFonts w:ascii="Times New Roman" w:cs="Times New Roman" w:eastAsia="Times New Roman" w:hAnsi="Times New Roman"/>
          <w:sz w:val="18"/>
          <w:szCs w:val="18"/>
          <w:color w:val="auto"/>
        </w:rPr>
        <w:t>” means an amount equal to Fifty Three Million, One Hundred Fifty-seven Thousand, Three Hundred and Ninety-eight Dollars ($53,157,398).</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LV Price</w:t>
      </w:r>
      <w:r>
        <w:rPr>
          <w:rFonts w:ascii="Times New Roman" w:cs="Times New Roman" w:eastAsia="Times New Roman" w:hAnsi="Times New Roman"/>
          <w:sz w:val="18"/>
          <w:szCs w:val="18"/>
          <w:color w:val="auto"/>
        </w:rPr>
        <w:t>” means an amount equal to Eighty-nine Million, Six Hundred and Fifty-four Thousand and Twenty-five Dollars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($89,654,025).</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Price</w:t>
      </w:r>
      <w:r>
        <w:rPr>
          <w:rFonts w:ascii="Times New Roman" w:cs="Times New Roman" w:eastAsia="Times New Roman" w:hAnsi="Times New Roman"/>
          <w:sz w:val="18"/>
          <w:szCs w:val="18"/>
          <w:color w:val="auto"/>
        </w:rPr>
        <w:t>” means the Base D1 Price or the Base LV Price, as the context may require.</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are authorized or obligated to close.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“CAISO” </w:t>
      </w:r>
      <w:r>
        <w:rPr>
          <w:rFonts w:ascii="Times New Roman" w:cs="Times New Roman" w:eastAsia="Times New Roman" w:hAnsi="Times New Roman"/>
          <w:sz w:val="18"/>
          <w:szCs w:val="18"/>
          <w:color w:val="auto"/>
        </w:rPr>
        <w:t>means the California Independent System Operator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means Clearway Energy Group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Endorsement</w:t>
      </w:r>
      <w:r>
        <w:rPr>
          <w:rFonts w:ascii="Times New Roman" w:cs="Times New Roman" w:eastAsia="Times New Roman" w:hAnsi="Times New Roman"/>
          <w:sz w:val="18"/>
          <w:szCs w:val="18"/>
          <w:color w:val="auto"/>
        </w:rPr>
        <w:t>” means (a) a date down endorsement to the Execution Date Title Policy in respect of the First Funded Project, and (b) an ALTA 15.1 endorsement thereto naming Purchaser as an additional insured.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3.01(m)(i)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CPUC</w:t>
      </w:r>
      <w:r>
        <w:rPr>
          <w:rFonts w:ascii="Times New Roman" w:cs="Times New Roman" w:eastAsia="Times New Roman" w:hAnsi="Times New Roman"/>
          <w:sz w:val="18"/>
          <w:szCs w:val="18"/>
          <w:color w:val="auto"/>
        </w:rPr>
        <w:t>” means the California Public Utilities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Delay Damages</w:t>
      </w:r>
      <w:r>
        <w:rPr>
          <w:rFonts w:ascii="Times New Roman" w:cs="Times New Roman" w:eastAsia="Times New Roman" w:hAnsi="Times New Roman"/>
          <w:sz w:val="18"/>
          <w:szCs w:val="18"/>
          <w:color w:val="auto"/>
        </w:rPr>
        <w:t xml:space="preserve">” means any (a) “Construction Delay Damages” or “Commercial Operation Delay Damages” (as defined in the Contract identified as item 3 under the heading “Offtake Agreements”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1 and Section 2 of Exhibit B of such Contract, (b) “Daily Delay Damages” (as defined in the Contract identified as item 1 under the heading “Offtake Agreements”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3.9(c) of such Contract, or (c) “Daily Delay Liquidated Delay Damages” (as defined in the Contract identified as item 2 under the heading “Offtake Agreements”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payable pursuant to Section 2.06 of such Contract, in each case, paid by any Project Company.</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Class B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Equity Capital Contribution Account</w:t>
      </w:r>
      <w:r>
        <w:rPr>
          <w:rFonts w:ascii="Times New Roman" w:cs="Times New Roman" w:eastAsia="Times New Roman" w:hAnsi="Times New Roman"/>
          <w:sz w:val="18"/>
          <w:szCs w:val="18"/>
          <w:color w:val="auto"/>
        </w:rPr>
        <w:t>” means the “Equity Capital Contribution Account” (as such term is defined in the D1 Financing Agreement).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Financing Agreement</w:t>
      </w:r>
      <w:r>
        <w:rPr>
          <w:rFonts w:ascii="Times New Roman" w:cs="Times New Roman" w:eastAsia="Times New Roman" w:hAnsi="Times New Roman"/>
          <w:sz w:val="18"/>
          <w:szCs w:val="18"/>
          <w:color w:val="auto"/>
        </w:rPr>
        <w:t>” means that certain Financing Agreement, dated as of June 17, 2024, by and among D1 Class B HoldCo, the D1 Project Company, the Administrative Agent, Keybank National Association, as collateral agent, and the lenders and issuing banks from time to time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Pledgor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Tax Equity Agreements</w:t>
      </w:r>
      <w:r>
        <w:rPr>
          <w:rFonts w:ascii="Times New Roman" w:cs="Times New Roman" w:eastAsia="Times New Roman" w:hAnsi="Times New Roman"/>
          <w:sz w:val="18"/>
          <w:szCs w:val="18"/>
          <w:color w:val="auto"/>
        </w:rPr>
        <w:t>” means, collectively, the D1 Tax Equity ECCA, the D1 Tax Equity LLCA, the D1 TE HoldCo MIPA, and the Seller Tax Equity Guaranty, the Purchaser Tax Equity Guaranty, any Tax Credit Transfer Agreement, any Seller Tax Credit Transfer Guaranty and any Purchaser Tax Credit Transfer Guaranty, in each case in respect of the D1 Project.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Tax Equity Documents</w:t>
      </w:r>
      <w:r>
        <w:rPr>
          <w:rFonts w:ascii="Times New Roman" w:cs="Times New Roman" w:eastAsia="Times New Roman" w:hAnsi="Times New Roman"/>
          <w:sz w:val="18"/>
          <w:szCs w:val="18"/>
          <w:color w:val="auto"/>
        </w:rPr>
        <w:t xml:space="preserve">” means each of the D1 Tax Equity Agreements and each other agreement or certificate to be executed and delivered pursuant to the D1 Tax Equity ECCA or the D1 Tax Equity LLCA, or any Tax Credit Transfer Agreement in each case, pursuant to the terms and subject to the conditions of </w:t>
      </w:r>
      <w:r>
        <w:rPr>
          <w:rFonts w:ascii="Times New Roman" w:cs="Times New Roman" w:eastAsia="Times New Roman" w:hAnsi="Times New Roman"/>
          <w:sz w:val="18"/>
          <w:szCs w:val="18"/>
          <w:i w:val="1"/>
          <w:iCs w:val="1"/>
          <w:color w:val="auto"/>
        </w:rPr>
        <w:t>Section 5.12(a).</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Tax Equity Financing</w:t>
      </w:r>
      <w:r>
        <w:rPr>
          <w:rFonts w:ascii="Times New Roman" w:cs="Times New Roman" w:eastAsia="Times New Roman" w:hAnsi="Times New Roman"/>
          <w:sz w:val="18"/>
          <w:szCs w:val="18"/>
          <w:color w:val="auto"/>
        </w:rPr>
        <w:t>” means, with respect to the D1 Project and the D1 Project Company, any tax equity financing entered into in connection with the acquisition, sale, lease, financing or refinancing of the D1 Project and the D1 Project Company, or any direct or indirect parent thereof, which may include a Tax Credit Transfer Transaction.</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Tax Equity ECCA</w:t>
      </w:r>
      <w:r>
        <w:rPr>
          <w:rFonts w:ascii="Times New Roman" w:cs="Times New Roman" w:eastAsia="Times New Roman" w:hAnsi="Times New Roman"/>
          <w:sz w:val="18"/>
          <w:szCs w:val="18"/>
          <w:color w:val="auto"/>
        </w:rPr>
        <w:t xml:space="preserve">” means that certain Equity Capital Contribution Agreement, to be entered into between the Tax Equity Investor and D1 Class B HoldCo,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Tax Equity LLCA</w:t>
      </w:r>
      <w:r>
        <w:rPr>
          <w:rFonts w:ascii="Times New Roman" w:cs="Times New Roman" w:eastAsia="Times New Roman" w:hAnsi="Times New Roman"/>
          <w:sz w:val="18"/>
          <w:szCs w:val="18"/>
          <w:color w:val="auto"/>
        </w:rPr>
        <w:t xml:space="preserve">” means that certain Amended and Restated Limited Liability Company Agreement of D1 TE HoldCo, to be entered into between D1 Class B HoldCo and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 TE HoldCo MIPA</w:t>
      </w:r>
      <w:r>
        <w:rPr>
          <w:rFonts w:ascii="Times New Roman" w:cs="Times New Roman" w:eastAsia="Times New Roman" w:hAnsi="Times New Roman"/>
          <w:sz w:val="18"/>
          <w:szCs w:val="18"/>
          <w:color w:val="auto"/>
        </w:rPr>
        <w:t xml:space="preserve">” means that certain Membership Interest Purchase Agreement for the sale by Project HoldCo and the purchase by D1 TE HoldCo of, upon the occurrence of the Project MC Funding for the D1 Project, one hundred percent (100%) of the membership interests of the Pledgor Company that indirectly owns the D1 Project,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attributable to the generation, purchase, sale or use of renewable energy generated or use of renewable generation technologies by either Project, or otherwise attributable to either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EPC Contract</w:t>
      </w:r>
      <w:r>
        <w:rPr>
          <w:rFonts w:ascii="Times New Roman" w:cs="Times New Roman" w:eastAsia="Times New Roman" w:hAnsi="Times New Roman"/>
          <w:sz w:val="18"/>
          <w:szCs w:val="18"/>
          <w:color w:val="auto"/>
        </w:rPr>
        <w:t>” means (a) that certain Engineering, Procurement and Construction Agreement, dated as of March 8, 2024, by and between the LV Project Company and the EPC Contractor, or (b) that certain Engineering, Procurement and Construction Agreement, dated as of March 11, 2024, by and between the D1 Project Company and the EPC Contractor, as the context may require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EPC Contractor</w:t>
      </w:r>
      <w:r>
        <w:rPr>
          <w:rFonts w:ascii="Times New Roman" w:cs="Times New Roman" w:eastAsia="Times New Roman" w:hAnsi="Times New Roman"/>
          <w:sz w:val="18"/>
          <w:szCs w:val="18"/>
          <w:color w:val="auto"/>
        </w:rPr>
        <w:t>” means D.H. Blattner &amp; Sons, LLC, a Minnesota limited liability company.</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Capital Contribution Account</w:t>
      </w:r>
      <w:r>
        <w:rPr>
          <w:rFonts w:ascii="Times New Roman" w:cs="Times New Roman" w:eastAsia="Times New Roman" w:hAnsi="Times New Roman"/>
          <w:sz w:val="18"/>
          <w:szCs w:val="18"/>
          <w:color w:val="auto"/>
        </w:rPr>
        <w:t>” means either the LV Equity Capital Contribution Account or the D1 Equity Capital Contribution Account, as the context may require.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Acquired Companies shall not be considered to be ERISA Affiliates from and after the Closing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 Title Policy</w:t>
      </w:r>
      <w:r>
        <w:rPr>
          <w:rFonts w:ascii="Times New Roman" w:cs="Times New Roman" w:eastAsia="Times New Roman" w:hAnsi="Times New Roman"/>
          <w:sz w:val="18"/>
          <w:szCs w:val="18"/>
          <w:color w:val="auto"/>
        </w:rPr>
        <w:t>” means each of (a) that certain Owner’s Policy of Title Insurance in favor of the D1 Project Company, dated June 17, 2024 and issued by Stewart Title Guaranty Company under Policy No. 23000373469, or (b) that certain Owner’s Policy of Title Insurance in favor of the LV Project Company, dated June 17, 2024 and issued by First American Title Company under Policy No. 937537A.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means the LV Financing Agreement or the D1 Financing Agreement, as the context may require.</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collectively: (a) the “Financing Documents” (as defined in the LV Financing Agreement), or (b) the “Financing Documents” (as defined in the D1 Financing Agreement), as the context may require.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Funded Project</w:t>
      </w:r>
      <w:r>
        <w:rPr>
          <w:rFonts w:ascii="Times New Roman" w:cs="Times New Roman" w:eastAsia="Times New Roman" w:hAnsi="Times New Roman"/>
          <w:sz w:val="18"/>
          <w:szCs w:val="18"/>
          <w:color w:val="auto"/>
        </w:rPr>
        <w:t>” means the first Project to achieve Mechanical Completion, and which is the subject of the first Project MC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to occur.</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MC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Funding</w:t>
      </w:r>
      <w:r>
        <w:rPr>
          <w:rFonts w:ascii="Times New Roman" w:cs="Times New Roman" w:eastAsia="Times New Roman" w:hAnsi="Times New Roman"/>
          <w:sz w:val="18"/>
          <w:szCs w:val="18"/>
          <w:color w:val="auto"/>
        </w:rPr>
        <w:t>” means the Project SC Funding in respect of the First Funded Project.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Funding Date</w:t>
      </w:r>
      <w:r>
        <w:rPr>
          <w:rFonts w:ascii="Times New Roman" w:cs="Times New Roman" w:eastAsia="Times New Roman" w:hAnsi="Times New Roman"/>
          <w:sz w:val="18"/>
          <w:szCs w:val="18"/>
          <w:color w:val="auto"/>
        </w:rPr>
        <w:t>” means the date on which the First Project SC Funding occurs.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Payment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Support Obligations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5.07(a).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CPUC, and the Regional Entity, or any court or governmental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(f) per or poly fluoroalkyl substances;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radioactive materials (other than naturally occurring radioactive materials).</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Insured Property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ITC</w:t>
      </w:r>
      <w:r>
        <w:rPr>
          <w:rFonts w:ascii="Times New Roman" w:cs="Times New Roman" w:eastAsia="Times New Roman" w:hAnsi="Times New Roman"/>
          <w:sz w:val="18"/>
          <w:szCs w:val="18"/>
          <w:color w:val="auto"/>
        </w:rPr>
        <w:t>” means the federal investment tax credit set forth in Section 48 of the Code or any successor provision.</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(a) in the case of Seller, [***], and (b) in the case of Purchaser, [***], in each case, after reasonable inquiry of their direct reports.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any conditional sale or other title retention agreement, any lease in the nature thereof, and any agreement to give any lien or security interest).</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Class B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Equity Capital Contribution Account</w:t>
      </w:r>
      <w:r>
        <w:rPr>
          <w:rFonts w:ascii="Times New Roman" w:cs="Times New Roman" w:eastAsia="Times New Roman" w:hAnsi="Times New Roman"/>
          <w:sz w:val="18"/>
          <w:szCs w:val="18"/>
          <w:color w:val="auto"/>
        </w:rPr>
        <w:t>” means the “Equity Capital Contribution Account” (as such term is defined in the LV Financing Agreement).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Financing Agreement</w:t>
      </w:r>
      <w:r>
        <w:rPr>
          <w:rFonts w:ascii="Times New Roman" w:cs="Times New Roman" w:eastAsia="Times New Roman" w:hAnsi="Times New Roman"/>
          <w:sz w:val="18"/>
          <w:szCs w:val="18"/>
          <w:color w:val="auto"/>
        </w:rPr>
        <w:t>” means that certain Financing Agreement, dated as of June 17, 2024, by and among LV Class B HoldCo, the LV Project Company, the Administrative Agent, Keybank National Association, as collateral agent, and the lenders and issuing banks from time to time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Pledgor 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Project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Project 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Tax Equity Agreements</w:t>
      </w:r>
      <w:r>
        <w:rPr>
          <w:rFonts w:ascii="Times New Roman" w:cs="Times New Roman" w:eastAsia="Times New Roman" w:hAnsi="Times New Roman"/>
          <w:sz w:val="18"/>
          <w:szCs w:val="18"/>
          <w:color w:val="auto"/>
        </w:rPr>
        <w:t>” means, collectively, the LV Tax Equity ECCA, the LV Tax Equity LLCA, the LV TE HoldCo MIPA, and the Seller Tax Equity Guaranty, the Purchaser Tax Equity Guaranty, any Tax Credit Transfer Agreement, any Seller Tax Credit Transfer Guaranty and any Purchaser Tax Credit Transfer Guaranty, in each case in respect of the LV Project.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Tax Equity Documents</w:t>
      </w:r>
      <w:r>
        <w:rPr>
          <w:rFonts w:ascii="Times New Roman" w:cs="Times New Roman" w:eastAsia="Times New Roman" w:hAnsi="Times New Roman"/>
          <w:sz w:val="18"/>
          <w:szCs w:val="18"/>
          <w:color w:val="auto"/>
        </w:rPr>
        <w:t xml:space="preserve">” means each of the LV Tax Equity Agreements and each other agreement or certificate to be executed and delivered pursuant to the LV Tax Equity ECCA or the LV Tax Equity LLCA, or any Tax Credit Transfer Agreement, in each case,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Tax Equity Financing</w:t>
      </w:r>
      <w:r>
        <w:rPr>
          <w:rFonts w:ascii="Times New Roman" w:cs="Times New Roman" w:eastAsia="Times New Roman" w:hAnsi="Times New Roman"/>
          <w:sz w:val="18"/>
          <w:szCs w:val="18"/>
          <w:color w:val="auto"/>
        </w:rPr>
        <w:t>” means, with respect to the LV Project and the LV Project Company, any tax equity financing entered into in connection with the acquisition, sale, lease, financing or refinancing of the LV Project and the LV Project Company, or any direct or indirect parent thereof, which may include a Tax Credit Transfer Transaction.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Tax Equity ECCA</w:t>
      </w:r>
      <w:r>
        <w:rPr>
          <w:rFonts w:ascii="Times New Roman" w:cs="Times New Roman" w:eastAsia="Times New Roman" w:hAnsi="Times New Roman"/>
          <w:sz w:val="18"/>
          <w:szCs w:val="18"/>
          <w:color w:val="auto"/>
        </w:rPr>
        <w:t xml:space="preserve">” means that certain Equity Capital Contribution Agreement, to be entered into between the Tax Equity Investor and LV Class B HoldCo,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Tax Equity LLCA</w:t>
      </w:r>
      <w:r>
        <w:rPr>
          <w:rFonts w:ascii="Times New Roman" w:cs="Times New Roman" w:eastAsia="Times New Roman" w:hAnsi="Times New Roman"/>
          <w:sz w:val="18"/>
          <w:szCs w:val="18"/>
          <w:color w:val="auto"/>
        </w:rPr>
        <w:t xml:space="preserve">” means that certain Amended and Restated Limited Liability Company Agreement of LV TE HoldCo, to be entered into between LV Class B HoldCo and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LV TE HoldCo MIPA</w:t>
      </w:r>
      <w:r>
        <w:rPr>
          <w:rFonts w:ascii="Times New Roman" w:cs="Times New Roman" w:eastAsia="Times New Roman" w:hAnsi="Times New Roman"/>
          <w:sz w:val="18"/>
          <w:szCs w:val="18"/>
          <w:color w:val="auto"/>
        </w:rPr>
        <w:t xml:space="preserve">” means that certain Membership Interest Purchase Agreement for the sale by Project HoldCo and the purchase by LV TE HoldCo of, upon the occurrence of the Project MC Funding for the LV Project, one hundred percent (100%) of the membership interests of the Pledgor Company that indirectly owns the LV Project,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either Project that is reasonably likely to result in a material delay in achieving commercial operations of such Project;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either Project or any Acquired Company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the Base Case Model, any fact, event, circumstance, condition or change that has a material adverse effect on the expected generation from or operating cost of either Project.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electric generating industry or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any Acquired Company;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any Acquired Company operates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any Acquired Company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w:t>
      </w:r>
    </w:p>
    <w:p>
      <w:pPr>
        <w:spacing w:after="0" w:line="2" w:lineRule="exact"/>
        <w:rPr>
          <w:sz w:val="20"/>
          <w:szCs w:val="20"/>
          <w:color w:val="auto"/>
        </w:rPr>
      </w:pPr>
    </w:p>
    <w:p>
      <w:pPr>
        <w:jc w:val="both"/>
        <w:ind w:firstLine="8"/>
        <w:spacing w:after="0" w:line="255" w:lineRule="auto"/>
        <w:tabs>
          <w:tab w:leader="none" w:pos="2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California.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 final order issued by FERC: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authorizing the wholesale sale of electric energy, capacity, and specified ancillary services at market-based rates pursuant to Section 205 of the FPA;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accepting a tariff pertaining to such sales;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“NERC” </w:t>
      </w:r>
      <w:r>
        <w:rPr>
          <w:rFonts w:ascii="Times New Roman" w:cs="Times New Roman" w:eastAsia="Times New Roman" w:hAnsi="Times New Roman"/>
          <w:sz w:val="18"/>
          <w:szCs w:val="18"/>
          <w:color w:val="auto"/>
        </w:rPr>
        <w:t>means the North American Electric Reliability Corporation.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Equity Encumbrances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those restrictions on transfer imposed by applicable securities laws;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or restrictions imposed on transfers set forth in the Constitutive Documents of the issuer;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Liens created pursuant to, and securing any Indebtedness under, the Financing Documents or Tax Equity Documents.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(a)            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all building codes and zoning ordinances and other Laws of any Governmental Authority heretofore, now or hereafter enacted, made or issued by any such Governmental Authority affecting the Real Property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inchoate mechanic’s and materialmen’s liens for construction in progress and workmen’s, repairmen’s, warehousemen’s and carrier’s liens arising in the ordinary course of business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1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Acquired Companies,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or Tax Equity Agreements;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encumbrance or exception reflected in any Title Policy;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(i)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w:t>
      </w:r>
      <w:r>
        <w:rPr>
          <w:rFonts w:ascii="Times New Roman" w:cs="Times New Roman" w:eastAsia="Times New Roman" w:hAnsi="Times New Roman"/>
          <w:sz w:val="18"/>
          <w:szCs w:val="18"/>
          <w:color w:val="auto"/>
        </w:rPr>
        <w:t>” has the meaning set forth in each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 on or prior to the Second Project SC Payment Date, with respect to each Project: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Base Case Model shall be updated to reflect each Project SC Funding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Base Case Model shall be updated to reflect the actual date on which Placed In Service occurred in respect of each Project;</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Base Case Model shall be updated to reflect: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for each Project, the fair market value set forth in the Appraisal bring-down delivered in connection with each Project SC Funding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for each Project, any adjustment in cost allocation, depreciation and amortization recovery periods, amortization and depreciation methods and rates and amount of depreciation and amortization expense or allowance, as confirmed by the Appraisal bring-down delivered in connection with each Project SC Funding Date;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for each Project, any adjustment to degradation or the monthly annual generation, as reflected in the bring downs of the “Independent Engineer Report” (as defined in the Tax Equity ECCA in respect of each Project);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for each Project, to the extent revised in the bring-down of any “Independent Engineer Report” (as defined in the Tax Equity ECCA in respect of each Project), availability and the energy estimate, as mutually agreed by Purchaser and Seller;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for each Project, any adjustment to operation and maintenance fees and expenses to the extent identified in the “Independent Engineer Report” (as defined in the Tax Equity ECCA in respect of such Project); and (</w:t>
      </w:r>
      <w:r>
        <w:rPr>
          <w:rFonts w:ascii="Times New Roman" w:cs="Times New Roman" w:eastAsia="Times New Roman" w:hAnsi="Times New Roman"/>
          <w:sz w:val="18"/>
          <w:szCs w:val="18"/>
          <w:i w:val="1"/>
          <w:iCs w:val="1"/>
          <w:color w:val="auto"/>
        </w:rPr>
        <w:t>vi</w:t>
      </w:r>
      <w:r>
        <w:rPr>
          <w:rFonts w:ascii="Times New Roman" w:cs="Times New Roman" w:eastAsia="Times New Roman" w:hAnsi="Times New Roman"/>
          <w:sz w:val="18"/>
          <w:szCs w:val="18"/>
          <w:color w:val="auto"/>
        </w:rPr>
        <w:t>) any adjustment in state or local Taxes that apply to the applicable Project Company;</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energy price, the tenor of each “Power Purchase Agreement” (as defined in the Tax Equity ECCA in respect of each Project), and the timing of receipt of payments under each “Power Purchase Agreement” (as defined in the Tax Equity ECCA in respect of each Project) shall be adjusted in the Base Case Model to the extent that, prior to each Project SC Funding Date, such agreement has been amended or terminated;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the Base Case Model shall be updated to reflect, any amendments to or additional “Transaction Documents” (as defined in the Tax Equity ECCA in respect of each Project);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the Base Case Model shall be updated to reflect property tax expenses and franchise tax (if any) for each Project prior to the Second Project SC Payment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insurance expenses in the Base Case Model shall be updated to reflect the costs of insurance to be obtained and maintained for such Project, to the extent not yet in place, based on final advice from the “Insurance Consultant” (as defined in the Tax Equity ECCA in respect of each Project).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Devco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MC Funding</w:t>
      </w:r>
      <w:r>
        <w:rPr>
          <w:rFonts w:ascii="Times New Roman" w:cs="Times New Roman" w:eastAsia="Times New Roman" w:hAnsi="Times New Roman"/>
          <w:sz w:val="18"/>
          <w:szCs w:val="18"/>
          <w:color w:val="auto"/>
        </w:rPr>
        <w:t>” means, with respect to each Project, “Initial Funding” (as defined in the Tax Equity ECCA in respect of such Project) pursuant to the Tax Equity ECCA in respect of such Project.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MC Funding Date</w:t>
      </w:r>
      <w:r>
        <w:rPr>
          <w:rFonts w:ascii="Times New Roman" w:cs="Times New Roman" w:eastAsia="Times New Roman" w:hAnsi="Times New Roman"/>
          <w:sz w:val="18"/>
          <w:szCs w:val="18"/>
          <w:color w:val="auto"/>
        </w:rPr>
        <w:t>” means, with respect to each Project, the date on which the Project MC Funding in respect of such Project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occurs.</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SC Funding</w:t>
      </w:r>
      <w:r>
        <w:rPr>
          <w:rFonts w:ascii="Times New Roman" w:cs="Times New Roman" w:eastAsia="Times New Roman" w:hAnsi="Times New Roman"/>
          <w:sz w:val="18"/>
          <w:szCs w:val="18"/>
          <w:color w:val="auto"/>
        </w:rPr>
        <w:t>” means, with respect to each Project, “Final Funding” (as defined in the Tax Equity ECCA in respect of such Project) pursuant to the Tax Equity ECCA in respect of such Project.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SC Funding Date</w:t>
      </w:r>
      <w:r>
        <w:rPr>
          <w:rFonts w:ascii="Times New Roman" w:cs="Times New Roman" w:eastAsia="Times New Roman" w:hAnsi="Times New Roman"/>
          <w:sz w:val="18"/>
          <w:szCs w:val="18"/>
          <w:color w:val="auto"/>
        </w:rPr>
        <w:t>” means, with respect to each Project, the date on which the Project SC Funding in respect of such Project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solar facilities and battery energy storage facilities, as applicable,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“Purchase Price Payments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Cash Diversion Guaranty</w:t>
      </w:r>
      <w:r>
        <w:rPr>
          <w:rFonts w:ascii="Times New Roman" w:cs="Times New Roman" w:eastAsia="Times New Roman" w:hAnsi="Times New Roman"/>
          <w:sz w:val="18"/>
          <w:szCs w:val="18"/>
          <w:color w:val="auto"/>
        </w:rPr>
        <w:t>” means (a) that certain Guaranty Agreement to be entered into pursuant to the LV Financing Agreement, by Purchaser Parent, on behalf of LV Class B Holdco, in favor of the Administrative Agent, or (b) that certain Guaranty Agreement to be entered into pursuant to the D1 Financing Agreement, by Purchaser Parent, on behalf of D1 Class B Holdco, in favor of the Administrative Agent, as the context may require.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and its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w:t>
      </w:r>
      <w:r>
        <w:rPr>
          <w:rFonts w:ascii="Times New Roman" w:cs="Times New Roman" w:eastAsia="Times New Roman" w:hAnsi="Times New Roman"/>
          <w:sz w:val="18"/>
          <w:szCs w:val="18"/>
          <w:color w:val="auto"/>
        </w:rPr>
        <w:t>” means Clearway Energy Operating LLC, a Delaware limited liability company.</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dated as of the Execution Date and issued by the Purchaser Parent, in the form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Tax Equity Guaranty</w:t>
      </w:r>
      <w:r>
        <w:rPr>
          <w:rFonts w:ascii="Times New Roman" w:cs="Times New Roman" w:eastAsia="Times New Roman" w:hAnsi="Times New Roman"/>
          <w:sz w:val="18"/>
          <w:szCs w:val="18"/>
          <w:color w:val="auto"/>
        </w:rPr>
        <w:t xml:space="preserve">” means (a) that certain Guaranty Agreement to be entered into pursuant to the LV Tax Equity ECCA, by Purchaser Parent, on behalf of LV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or (b) that certain Guaranty Agreement to be entered into pursuant to the D1 Tax Equity ECCA, by Purchaser Parent, on behalf of D1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as the context may require.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Tax Credit Transfer Guaranty</w:t>
      </w:r>
      <w:r>
        <w:rPr>
          <w:rFonts w:ascii="Times New Roman" w:cs="Times New Roman" w:eastAsia="Times New Roman" w:hAnsi="Times New Roman"/>
          <w:sz w:val="18"/>
          <w:szCs w:val="18"/>
          <w:color w:val="auto"/>
        </w:rPr>
        <w:t xml:space="preserve">” means (a) any Guaranty Agreement to be entered into pursuant to the LV Tax Credit Transfer Agreement by Purchaser Parent on behalf of LV TE HoldCo (or another Acquired Company), in favor of the Tax Credit Purchaser,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or (b), any Guaranty Agreement to be entered into pursuant to the D1 Tax Credit Transfer Agreement by Purchaser Parent on behalf of D1 TE HoldCo (or another Acquired Company), in favor of the Tax Credit Purchaser,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as the context may require</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 has the meaning set forth in the definition of “Environmental Attributes.”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“Regional Entity” </w:t>
      </w:r>
      <w:r>
        <w:rPr>
          <w:rFonts w:ascii="Times New Roman" w:cs="Times New Roman" w:eastAsia="Times New Roman" w:hAnsi="Times New Roman"/>
          <w:sz w:val="18"/>
          <w:szCs w:val="18"/>
          <w:color w:val="auto"/>
        </w:rPr>
        <w:t>means the Western Electricity Coordinating Council.</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for each Project: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 Report” (as defined in the Tax Equity ECCA in respect of such Project);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(as defined in the Tax Equity ECCA in respect of such Project);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“Insurance Report” (as defined in the Tax Equity ECCA in respect of such Project);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the “Transmission Report” (as defined in the Tax Equity ECCA in respect of such Project); in each case,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including any bring downs of such reports delivered pursuant to the Tax Equity ECCA in respect of such Project as of the Closing Date.</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Interest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Funded Project</w:t>
      </w:r>
      <w:r>
        <w:rPr>
          <w:rFonts w:ascii="Times New Roman" w:cs="Times New Roman" w:eastAsia="Times New Roman" w:hAnsi="Times New Roman"/>
          <w:sz w:val="18"/>
          <w:szCs w:val="18"/>
          <w:color w:val="auto"/>
        </w:rPr>
        <w:t>” means the second Project to achieve Mechanical Completion, and which is the subject of the Second Project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Funding.</w:t>
      </w:r>
    </w:p>
    <w:p>
      <w:pPr>
        <w:spacing w:after="0" w:line="20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MC Funding</w:t>
      </w:r>
      <w:r>
        <w:rPr>
          <w:rFonts w:ascii="Times New Roman" w:cs="Times New Roman" w:eastAsia="Times New Roman" w:hAnsi="Times New Roman"/>
          <w:sz w:val="18"/>
          <w:szCs w:val="18"/>
          <w:color w:val="auto"/>
        </w:rPr>
        <w:t>” means the second Project MC Funding to occur, upon which, pursuant to the TE HoldCo MIPA in respect of the Second Funded Project, TE HoldCo in respect of the Second Funded Project will acquire one hundred percent (100%) of the limited liability company membership interests of the Pledgor Company that indirectly owns the Second Funded Project (as defined below).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MC Funding Date</w:t>
      </w:r>
      <w:r>
        <w:rPr>
          <w:rFonts w:ascii="Times New Roman" w:cs="Times New Roman" w:eastAsia="Times New Roman" w:hAnsi="Times New Roman"/>
          <w:sz w:val="18"/>
          <w:szCs w:val="18"/>
          <w:color w:val="auto"/>
        </w:rPr>
        <w:t>” means the date on which the Second Project MC Funding occurs.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“Second Project MC Payment</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i w:val="1"/>
          <w:iCs w:val="1"/>
          <w:color w:val="auto"/>
        </w:rPr>
        <w:t xml:space="preserve"> Section 2.02(a)(ii)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MC Payment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Funding</w:t>
      </w:r>
      <w:r>
        <w:rPr>
          <w:rFonts w:ascii="Times New Roman" w:cs="Times New Roman" w:eastAsia="Times New Roman" w:hAnsi="Times New Roman"/>
          <w:sz w:val="18"/>
          <w:szCs w:val="18"/>
          <w:color w:val="auto"/>
        </w:rPr>
        <w:t>” means the Project SC Funding in respect of the Second Funded Project.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Funding Date</w:t>
      </w:r>
      <w:r>
        <w:rPr>
          <w:rFonts w:ascii="Times New Roman" w:cs="Times New Roman" w:eastAsia="Times New Roman" w:hAnsi="Times New Roman"/>
          <w:sz w:val="18"/>
          <w:szCs w:val="18"/>
          <w:color w:val="auto"/>
        </w:rPr>
        <w:t>” means the date on which the Second Project SC Funding occurs.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Payment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Support Obligations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Cash Diversion Guaranty</w:t>
      </w:r>
      <w:r>
        <w:rPr>
          <w:rFonts w:ascii="Times New Roman" w:cs="Times New Roman" w:eastAsia="Times New Roman" w:hAnsi="Times New Roman"/>
          <w:sz w:val="18"/>
          <w:szCs w:val="18"/>
          <w:color w:val="auto"/>
        </w:rPr>
        <w:t>” means (a) that certain Guaranty Agreement to be entered into pursuant to the LV Financing Agreement, by Seller Parent, on behalf of LV Class B Holdco, in favor of the Administrative Agent, or (b) that certain Guaranty Agreement to be entered into pursuant to the D1 Financing Agreement, by Seller Parent, on behalf of D1 Class B Holdco, in favor of the Administrative Agent, as the context may require.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Distribution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and each of its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 Guaranty</w:t>
      </w:r>
      <w:r>
        <w:rPr>
          <w:rFonts w:ascii="Times New Roman" w:cs="Times New Roman" w:eastAsia="Times New Roman" w:hAnsi="Times New Roman"/>
          <w:sz w:val="18"/>
          <w:szCs w:val="18"/>
          <w:color w:val="auto"/>
        </w:rPr>
        <w:t xml:space="preserve">” means that guaranty of Seller Parent, dated as of the Execution Date and attached hereto as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Tax Equity Guaranty</w:t>
      </w:r>
      <w:r>
        <w:rPr>
          <w:rFonts w:ascii="Times New Roman" w:cs="Times New Roman" w:eastAsia="Times New Roman" w:hAnsi="Times New Roman"/>
          <w:sz w:val="18"/>
          <w:szCs w:val="18"/>
          <w:color w:val="auto"/>
        </w:rPr>
        <w:t xml:space="preserve">” means (a) that certain Guaranty Agreement to be entered into pursuant to the LV Tax Equity ECCA by Clearway Renew, LLC (or another Affiliate of Seller) on behalf of LV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or (b) that certain Guaranty Agreement to be entered into pursuant to the D1 Tax Equity ECCA by Clearway Renew, LLC (or another Affiliate of Seller) on behalf of D1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as the context may require.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Tax Credit Transfer Guaranty</w:t>
      </w:r>
      <w:r>
        <w:rPr>
          <w:rFonts w:ascii="Times New Roman" w:cs="Times New Roman" w:eastAsia="Times New Roman" w:hAnsi="Times New Roman"/>
          <w:sz w:val="18"/>
          <w:szCs w:val="18"/>
          <w:color w:val="auto"/>
        </w:rPr>
        <w:t xml:space="preserve">” means (a) any Guaranty Agreement to be entered into pursuant to the LV Tax Credit Transfer Agreement by Clearway Renew LLC (or another Affiliate of Seller) on behalf of LV TE HoldCo (or another Acquired Company), in favor of the Tax Credit Purchaser,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 xml:space="preserve">, or (b) any Guaranty Agreement to be entered into pursuant to the D1 Tax Credit Transfer Agreement by Clearway Renew LLC (or another Affiliate of Seller) on behalf of D1 TE HoldCo (or another Acquired Company), in favor of the Tax Credit Purchaser,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82"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Credit Purchaser</w:t>
      </w:r>
      <w:r>
        <w:rPr>
          <w:rFonts w:ascii="Times New Roman" w:cs="Times New Roman" w:eastAsia="Times New Roman" w:hAnsi="Times New Roman"/>
          <w:sz w:val="18"/>
          <w:szCs w:val="18"/>
          <w:color w:val="auto"/>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Credit Transfer Agreement</w:t>
      </w:r>
      <w:r>
        <w:rPr>
          <w:rFonts w:ascii="Times New Roman" w:cs="Times New Roman" w:eastAsia="Times New Roman" w:hAnsi="Times New Roman"/>
          <w:sz w:val="18"/>
          <w:szCs w:val="18"/>
          <w:color w:val="auto"/>
        </w:rPr>
        <w:t xml:space="preserve">” means any tax credit transfer agreement (or the equivalent), to be entered into by and between any Tax Credit Purchaser and a TE HoldCo (or another Acquired Company), as applicable,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Credit Transfer Transaction</w:t>
      </w:r>
      <w:r>
        <w:rPr>
          <w:rFonts w:ascii="Times New Roman" w:cs="Times New Roman" w:eastAsia="Times New Roman" w:hAnsi="Times New Roman"/>
          <w:sz w:val="18"/>
          <w:szCs w:val="18"/>
          <w:color w:val="auto"/>
        </w:rPr>
        <w:t>” means a sale, transfer or other disposition of all or a portion of any ITC in accordance with Code Section 6418, in respect of a Project or a Project Company.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Agreements</w:t>
      </w:r>
      <w:r>
        <w:rPr>
          <w:rFonts w:ascii="Times New Roman" w:cs="Times New Roman" w:eastAsia="Times New Roman" w:hAnsi="Times New Roman"/>
          <w:sz w:val="18"/>
          <w:szCs w:val="18"/>
          <w:color w:val="auto"/>
        </w:rPr>
        <w:t>” means the LV Tax Equity Agreements or the D1 Tax Equity Agreements,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Documents</w:t>
      </w:r>
      <w:r>
        <w:rPr>
          <w:rFonts w:ascii="Times New Roman" w:cs="Times New Roman" w:eastAsia="Times New Roman" w:hAnsi="Times New Roman"/>
          <w:sz w:val="18"/>
          <w:szCs w:val="18"/>
          <w:color w:val="auto"/>
        </w:rPr>
        <w:t>” means the LV Tax Equity Documents or the D1 Tax Equity Documents,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ECCA</w:t>
      </w:r>
      <w:r>
        <w:rPr>
          <w:rFonts w:ascii="Times New Roman" w:cs="Times New Roman" w:eastAsia="Times New Roman" w:hAnsi="Times New Roman"/>
          <w:sz w:val="18"/>
          <w:szCs w:val="18"/>
          <w:color w:val="auto"/>
        </w:rPr>
        <w:t>” means the LV Tax Equity ECCA or the D1 Tax Equity ECCA,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Financing</w:t>
      </w:r>
      <w:r>
        <w:rPr>
          <w:rFonts w:ascii="Times New Roman" w:cs="Times New Roman" w:eastAsia="Times New Roman" w:hAnsi="Times New Roman"/>
          <w:sz w:val="18"/>
          <w:szCs w:val="18"/>
          <w:color w:val="auto"/>
        </w:rPr>
        <w:t>” means the LV Tax Equity Financing or the D1 Tax Equity Financing,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U.S. Bancorp Community Development Corporation, a Minnesota corporation.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LLCA</w:t>
      </w:r>
      <w:r>
        <w:rPr>
          <w:rFonts w:ascii="Times New Roman" w:cs="Times New Roman" w:eastAsia="Times New Roman" w:hAnsi="Times New Roman"/>
          <w:sz w:val="18"/>
          <w:szCs w:val="18"/>
          <w:color w:val="auto"/>
        </w:rPr>
        <w:t>” means the LV Tax Equity LLCA or the D1 Tax Equity LLCA,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Signing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Model</w:t>
      </w:r>
      <w:r>
        <w:rPr>
          <w:rFonts w:ascii="Times New Roman" w:cs="Times New Roman" w:eastAsia="Times New Roman" w:hAnsi="Times New Roman"/>
          <w:sz w:val="18"/>
          <w:szCs w:val="18"/>
          <w:color w:val="auto"/>
        </w:rPr>
        <w:t xml:space="preserve">” means each “Base Case Model” as defined in and updated pursuant to the applicable Tax Equity ECCA, the initial forms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Loss</w:t>
      </w:r>
      <w:r>
        <w:rPr>
          <w:rFonts w:ascii="Times New Roman" w:cs="Times New Roman" w:eastAsia="Times New Roman" w:hAnsi="Times New Roman"/>
          <w:sz w:val="18"/>
          <w:szCs w:val="18"/>
          <w:color w:val="auto"/>
        </w:rPr>
        <w:t>” means “Tax Loss” (as defined in any Tax Equity ECCA).</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Loss Cap</w:t>
      </w:r>
      <w:r>
        <w:rPr>
          <w:rFonts w:ascii="Times New Roman" w:cs="Times New Roman" w:eastAsia="Times New Roman" w:hAnsi="Times New Roman"/>
          <w:sz w:val="18"/>
          <w:szCs w:val="18"/>
          <w:color w:val="auto"/>
        </w:rPr>
        <w:t>” means an amount equal to the sum, in the aggregate, of (a) the maximum amount of Purchaser Parent’s liability under the Purchaser Tax Equity Guaranty, plus (b) the maximum amount of Purchaser Parent’s liability under any Purchaser Tax Credit Transfer Guaranty.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 MIPA</w:t>
      </w:r>
      <w:r>
        <w:rPr>
          <w:rFonts w:ascii="Times New Roman" w:cs="Times New Roman" w:eastAsia="Times New Roman" w:hAnsi="Times New Roman"/>
          <w:sz w:val="18"/>
          <w:szCs w:val="18"/>
          <w:color w:val="auto"/>
        </w:rPr>
        <w:t>” means the LV TE HoldCo MIPA or the D1 TE HoldCo MIPA, as the context may require.</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with respect to the D1 Project Company, Stewart Title Guaranty Company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the LV Project Company, First American Title Insurance Company, as the context may require,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another nationally-recognized title insurance company reasonably acceptable to the Parties.</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Policies</w:t>
      </w:r>
      <w:r>
        <w:rPr>
          <w:rFonts w:ascii="Times New Roman" w:cs="Times New Roman" w:eastAsia="Times New Roman" w:hAnsi="Times New Roman"/>
          <w:sz w:val="18"/>
          <w:szCs w:val="18"/>
          <w:color w:val="auto"/>
        </w:rPr>
        <w:t>” means each Owner’s Policy for an ALTA 2006 extended coverage owner’s policy of title insurance, issued by the Title Company in favor of each Project Company or otherwise in form and substance reasonably acceptable to Purchaser.</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Proformas</w:t>
      </w:r>
      <w:r>
        <w:rPr>
          <w:rFonts w:ascii="Times New Roman" w:cs="Times New Roman" w:eastAsia="Times New Roman" w:hAnsi="Times New Roman"/>
          <w:sz w:val="18"/>
          <w:szCs w:val="18"/>
          <w:color w:val="auto"/>
        </w:rPr>
        <w:t>” means, for each Project, that certain pro forma Title Policy to be delivered to the Tax Equity Investor pursuant to the applicable Tax Equity ECCA, in form and substance reasonably acceptable to Purchaser.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the Ancillary Documents and the A&amp;R LLCA.</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(b)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Target Company or any Acquired Company on or prior to the Closing Date in connection with obtaining the Seller Consents.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1.02.         </w:t>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 and the neuter gender shall include the masculine and feminine unless the context otherwise indicates.</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applicable Financing Agreement, in either case, in accordance with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 an aggregate amount equal to the sum of (a) the Base LV Price, and</w:t>
      </w:r>
    </w:p>
    <w:p>
      <w:pPr>
        <w:spacing w:after="0" w:line="3" w:lineRule="exact"/>
        <w:rPr>
          <w:sz w:val="20"/>
          <w:szCs w:val="20"/>
          <w:color w:val="auto"/>
        </w:rPr>
      </w:pPr>
    </w:p>
    <w:p>
      <w:pPr>
        <w:ind w:right="20" w:firstLine="8"/>
        <w:spacing w:after="0" w:line="260"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Base D1 Price, each of which shall be subject to adjustment in accordance with </w:t>
      </w:r>
      <w:r>
        <w:rPr>
          <w:rFonts w:ascii="Times New Roman" w:cs="Times New Roman" w:eastAsia="Times New Roman" w:hAnsi="Times New Roman"/>
          <w:sz w:val="18"/>
          <w:szCs w:val="18"/>
          <w:i w:val="1"/>
          <w:iCs w:val="1"/>
          <w:color w:val="auto"/>
        </w:rPr>
        <w:t>Section 2.04(a)</w:t>
      </w:r>
      <w:r>
        <w:rPr>
          <w:rFonts w:ascii="Times New Roman" w:cs="Times New Roman" w:eastAsia="Times New Roman" w:hAnsi="Times New Roman"/>
          <w:sz w:val="18"/>
          <w:szCs w:val="18"/>
          <w:color w:val="auto"/>
        </w:rPr>
        <w:t xml:space="preserve"> (the sum of such adjusted Base Prices, in the aggregate,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color w:val="auto"/>
        </w:rPr>
        <w:t>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Upon the terms and subject to the conditions hereinafter set forth, in consideration of the delivery by Seller of the Acquired Interests, Purchaser shall pay to Seller the amounts described in clauses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Purchase Price Payments</w:t>
      </w:r>
      <w:r>
        <w:rPr>
          <w:rFonts w:ascii="Times New Roman" w:cs="Times New Roman" w:eastAsia="Times New Roman" w:hAnsi="Times New Roman"/>
          <w:sz w:val="18"/>
          <w:szCs w:val="18"/>
          <w:color w:val="auto"/>
        </w:rPr>
        <w:t>”), at the times specified therein, in each case, by wire transfer of immediately available funds to the applicable Equity Capital Contribution Account (for application in accordance with Section 7.5(a) or Section 7.5(b), as applicable, of the applicable Financing Agreement), or to such other account or accounts as designated by Seller, in accordance with written notice delivered by Seller to Purchaser not less than two (2) Business Days prior to the date such Purchase Price Payment is required to be made:</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at the Closing, Purchaser shall pay to Seller an amount equal to twenty percent (20%) of the Base Price in respect of the First Funded Project (the “</w:t>
      </w:r>
      <w:r>
        <w:rPr>
          <w:rFonts w:ascii="Times New Roman" w:cs="Times New Roman" w:eastAsia="Times New Roman" w:hAnsi="Times New Roman"/>
          <w:sz w:val="18"/>
          <w:szCs w:val="18"/>
          <w:i w:val="1"/>
          <w:iCs w:val="1"/>
          <w:color w:val="auto"/>
        </w:rPr>
        <w:t>First Project MC Payment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no later than the Second Project MC Funding Date, Purchaser shall pay to Seller a dollar amount equal to twenty percent (20%) of the Base Price in respect of the Second Funded Project (the “</w:t>
      </w:r>
      <w:r>
        <w:rPr>
          <w:rFonts w:ascii="Times New Roman" w:cs="Times New Roman" w:eastAsia="Times New Roman" w:hAnsi="Times New Roman"/>
          <w:sz w:val="18"/>
          <w:szCs w:val="18"/>
          <w:i w:val="1"/>
          <w:iCs w:val="1"/>
          <w:color w:val="auto"/>
        </w:rPr>
        <w:t>Second Project MC Payment</w:t>
      </w:r>
      <w:r>
        <w:rPr>
          <w:rFonts w:ascii="Times New Roman" w:cs="Times New Roman" w:eastAsia="Times New Roman" w:hAnsi="Times New Roman"/>
          <w:sz w:val="18"/>
          <w:szCs w:val="18"/>
          <w:color w:val="auto"/>
        </w:rPr>
        <w:t>” and the date such payment becomes due and payable, the “</w:t>
      </w:r>
      <w:r>
        <w:rPr>
          <w:rFonts w:ascii="Times New Roman" w:cs="Times New Roman" w:eastAsia="Times New Roman" w:hAnsi="Times New Roman"/>
          <w:sz w:val="18"/>
          <w:szCs w:val="18"/>
          <w:i w:val="1"/>
          <w:iCs w:val="1"/>
          <w:color w:val="auto"/>
        </w:rPr>
        <w:t>Second Project MC Payment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no later than the First Project SC Funding Date, Purchaser shall pay to Seller a dollar amount equal to (i) the Base Price in respect of the First Funded Project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First Project MC Payment (the “</w:t>
      </w:r>
      <w:r>
        <w:rPr>
          <w:rFonts w:ascii="Times New Roman" w:cs="Times New Roman" w:eastAsia="Times New Roman" w:hAnsi="Times New Roman"/>
          <w:sz w:val="18"/>
          <w:szCs w:val="18"/>
          <w:i w:val="1"/>
          <w:iCs w:val="1"/>
          <w:color w:val="auto"/>
        </w:rPr>
        <w:t>First Project SC Payment</w:t>
      </w:r>
      <w:r>
        <w:rPr>
          <w:rFonts w:ascii="Times New Roman" w:cs="Times New Roman" w:eastAsia="Times New Roman" w:hAnsi="Times New Roman"/>
          <w:sz w:val="18"/>
          <w:szCs w:val="18"/>
          <w:color w:val="auto"/>
        </w:rPr>
        <w:t>” and the date such payment becomes due and payable, the “</w:t>
      </w:r>
      <w:r>
        <w:rPr>
          <w:rFonts w:ascii="Times New Roman" w:cs="Times New Roman" w:eastAsia="Times New Roman" w:hAnsi="Times New Roman"/>
          <w:sz w:val="18"/>
          <w:szCs w:val="18"/>
          <w:i w:val="1"/>
          <w:iCs w:val="1"/>
          <w:color w:val="auto"/>
        </w:rPr>
        <w:t>First Project SC Payment Date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(iv)            no later than the Second Project SC Funding Date, Purchaser shall pay to Seller a dollar amount equal to (i) the Base Price in respect of the Second Funded Project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Second Project MC Payment (the “</w:t>
      </w:r>
      <w:r>
        <w:rPr>
          <w:rFonts w:ascii="Times New Roman" w:cs="Times New Roman" w:eastAsia="Times New Roman" w:hAnsi="Times New Roman"/>
          <w:sz w:val="18"/>
          <w:szCs w:val="18"/>
          <w:i w:val="1"/>
          <w:iCs w:val="1"/>
          <w:color w:val="auto"/>
        </w:rPr>
        <w:t>Second Project SC Payment</w:t>
      </w:r>
      <w:r>
        <w:rPr>
          <w:rFonts w:ascii="Times New Roman" w:cs="Times New Roman" w:eastAsia="Times New Roman" w:hAnsi="Times New Roman"/>
          <w:sz w:val="18"/>
          <w:szCs w:val="18"/>
          <w:color w:val="auto"/>
        </w:rPr>
        <w:t>” and the date such payment becomes due and payable, the “</w:t>
      </w:r>
      <w:r>
        <w:rPr>
          <w:rFonts w:ascii="Times New Roman" w:cs="Times New Roman" w:eastAsia="Times New Roman" w:hAnsi="Times New Roman"/>
          <w:sz w:val="18"/>
          <w:szCs w:val="18"/>
          <w:i w:val="1"/>
          <w:iCs w:val="1"/>
          <w:color w:val="auto"/>
        </w:rPr>
        <w:t>Second Project SC Payment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For the avoidance of doubt, on the earlier of the “Discharge Date” and the “Term Conversion Date” (in each case, as defined in each Financing Agreement) in respect of each Financing Agreement, the Parties agree that any amounts remaining on deposit in the applicable Equity Capital Contribution Account, as contemplated by Section 7.5(d) of the applicable Financing Agreement, shall be promptly transferred to Seller (or its designee).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2.03.            </w:t>
      </w:r>
      <w:r>
        <w:rPr>
          <w:rFonts w:ascii="Times New Roman" w:cs="Times New Roman" w:eastAsia="Times New Roman" w:hAnsi="Times New Roman"/>
          <w:sz w:val="18"/>
          <w:szCs w:val="18"/>
          <w:b w:val="1"/>
          <w:bCs w:val="1"/>
          <w:i w:val="1"/>
          <w:iCs w:val="1"/>
          <w:color w:val="auto"/>
        </w:rPr>
        <w:t>Closing; Additional 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the following shall occur: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Purchaser shall pay the First Project MC Payment by wire transfer of immediately available funds to the account or accounts as designated by Seller in writing pursuant to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Each Party shall deliver, or cause to be delivered, to the other Party the certificates and other deliverables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On each of the Second Project MC Funding Date, the First Project SC Funding Date and the Second Project SC Funding Date, Purchaser shall pay the Second Project MC Payment, the First Project SC Payment and the Second Project SC Payment, respectively, in each case, by wire transfer of immediately available funds to the account or accounts as designated by Seller in writing pursuant to clause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2.04.            </w:t>
      </w:r>
      <w:r>
        <w:rPr>
          <w:rFonts w:ascii="Times New Roman" w:cs="Times New Roman" w:eastAsia="Times New Roman" w:hAnsi="Times New Roman"/>
          <w:sz w:val="18"/>
          <w:szCs w:val="18"/>
          <w:b w:val="1"/>
          <w:bCs w:val="1"/>
          <w:i w:val="1"/>
          <w:iCs w:val="1"/>
          <w:color w:val="auto"/>
        </w:rPr>
        <w:t>Adjusted Purchase Price Amount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As of the Second Project SC Payment Date:</w:t>
      </w:r>
    </w:p>
    <w:p>
      <w:pPr>
        <w:spacing w:after="0" w:line="225"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            if the sum, in the aggregate, of the Adjusted Purchase Price Amounts in respect of each Project is positive, then, no later than ten (10) Business Days following the Second Project SC Payment Date, Purchaser shall pay to Seller a dollar amount equal to the sum, in the aggregate, of the Adjusted Purchase Price Amounts in respect of each Project, which amount shall be paid to such account or accounts as designated by Seller, in accordance with written notice delivered by Seller to Purchaser not less than two (2) Business Days prior to the date such payment is required to be made; or</w:t>
      </w:r>
    </w:p>
    <w:p>
      <w:pPr>
        <w:spacing w:after="0" w:line="183"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if the sum, in the aggregate, of the Adjusted Purchase Price Amounts in respect of each Project is negative, then, no later than ten (10) Business Days following the Second Project SC Payment Date, Seller shall pay to Purchaser a dollar amount equal to the sum, in the aggregate, of the Adjusted Purchase Price Amounts in respect of each Project, which amount shall be paid to such account or accounts as designated by Purchaser, in accordance with written notice delivered by Purchaser to Seller not less than two (2) Business Days prior to the date such payment is required to be made.</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For purposes of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shall equal, with respect to each Project, (i) the number set forth in the tab entitled “PP Adj” of the Adjusted Purchase Price Model,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any Transaction Expense of any Acquired Company as of the Closing Date (except to the extent such Transaction Expense has already been applied as a reduction against the Adjusted Purchase Price Amount pursuant to the Adjusted Purchase Price Model).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Any payments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applicable Base Price for Tax purposes.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color w:val="auto"/>
        </w:rPr>
        <w:t>2.05.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herein to the contrary, in the event that any time following the Closing Date, Purchaser (if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receives any such payment separately and not from any Acquired Company) or any Acquired Company receives any payment with respect to:</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any liquidated damages received in connection with the development, design, construction, installation or commissioning of either Project through “Substantial Completion” (as such term is defined in the EPC Contract in respect of such Project), and that are not contemplated to be receivable by any Acquired Company in the Base Case Model, including liquidated damages received as a deduction or as a setoff from amounts otherwise payable by any Project Company, in each case, under any contract to which it is party;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provided that term conversion or full repayment of the loans under the Financing Documents in respect of a Project has occurred,</w:t>
      </w:r>
    </w:p>
    <w:p>
      <w:pPr>
        <w:spacing w:after="0" w:line="39" w:lineRule="exact"/>
        <w:rPr>
          <w:sz w:val="20"/>
          <w:szCs w:val="20"/>
          <w:color w:val="auto"/>
        </w:rPr>
      </w:pPr>
    </w:p>
    <w:p>
      <w:pPr>
        <w:jc w:val="both"/>
        <w:ind w:firstLine="8"/>
        <w:spacing w:after="0" w:line="253" w:lineRule="auto"/>
        <w:tabs>
          <w:tab w:leader="none" w:pos="2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loan drawn under such Financing Documents on or prior to the date that is six (6) months after the Project SC Funding Date in respect of such Project, (ii) any proceeds received under the Tax Equity Documents in respect of such Project on or prior to the date that is six (6) months after the Project SC Funding Date in respect of such Project, or (iii) any proceeds received under any of the “Interest Rate Agreements” (as defined in such Financing Agreement) by any Acquired Company, which proceeds relate to the breakage or other termination of any such Interest Rate Agreement in connection with the term conversion or full repayment of the loans under such Financing Documents;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with respect to each Project, upon the occurrence of the earlier of (i) the “Discharge Date” (as defined in the Financing Agreement in respect of such Project), and (ii) the “Term Conversion Date” (as defined in the Financing Agreement in respect of such Project), all amounts remaining on deposit in the Equity Capital Contribution Account in respect of such Project;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either Project through “Substantial Completion” (as such term is defined in the EPC Contract in respect of such Project), including any reimbursement of amounts paid under any interconnection agreement or related contract, or any engineering, procurement and construction agreement, in each case, in respect of such Project;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any amounts released from any completion escrow account, or otherwise from reserves, in each case, funded by or on behalf of Seller or, prior to the Closing, any Acquired Company;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(f)            to the extent not already included in the Base Case Model, net proceeds from the sale of all test energy generated (i) prior to Closing with respect to the First Funded Project, or (ii) prior to the Second Project MC Funding Date with respect to the Second Funded Project;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7"/>
          <w:szCs w:val="17"/>
          <w:color w:val="auto"/>
        </w:rPr>
        <w:t>(g)            any amounts released from any completion escrow account funded by or on behalf of Seller or, prior to the Closing, any Acquired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any other amounts described in any of clauses (i) through (vi) of Section 5.07(a) of the A&amp;R LLCA,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case, such amount shall be immediately refunded or paid by Purchaser or the applicable Acquired Company to Seller or its designee (or otherwise at the times and in the manner as specified in Section 5.07 of the A&amp;R LLCA).</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2.06.            </w:t>
      </w:r>
      <w:r>
        <w:rPr>
          <w:rFonts w:ascii="Times New Roman" w:cs="Times New Roman" w:eastAsia="Times New Roman" w:hAnsi="Times New Roman"/>
          <w:sz w:val="18"/>
          <w:szCs w:val="18"/>
          <w:b w:val="1"/>
          <w:bCs w:val="1"/>
          <w:i w:val="1"/>
          <w:iCs w:val="1"/>
          <w:color w:val="auto"/>
        </w:rPr>
        <w:t>Tax Reporting of Transaction</w:t>
      </w:r>
      <w:r>
        <w:rPr>
          <w:rFonts w:ascii="Times New Roman" w:cs="Times New Roman" w:eastAsia="Times New Roman" w:hAnsi="Times New Roman"/>
          <w:sz w:val="18"/>
          <w:szCs w:val="18"/>
          <w:color w:val="auto"/>
        </w:rPr>
        <w:t>. For federal income tax purposes, the Parties agree to report the transactions effectuated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Immediately prior to the Closing and the First Project MC Funding, each of the Target Company, each Class B Holdco, and each TE HoldCo shall be treated as a disregarded entity separate from Seller (or if Seller is a disregarded entity for U.S. federal income tax purposes, the Person or Persons owning Seller that are not disregarded for such purposes) for U.S. federal income tax purposes;</w:t>
      </w:r>
    </w:p>
    <w:p>
      <w:pPr>
        <w:spacing w:after="0" w:line="17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The Parties acknowledge that for U.S. federal, and applicable state and local income Tax purposes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purchase and sale of the Acquired Interests contemplated by this Agreement will be treated, in accordance with Revenue Ruling 99-5, Situation (1), as a sale by Seller and a purchase by Purchaser of a portion of the Class B membership interests in the applicable TE Holdco followed by a contribution pursuant to Section 721 of the Code by each of Purchaser and Seller of their respective portions of the Class B membership interests in the applicable TE Holdco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Seller Distribution shall be disregarded for U.S. federal income tax purposes.</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HoldCos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Agreements (the “</w:t>
      </w:r>
      <w:r>
        <w:rPr>
          <w:rFonts w:ascii="Times New Roman" w:cs="Times New Roman" w:eastAsia="Times New Roman" w:hAnsi="Times New Roman"/>
          <w:sz w:val="18"/>
          <w:szCs w:val="18"/>
          <w:i w:val="1"/>
          <w:iCs w:val="1"/>
          <w:color w:val="auto"/>
        </w:rPr>
        <w:t>Allocation Schedule</w:t>
      </w:r>
      <w:r>
        <w:rPr>
          <w:rFonts w:ascii="Times New Roman" w:cs="Times New Roman" w:eastAsia="Times New Roman" w:hAnsi="Times New Roman"/>
          <w:sz w:val="18"/>
          <w:szCs w:val="18"/>
          <w:color w:val="auto"/>
        </w:rPr>
        <w:t xml:space="preserve">”).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(i) be bound by the Allocation Schedule agreed upon under this </w:t>
      </w:r>
      <w:r>
        <w:rPr>
          <w:rFonts w:ascii="Times New Roman" w:cs="Times New Roman" w:eastAsia="Times New Roman" w:hAnsi="Times New Roman"/>
          <w:sz w:val="18"/>
          <w:szCs w:val="18"/>
          <w:i w:val="1"/>
          <w:iCs w:val="1"/>
          <w:color w:val="auto"/>
        </w:rPr>
        <w:t>Section 2.06(c)</w:t>
      </w:r>
      <w:r>
        <w:rPr>
          <w:rFonts w:ascii="Times New Roman" w:cs="Times New Roman" w:eastAsia="Times New Roman" w:hAnsi="Times New Roman"/>
          <w:sz w:val="18"/>
          <w:szCs w:val="18"/>
          <w:color w:val="auto"/>
        </w:rPr>
        <w:t>; (ii) prepare and file, and cause their respective Affiliates to prepare and file, all Tax Returns (including IRS Form 8594) in a manner consistent with the Allocation Schedule; and (iii) take no position, and cause their respective Affiliates to take no position, inconsistent with the Allocation Schedule in any Tax Return, except as required by Law.</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Upon the making of the initial capital contribution to be made by the Tax Equity Investor to the applicable TE HoldCo in respect of the First Funded Project, and the issuance to the Tax Equity Investor of the Class A membership interests in such TE HoldCo, in each case, pursuant to the Tax Equity ECCA in respect of the First Funded Project on the Project MC Funding Date therefor, and the making of the capital contribution to be made by the applicable Class B HoldCo in respect of the First Funded Project to such TE HoldCo, which shall be deemed to occur prior to the Closing, in accordance with Revenue Ruling 99-5, Situation 2, each of Seller and the Tax Equity Investor is treated as contributing cash or property to the TE Holdco in respect of the First Funded Project in exchange for an interest in such TE HoldCo, as a result of which such TE HoldCo shall become a partnership between Seller and the Tax Equity Investor for U.S. federal income tax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Upon the making of the initial capital contribution to be made by the Tax Equity Investor to the applicable TE HoldCo in respect of the Second Funded Project, and the issuance to the Tax Equity Investor of the Class A membership interests in such TE HoldCo, in each case, pursuant to the Tax Equity ECCA in respect of the Second Funded Project on the Project MC Funding Date therefor, and the making of the capital contribution to be made by the applicable Class B HoldCo in respect of the Second Funded Project to such TE HoldCo, in accordance with Revenue Ruling 99-5, Situation 2, each of Target Company and the Tax Equity Investor is treated as contributing cash or property to the TE Holdco in respect of the Second Funded Project in exchange for an interest in such TE HoldCo, as a result of which such TE HoldCo shall become a partnership between Target Company and the Tax Equity Investor for U.S. federal income tax purposes;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On the MC Funding Date in respect of each Project, the applicable TE HoldCo in respect of such Project will acquire, and the applicable Project HoldCo will sell, all the limited liability company membership interests of the applicable Pledgor Company that indirectly owns the such Project (and, indirectly, all the limited liability company interests in the applicable Project Company that directly owns such Project);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Simultaneously with the transactions described in clause (b) above, Seller will distribute to Seller Parent the Retained Interest in a nontaxable distribution of property pursuant to Section 731 of the Code.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3.01.            </w:t>
      </w: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r>
        <w:rPr>
          <w:rFonts w:ascii="Times New Roman" w:cs="Times New Roman" w:eastAsia="Times New Roman" w:hAnsi="Times New Roman"/>
          <w:sz w:val="18"/>
          <w:szCs w:val="18"/>
          <w:color w:val="auto"/>
        </w:rPr>
        <w:t>. Seller hereby represents and warrants to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 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color w:val="auto"/>
        </w:rPr>
        <w:t>No Conflicts</w:t>
      </w:r>
      <w:r>
        <w:rPr>
          <w:rFonts w:ascii="Times New Roman" w:cs="Times New Roman" w:eastAsia="Times New Roman" w:hAnsi="Times New Roman"/>
          <w:sz w:val="17"/>
          <w:szCs w:val="17"/>
          <w:color w:val="auto"/>
        </w:rPr>
        <w:t>. The execution, delivery and performance of this Agreement and the other Transaction Documents by Seller does not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 in a breach of, or constitute a default under, the Constitutive Documents of Seller or any Acquired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 to which Seller, or any Company Contract to which any Acquired Company,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Interests, any equity interests of any Acquired Company or any assets or properties of any Acquired Company;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any party the right to accelerate or modify, the time within which, or the terms under which, any duties or obligations are to be performed by Seller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Acquired Company or any rights or benefits are to be received by any Person, under any Contract to which Seller or any Acquired Company is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 Governmental Approval is required on the part of Seller or any Acquired Company in connection with the execution, delivery and performance of this Agreement or the consummation of the transactions contemplated by this Agreement.</w:t>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color w:val="auto"/>
        </w:rPr>
        <w:t xml:space="preserve"> of the Disclosure Schedules, and except for Actions or Proceedings 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Execution Date against Seller or any Acquired Company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color w:val="auto"/>
        </w:rPr>
        <w:t xml:space="preserve"> of the Disclosure Schedules, no Person has any claim against Seller or any Acquired Company for a finder’s fee, brokerage commission or similar payment directly or indirectly in connection with the transactions contemplated by this Agreement.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xml:space="preserve">. Neither Seller nor any Acquired Company is in material violation of any material Law or Order applicable to the Acquired Companies or the Projects,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None of Seller nor any Acquired Company has received notice from any Governmental Authority of any material violation of any material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44"/>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Company and the Acquired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 w:cs="Times New Roman" w:eastAsia="Times New Roman" w:hAnsi="Times New Roman"/>
          <w:sz w:val="18"/>
          <w:szCs w:val="18"/>
          <w:i w:val="1"/>
          <w:iCs w:val="1"/>
          <w:color w:val="auto"/>
        </w:rPr>
        <w:t xml:space="preserve">Schedule 3.01(i) </w:t>
      </w:r>
      <w:r>
        <w:rPr>
          <w:rFonts w:ascii="Times New Roman" w:cs="Times New Roman" w:eastAsia="Times New Roman" w:hAnsi="Times New Roman"/>
          <w:sz w:val="18"/>
          <w:szCs w:val="18"/>
          <w:color w:val="auto"/>
        </w:rPr>
        <w:t>of the Disclosure Schedules, which are the only jurisdictions in which the ownership, use or leasing of such Acquired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spacing w:after="0" w:line="187"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            All of the issued and outstanding Acquired Interests are owned directly, beneficially and of record by Seller free and clear of all Liens, 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 Acquired Companies have been duly authorized, validly issued and are fully paid and non-assessable and have been issued in compliance with federal and state securities laws.</w:t>
      </w:r>
    </w:p>
    <w:p>
      <w:pPr>
        <w:spacing w:after="0" w:line="192"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The name of each director and officer (or similar positions) of each Acquired Company, and the position with such Acquired Company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62"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(iv)            Seller has, prior to the execution of this Agreement, delivered to Purchaser true and complete copies of the Constitutive Documents of each Acquired Company as in effect on the Execution Date.</w:t>
      </w:r>
    </w:p>
    <w:p>
      <w:pPr>
        <w:spacing w:after="0" w:line="160" w:lineRule="exact"/>
        <w:rPr>
          <w:sz w:val="20"/>
          <w:szCs w:val="20"/>
          <w:color w:val="auto"/>
        </w:rPr>
      </w:pPr>
    </w:p>
    <w:p>
      <w:pPr>
        <w:jc w:val="both"/>
        <w:ind w:left="4" w:firstLine="1296"/>
        <w:spacing w:after="0" w:line="256" w:lineRule="auto"/>
        <w:rPr>
          <w:sz w:val="20"/>
          <w:szCs w:val="20"/>
          <w:color w:val="auto"/>
        </w:rPr>
      </w:pPr>
      <w:r>
        <w:rPr>
          <w:rFonts w:ascii="Times New Roman" w:cs="Times New Roman" w:eastAsia="Times New Roman" w:hAnsi="Times New Roman"/>
          <w:sz w:val="18"/>
          <w:szCs w:val="18"/>
          <w:color w:val="auto"/>
        </w:rPr>
        <w:t xml:space="preserve">(v)            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set forth in any Tax Equity Agreement, any Financing Document or the Constitutive Documents of any Acquired Company,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as provided pursuant to this Agreement,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as set forth in Part II of </w:t>
      </w:r>
      <w:r>
        <w:rPr>
          <w:rFonts w:ascii="Times New Roman" w:cs="Times New Roman" w:eastAsia="Times New Roman" w:hAnsi="Times New Roman"/>
          <w:sz w:val="18"/>
          <w:szCs w:val="18"/>
          <w:i w:val="1"/>
          <w:iCs w:val="1"/>
          <w:color w:val="auto"/>
        </w:rPr>
        <w:t>Schedule 3.01(i)</w:t>
      </w:r>
    </w:p>
    <w:p>
      <w:pPr>
        <w:spacing w:after="0" w:line="1" w:lineRule="exact"/>
        <w:rPr>
          <w:sz w:val="20"/>
          <w:szCs w:val="20"/>
          <w:color w:val="auto"/>
        </w:rPr>
      </w:pPr>
    </w:p>
    <w:p>
      <w:pPr>
        <w:ind w:left="4" w:right="20" w:hanging="4"/>
        <w:spacing w:after="0" w:line="260" w:lineRule="auto"/>
        <w:tabs>
          <w:tab w:leader="none" w:pos="257"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spacing w:after="0" w:line="179" w:lineRule="exact"/>
        <w:rPr>
          <w:sz w:val="20"/>
          <w:szCs w:val="20"/>
          <w:color w:val="auto"/>
        </w:rPr>
      </w:pPr>
    </w:p>
    <w:p>
      <w:pPr>
        <w:jc w:val="both"/>
        <w:ind w:left="4" w:firstLine="1296"/>
        <w:spacing w:after="0" w:line="284" w:lineRule="auto"/>
        <w:rPr>
          <w:sz w:val="20"/>
          <w:szCs w:val="20"/>
          <w:color w:val="auto"/>
        </w:rPr>
      </w:pPr>
      <w:r>
        <w:rPr>
          <w:rFonts w:ascii="Times New Roman" w:cs="Times New Roman" w:eastAsia="Times New Roman" w:hAnsi="Times New Roman"/>
          <w:sz w:val="18"/>
          <w:szCs w:val="18"/>
          <w:color w:val="auto"/>
        </w:rPr>
        <w:t xml:space="preserve">(vi)            Except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no Acquired Company has any subsidiaries, equity interests, interests in joint ventures or general or limited partnerships or other investment or portfolio assets of a similar nature.</w:t>
      </w:r>
    </w:p>
    <w:p>
      <w:pPr>
        <w:spacing w:after="0" w:line="158" w:lineRule="exact"/>
        <w:rPr>
          <w:sz w:val="20"/>
          <w:szCs w:val="20"/>
          <w:color w:val="auto"/>
        </w:rPr>
      </w:pPr>
    </w:p>
    <w:p>
      <w:pPr>
        <w:jc w:val="both"/>
        <w:ind w:left="4" w:firstLine="1296"/>
        <w:spacing w:after="0" w:line="267" w:lineRule="auto"/>
        <w:rPr>
          <w:sz w:val="20"/>
          <w:szCs w:val="20"/>
          <w:color w:val="auto"/>
        </w:rPr>
      </w:pPr>
      <w:r>
        <w:rPr>
          <w:rFonts w:ascii="Times New Roman" w:cs="Times New Roman" w:eastAsia="Times New Roman" w:hAnsi="Times New Roman"/>
          <w:sz w:val="18"/>
          <w:szCs w:val="18"/>
          <w:color w:val="auto"/>
        </w:rPr>
        <w:t xml:space="preserve">(vii)            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no Acquired Company conducts: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business other than the development, ownership, operation and management of either or both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operations other than those incidental to the ownership, operation, and management of either or both Projects.</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5" w:name="page36"/>
    <w:bookmarkEnd w:id="35"/>
    <w:p>
      <w:pPr>
        <w:jc w:val="both"/>
        <w:ind w:left="660" w:firstLine="1296"/>
        <w:spacing w:after="0" w:line="267" w:lineRule="auto"/>
        <w:rPr>
          <w:sz w:val="20"/>
          <w:szCs w:val="20"/>
          <w:color w:val="auto"/>
        </w:rPr>
      </w:pPr>
      <w:r>
        <w:rPr>
          <w:rFonts w:ascii="Times New Roman" w:cs="Times New Roman" w:eastAsia="Times New Roman" w:hAnsi="Times New Roman"/>
          <w:sz w:val="18"/>
          <w:szCs w:val="18"/>
          <w:color w:val="auto"/>
        </w:rPr>
        <w:t>(viii)            The books and records of each Acquired Company are: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state in reasonable detail and accurately and fairly reflect the activities and transactions of such Acquired Company.</w:t>
      </w:r>
    </w:p>
    <w:p>
      <w:pPr>
        <w:spacing w:after="0" w:line="173"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            No Acquired Company has any material liability or obligation that would be required to be disclosed on a balance sheet prepared in accordance with GAAP, except for the liabilities and obligations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under the Financing Documents or Tax Equity Agreements;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83"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            All of the Indebtedness of each Acquired Company, other than Indebtedness under any Financing Document, is listed on </w:t>
      </w:r>
      <w:r>
        <w:rPr>
          <w:rFonts w:ascii="Times New Roman" w:cs="Times New Roman" w:eastAsia="Times New Roman" w:hAnsi="Times New Roman"/>
          <w:sz w:val="18"/>
          <w:szCs w:val="18"/>
          <w:i w:val="1"/>
          <w:iCs w:val="1"/>
          <w:color w:val="auto"/>
        </w:rPr>
        <w:t xml:space="preserve">Schedule 3.01(j) </w:t>
      </w:r>
      <w:r>
        <w:rPr>
          <w:rFonts w:ascii="Times New Roman" w:cs="Times New Roman" w:eastAsia="Times New Roman" w:hAnsi="Times New Roman"/>
          <w:sz w:val="18"/>
          <w:szCs w:val="18"/>
          <w:color w:val="auto"/>
        </w:rPr>
        <w:t>of the Disclosure Schedules.</w:t>
      </w:r>
    </w:p>
    <w:p>
      <w:pPr>
        <w:spacing w:after="0" w:line="158"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since the date of formation of each Acquired Company, as applicable:</w:t>
      </w:r>
    </w:p>
    <w:p>
      <w:pPr>
        <w:spacing w:after="0" w:line="159"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spacing w:after="0" w:line="18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There are no: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Actions or Proceedings currently pending or threatened in writing against the Acquired Companies or related to their business operations by any Governmental Authority for the assessment or collection of Taxes;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claims for assessment or collection of Taxes that have been asserted in writing against Seller or any Affiliate of Seller with respect to the Acquired Companies (or the income attributable thereto); or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Seller (or, if Seller is a disregarded entity, Seller’s regarded owner for U.S. federal income tax purposes) is not a “foreign person” within the meaning of Code Sections 1445(b)(2) and 1446(f).</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Material Contracts and the Tax Equity Documents).</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            The Target Company has never entered into or been a party to any “reportable transaction,” as defined in Section 1.6011-4(b) of the Treasury Regulations.</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No Acquired Company has, nor has ever had, any employees or any Liability, actual or contingent, with respect to any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Plan.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1296"/>
        <w:spacing w:after="0" w:line="26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contains a true, correct and complete list of all material Contracts, and amendments, modifications and supplements thereto, to which any Acquired Company is a party or by which any Acquired Company or any of its assets or properties are bound (collectively, the “</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including the following:</w:t>
      </w:r>
    </w:p>
    <w:p>
      <w:pPr>
        <w:spacing w:after="0" w:line="17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            all Contracts for the purchase, exchange or sale of electric power, capacity, ancillary services or Environmental</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Attributes;</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all Contracts for the transmission of electric power;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all interconnection Contracts for electricity;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all Contracts with (i) Seller or (ii) any of its Affiliates (other than any other Acquired Company);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940"/>
        <w:spacing w:after="0"/>
        <w:rPr>
          <w:sz w:val="20"/>
          <w:szCs w:val="20"/>
          <w:color w:val="auto"/>
        </w:rPr>
      </w:pPr>
      <w:r>
        <w:rPr>
          <w:rFonts w:ascii="Times New Roman" w:cs="Times New Roman" w:eastAsia="Times New Roman" w:hAnsi="Times New Roman"/>
          <w:sz w:val="18"/>
          <w:szCs w:val="18"/>
          <w:color w:val="auto"/>
        </w:rPr>
        <w:t>(E)            all Contracts relating to the Acquired Interests or membership interests of any Acquired Company.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Seller has provided Purchaser with, or access to, true, correct and complete copies of all the Company Contracts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187" w:lineRule="exact"/>
        <w:rPr>
          <w:sz w:val="20"/>
          <w:szCs w:val="20"/>
          <w:color w:val="auto"/>
        </w:rPr>
      </w:pPr>
    </w:p>
    <w:p>
      <w:pPr>
        <w:jc w:val="both"/>
        <w:ind w:right="20" w:firstLine="1296"/>
        <w:spacing w:after="0" w:line="315" w:lineRule="auto"/>
        <w:rPr>
          <w:sz w:val="20"/>
          <w:szCs w:val="20"/>
          <w:color w:val="auto"/>
        </w:rPr>
      </w:pPr>
      <w:r>
        <w:rPr>
          <w:rFonts w:ascii="Times New Roman" w:cs="Times New Roman" w:eastAsia="Times New Roman" w:hAnsi="Times New Roman"/>
          <w:sz w:val="17"/>
          <w:szCs w:val="17"/>
          <w:color w:val="auto"/>
        </w:rPr>
        <w:t xml:space="preserve">(iii)            Except as disclosed on </w:t>
      </w:r>
      <w:r>
        <w:rPr>
          <w:rFonts w:ascii="Times New Roman" w:cs="Times New Roman" w:eastAsia="Times New Roman" w:hAnsi="Times New Roman"/>
          <w:sz w:val="17"/>
          <w:szCs w:val="17"/>
          <w:i w:val="1"/>
          <w:iCs w:val="1"/>
          <w:color w:val="auto"/>
        </w:rPr>
        <w:t>Schedule 3.01(m)(iii)</w:t>
      </w:r>
      <w:r>
        <w:rPr>
          <w:rFonts w:ascii="Times New Roman" w:cs="Times New Roman" w:eastAsia="Times New Roman" w:hAnsi="Times New Roman"/>
          <w:sz w:val="17"/>
          <w:szCs w:val="17"/>
          <w:color w:val="auto"/>
        </w:rPr>
        <w:t xml:space="preserve"> of the Disclosure Schedules, no Acquired Company or, to the Knowledge of Seller, the other parties thereto, is in material violation or material breach of or material default under any Company Contract to which it is a party.</w:t>
      </w:r>
    </w:p>
    <w:p>
      <w:pPr>
        <w:spacing w:after="0" w:line="1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3.01(n)(i)</w:t>
      </w:r>
      <w:r>
        <w:rPr>
          <w:rFonts w:ascii="Times New Roman" w:cs="Times New Roman" w:eastAsia="Times New Roman" w:hAnsi="Times New Roman"/>
          <w:sz w:val="18"/>
          <w:szCs w:val="18"/>
          <w:color w:val="auto"/>
        </w:rPr>
        <w:t xml:space="preserve"> of the Disclosure Schedules lists all Real Property Rights of the Project Companies, the real property in which the Project Companies have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Each Project Company has a good and valid fee, leasehold, easement, access, license, or right of way interests, as applicable, in the Land required or associated with the applicable Project, free and clear of all Liens, except: (A) for Permitted Exceptions; (B) as disclosed in the applicable Title Proforma delivered by Seller to Purchaser on or before the Closing Date; and (C) as disclosed in the applicable Title Policy.</w:t>
      </w:r>
    </w:p>
    <w:p>
      <w:pPr>
        <w:spacing w:after="0" w:line="18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(ii)            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no Acquired Company has entered into any assignment, lease, license, sublease, easement or other agreement granting to any Person any right to the possession, use, occupancy or enjoyment of the Land.</w:t>
      </w:r>
    </w:p>
    <w:p>
      <w:pPr>
        <w:spacing w:after="0" w:line="17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in the applicable Title Proforma or in the applicable Title Policy.</w:t>
      </w:r>
    </w:p>
    <w:p>
      <w:pPr>
        <w:spacing w:after="0" w:line="17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(iv)            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Acquired Companies to develop, construct, own and operate the Projects.</w:t>
      </w:r>
    </w:p>
    <w:p>
      <w:pPr>
        <w:spacing w:after="0" w:line="3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8" w:name="page39"/>
    <w:bookmarkEnd w:id="38"/>
    <w:p>
      <w:pPr>
        <w:jc w:val="both"/>
        <w:ind w:left="660" w:firstLine="1296"/>
        <w:spacing w:after="0" w:line="267" w:lineRule="auto"/>
        <w:rPr>
          <w:sz w:val="20"/>
          <w:szCs w:val="20"/>
          <w:color w:val="auto"/>
        </w:rPr>
      </w:pPr>
      <w:r>
        <w:rPr>
          <w:rFonts w:ascii="Times New Roman" w:cs="Times New Roman" w:eastAsia="Times New Roman" w:hAnsi="Times New Roman"/>
          <w:sz w:val="18"/>
          <w:szCs w:val="18"/>
          <w:color w:val="auto"/>
        </w:rPr>
        <w:t>(v)            None of Seller or any Acquired Company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3.01(o)</w:t>
      </w:r>
      <w:r>
        <w:rPr>
          <w:rFonts w:ascii="Times New Roman" w:cs="Times New Roman" w:eastAsia="Times New Roman" w:hAnsi="Times New Roman"/>
          <w:sz w:val="18"/>
          <w:szCs w:val="18"/>
          <w:color w:val="auto"/>
        </w:rPr>
        <w:t xml:space="preserve"> of the Disclosure Schedules lists all Real Property Rights insured by the Title Policies (the “</w:t>
      </w:r>
      <w:r>
        <w:rPr>
          <w:rFonts w:ascii="Times New Roman" w:cs="Times New Roman" w:eastAsia="Times New Roman" w:hAnsi="Times New Roman"/>
          <w:sz w:val="18"/>
          <w:szCs w:val="18"/>
          <w:i w:val="1"/>
          <w:iCs w:val="1"/>
          <w:color w:val="auto"/>
        </w:rPr>
        <w:t>Insured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Rights</w:t>
      </w:r>
      <w:r>
        <w:rPr>
          <w:rFonts w:ascii="Times New Roman" w:cs="Times New Roman" w:eastAsia="Times New Roman" w:hAnsi="Times New Roman"/>
          <w:sz w:val="18"/>
          <w:szCs w:val="18"/>
          <w:color w:val="auto"/>
        </w:rPr>
        <w:t>”). As of the Execution Date, Seller has provided to Purchaser a true and correct copy of the Execution Date Title Policies covering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Insured Property Rights. As of the Closing Date, Seller has provided to Purchaser copies of the pro forma Closing Date Endorsements, and true and correct copy of the Title Pro Formas covering the Insured Property Rights. The Insured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Policies;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 (which consent shall not be unreasonably withheld, conditioned or delayed).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            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spacing w:after="0" w:line="182"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spacing w:after="0" w:line="181"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sets forth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an Acquired Company.</w:t>
      </w:r>
    </w:p>
    <w:p>
      <w:pPr>
        <w:spacing w:after="0" w:line="183"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(iv)            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spacing w:after="0" w:line="184"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sets forth all material Permits required pursuant to any Law to be 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an Acquired Company.</w:t>
      </w:r>
    </w:p>
    <w:p>
      <w:pPr>
        <w:spacing w:after="0" w:line="18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is subject to any Action or Proceeding or unsatisfied condition, in each case of clause (A) and (B) which has not been remedied or resolved.</w:t>
      </w:r>
    </w:p>
    <w:p>
      <w:pPr>
        <w:spacing w:after="0" w:line="18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for: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disclosed on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color w:val="auto"/>
        </w:rPr>
        <w:t xml:space="preserve"> of the Disclosure Schedules;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under the 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            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3.01(t) </w:t>
      </w:r>
      <w:r>
        <w:rPr>
          <w:rFonts w:ascii="Times New Roman" w:cs="Times New Roman" w:eastAsia="Times New Roman" w:hAnsi="Times New Roman"/>
          <w:sz w:val="18"/>
          <w:szCs w:val="18"/>
          <w:color w:val="auto"/>
        </w:rPr>
        <w:t>of the Disclosure Schedules to continue in all material respects after the Closing Date. Furthermore, at the expiration of such policies, Seller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aforementioned policies to be renewed with terms substantially identical to those described in the policies above.</w:t>
      </w:r>
    </w:p>
    <w:p>
      <w:pPr>
        <w:spacing w:after="0" w:line="19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Balance Sheets</w:t>
      </w:r>
      <w:r>
        <w:rPr>
          <w:rFonts w:ascii="Times New Roman" w:cs="Times New Roman" w:eastAsia="Times New Roman" w:hAnsi="Times New Roman"/>
          <w:sz w:val="18"/>
          <w:szCs w:val="18"/>
          <w:color w:val="auto"/>
        </w:rPr>
        <w:t>. Seller has previously delivered to Purchaser true, correct and complete copies of the unaudited balance sheets (the “</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of the Acquired Companies, on a stand-alone basis, for the quarter ended March 31, 2024 (the “</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The Balance Sheets: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 in all material respects, the consolidated or stand-alone financial position, as applicable, of the Acquired Companies covered thereby, as of the Balance Sheets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have been prepared from the books and records of the Acquired Companies covered thereby.</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color w:val="auto"/>
        </w:rPr>
        <w:t xml:space="preserve"> of the Disclosure Schedules, between the Balance Sheets Date (except as otherwise indicated in subparagraph (vii) below) and the Execution Date, there has not been:</w:t>
      </w:r>
    </w:p>
    <w:p>
      <w:pPr>
        <w:spacing w:after="0" w:line="159"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repurchase, redemption or other acquisition of any equity interests of any Acquired Company or any interests convertible into equity interests of any Acquired Company or any other change in the capitalization or ownership of any Acquired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any merger of any Acquired Company into or with any other Person, consolidation of any Acquired Company with any other Person or acquisition by any Acquired Company of all or substantially all of the business or assets of any Person;</w:t>
      </w:r>
    </w:p>
    <w:p>
      <w:pPr>
        <w:spacing w:after="0" w:line="162" w:lineRule="exact"/>
        <w:rPr>
          <w:sz w:val="20"/>
          <w:szCs w:val="20"/>
          <w:color w:val="auto"/>
        </w:rPr>
      </w:pPr>
    </w:p>
    <w:p>
      <w:pPr>
        <w:jc w:val="both"/>
        <w:ind w:left="660" w:right="20" w:firstLine="1296"/>
        <w:spacing w:after="0" w:line="312" w:lineRule="auto"/>
        <w:rPr>
          <w:sz w:val="20"/>
          <w:szCs w:val="20"/>
          <w:color w:val="auto"/>
        </w:rPr>
      </w:pPr>
      <w:r>
        <w:rPr>
          <w:rFonts w:ascii="Times New Roman" w:cs="Times New Roman" w:eastAsia="Times New Roman" w:hAnsi="Times New Roman"/>
          <w:sz w:val="17"/>
          <w:szCs w:val="17"/>
          <w:color w:val="auto"/>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spacing w:after="0" w:line="14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any material change in accounting policies or practices (including any change in depreciation or amortization policies) of any Acquired Company, except as required under GAAP;</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inventory and personal property sold or otherwise disposed of in the ordinary course of business;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Permitted Liens;</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any event, circumstance, condition or change relating or with respect to any Acquired Company that would reasonably be expected to have, individually or in the aggregate, a Material Adverse Effect.</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color w:val="auto"/>
        </w:rPr>
        <w:t xml:space="preserve">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6"/>
        <w:spacing w:after="0" w:line="289" w:lineRule="auto"/>
        <w:rPr>
          <w:sz w:val="20"/>
          <w:szCs w:val="20"/>
          <w:color w:val="auto"/>
        </w:rPr>
      </w:pPr>
      <w:r>
        <w:rPr>
          <w:rFonts w:ascii="Times New Roman" w:cs="Times New Roman" w:eastAsia="Times New Roman" w:hAnsi="Times New Roman"/>
          <w:sz w:val="17"/>
          <w:szCs w:val="17"/>
          <w:color w:val="auto"/>
        </w:rPr>
        <w:t>(i)            The D1 Project Company is an “Exempt Wholesale Generator,” and as of the date the LV Project Company first delivers test energy, the LV Project Company shall be an “Exempt Wholesale Generator.” As an Exempt Wholesale Generator, each Project Company is exempt from PUHCA to the extent provided for in 18 C.F.R. § 366.7(e), except as otherwise may be applicable under Section 1265 of PUHCA.</w:t>
      </w:r>
    </w:p>
    <w:p>
      <w:pPr>
        <w:spacing w:after="0" w:line="158"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As of the date an Acquired Company acquires a direct or indirect equity interest in D1 Project Company, each such Acquired Company will become a “holding company,” as defined in PUHCA, solely with respect to its direct or indirect, as applicable, ownership of LV Project Company (if such Acquired Company has already acquired an interest in LV Project Company and LV Project Company has already delivered test energy and/or already owns energized interconnection facilities) and D1 Project Company and, therefore, each such Acquired Company is entitled to the exemptions and waivers set forth in 18 C.F.R. § 366.3(a). As of the earlier of the date LV Project Company first delivers test energy or LV Project Company owns energized interconnection facilities, each Acquired Company that directly or indirectly owns any equity interests in LV Project Company will become a “holding company,” as defined in PUHCA, solely with respect to its direct or indirect, as applicable, ownership of D1 Project Company (if such Acquired Company has already acquired an interest in D1 Project Company) and LV Project Company and, therefore, each such Acquired Company is entitled to the exemptions and waivers set forth in 18 C.F.R. § 366.3(a). Neither Project Company is a “holding company” as defined under PUHCA.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(iii)            As of the Closing Date, Purchaser, solely by virtue of its indirect ownership of each Project Company, will not be subject to, or will not lose the exemption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regulation under PUHCA as an “electric utility company,” a “public utility company,” or a “holding company,” or an “affiliate” or “subsidiary company” of any of the foregoing, in each case as defined under PUHCA, except to the extent such regulation under PUHCA applies to a “holding company” solely with respect to one or more Exempt Wholesale Generators;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a “public utility” under the FPA;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regulation by the CPUC as a “public utility” or an “electrical corporation.”</w:t>
      </w:r>
    </w:p>
    <w:p>
      <w:pPr>
        <w:spacing w:after="0" w:line="183"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As of the Execution Date, no Acquired Company other than D1 Project Company is subject to regulation as a “public utility” as that term is defined under FPA Section 201(e). As of the date that the LV Project Company first delivers test energy, the LV Project Company shall be a “public utility” as that term is defined under FPA Section 201(e) and shall have received MBR Authorization. No Acquired Company is subject to regulation by the CPUC as a “public utility” or, other than such Project Company, an “electrical corporation.”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right="2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(i)            Part 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660"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(ii)            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not be required to replace 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Acquired Companies, which are reflected in the 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reflect all material payments to be made by the Acquired Companies to Seller or its Affiliates; and (iii) as to operation and maintenance expenses, are consistent in all material respects with Prudent Industry Practices.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There are no bankruptcy, reorganization or receivership proceedings pending against, being contemplated by or, to the Knowledge of Seller, threatened in writing against, Seller or any Acquired Company.</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PROJECTS, THE ACQUIRED COMPANIES, OR THE ASSETS OF THE ACQUIRED COMPANIES,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PROJECTS, THE ACQUIRED COMPANIES, THE ASSETS OF THE ACQUIRED COMPANIES OR THE ACQUIRED INTERESTS.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and warrants to Seller, as of the Execution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color w:val="auto"/>
        </w:rPr>
        <w:t xml:space="preserve">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color w:val="auto"/>
        </w:rPr>
        <w:t xml:space="preserve">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 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 in the aggregate reasonably be expected to have a material adverse effect on Purchaser’s ability to satisfy its obligations under this Agreement.</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xml:space="preserve">. Purchaser, or its Representatives, have had the opportunity to conduct all such due diligence investigations of the Acquired Interests, the Acquired Companies and the Projects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4.01.            </w:t>
      </w:r>
      <w:r>
        <w:rPr>
          <w:rFonts w:ascii="Times New Roman" w:cs="Times New Roman" w:eastAsia="Times New Roman" w:hAnsi="Times New Roman"/>
          <w:sz w:val="18"/>
          <w:szCs w:val="18"/>
          <w:b w:val="1"/>
          <w:bCs w:val="1"/>
          <w:i w:val="1"/>
          <w:iCs w:val="1"/>
          <w:color w:val="auto"/>
        </w:rPr>
        <w:t>Closing Date Conditions Precedent of the Parties</w:t>
      </w:r>
      <w:r>
        <w:rPr>
          <w:rFonts w:ascii="Times New Roman" w:cs="Times New Roman" w:eastAsia="Times New Roman" w:hAnsi="Times New Roman"/>
          <w:sz w:val="18"/>
          <w:szCs w:val="18"/>
          <w:color w:val="auto"/>
        </w:rPr>
        <w:t>. The obligations of each Party to consummate the Closing are subject to the fulfillment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by the applicable Party), at or before the Closing, by the applicable Party of each of the following conditions: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First Project MC Funding</w:t>
      </w:r>
      <w:r>
        <w:rPr>
          <w:rFonts w:ascii="Times New Roman" w:cs="Times New Roman" w:eastAsia="Times New Roman" w:hAnsi="Times New Roman"/>
          <w:sz w:val="18"/>
          <w:szCs w:val="18"/>
          <w:color w:val="auto"/>
        </w:rPr>
        <w:t>. The MC Funding under the Tax Equity ECCA in respect of the First Funded Project shall have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xml:space="preserve">. All consents of Purchaser specified on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color w:val="auto"/>
        </w:rPr>
        <w:t xml:space="preserve"> of the Disclosure Schedules and all approvals of 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Purchaser; and all Seller Approvals and Seller Consents shall have been obtained by Seller and shall in each case be in full force and effect.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 has or would reasonably be expected to result in a Material Adverse Effect.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Seller Distribution</w:t>
      </w:r>
      <w:r>
        <w:rPr>
          <w:rFonts w:ascii="Times New Roman" w:cs="Times New Roman" w:eastAsia="Times New Roman" w:hAnsi="Times New Roman"/>
          <w:sz w:val="18"/>
          <w:szCs w:val="18"/>
          <w:color w:val="auto"/>
        </w:rPr>
        <w:t>. Simultaneously with the occurrence of the Closing, the Seller Distribution shall occur.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4.02.            </w:t>
      </w:r>
      <w:r>
        <w:rPr>
          <w:rFonts w:ascii="Times New Roman" w:cs="Times New Roman" w:eastAsia="Times New Roman" w:hAnsi="Times New Roman"/>
          <w:sz w:val="18"/>
          <w:szCs w:val="18"/>
          <w:b w:val="1"/>
          <w:bCs w:val="1"/>
          <w:i w:val="1"/>
          <w:iCs w:val="1"/>
          <w:color w:val="auto"/>
        </w:rPr>
        <w:t>Closing Date Conditions Precedent of the Purchaser</w:t>
      </w:r>
      <w:r>
        <w:rPr>
          <w:rFonts w:ascii="Times New Roman" w:cs="Times New Roman" w:eastAsia="Times New Roman" w:hAnsi="Times New Roman"/>
          <w:sz w:val="18"/>
          <w:szCs w:val="18"/>
          <w:color w:val="auto"/>
        </w:rPr>
        <w:t>. The obligations of the Purchaser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(or waiver by the Purchaser ), at or before the Closing, by the applicable Party of each of the following conditions: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 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 before the Closing Date have been duly performed or complied with in all material respects.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(and the Target Company’s) sole right if Seller fails to provide such IRS Form W-9 shall be to make appropriate withholdings under Sections 1445 and 1446 of the Code.</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 commitment by the Title Company to issue the Closing Date Endorsements;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copies of all recorded documents referred to, or listed as exceptions to title in, the Closing Date Endorsements.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Seller Parent shall have executed and delivered the A&amp;R LLCA.</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Seller Guaranties (First Funded Project)</w:t>
      </w:r>
      <w:r>
        <w:rPr>
          <w:rFonts w:ascii="Times New Roman" w:cs="Times New Roman" w:eastAsia="Times New Roman" w:hAnsi="Times New Roman"/>
          <w:sz w:val="18"/>
          <w:szCs w:val="18"/>
          <w:color w:val="auto"/>
        </w:rPr>
        <w:t xml:space="preserve">. Simultaneously with or prior to the Closing, Seller Parent shall have executed, and delivered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Investor, the Seller Tax Equity Guaranty in respect of the First Funded Project,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Administrative Agent, the Seller Cash Diversion Guaranty in respect of the First Funded Project,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any Tax Credit Purchaser, the Seller Tax Credit Transfer Guaranty in respect of the First Funded Project, if applicable.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4.03.            </w:t>
      </w:r>
      <w:r>
        <w:rPr>
          <w:rFonts w:ascii="Times New Roman" w:cs="Times New Roman" w:eastAsia="Times New Roman" w:hAnsi="Times New Roman"/>
          <w:sz w:val="18"/>
          <w:szCs w:val="18"/>
          <w:b w:val="1"/>
          <w:bCs w:val="1"/>
          <w:i w:val="1"/>
          <w:iCs w:val="1"/>
          <w:color w:val="auto"/>
        </w:rPr>
        <w:t>Closing Date Conditions Precedent of the Seller</w:t>
      </w:r>
      <w:r>
        <w:rPr>
          <w:rFonts w:ascii="Times New Roman" w:cs="Times New Roman" w:eastAsia="Times New Roman" w:hAnsi="Times New Roman"/>
          <w:sz w:val="18"/>
          <w:szCs w:val="18"/>
          <w:color w:val="auto"/>
        </w:rPr>
        <w:t>. The obligations of the Seller to consummate the Closing are subject to the fulfillment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by the Seller), at or before the Closing, by the applicable Party of each of the following conditions: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 be true and correct in all material respects (except (i) each Fundamental Representation made by Purchaser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9"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 Purchaser at or before the Closing Date have been duly performed or complied with in all material respects.</w:t>
      </w:r>
    </w:p>
    <w:p>
      <w:pPr>
        <w:spacing w:after="0" w:line="15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Purchaser shall have delivered to Seller: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Purchaser shall have executed and delivered the A&amp;R LLCA.</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Purchaser Guaranties (First Funded Project)</w:t>
      </w:r>
      <w:r>
        <w:rPr>
          <w:rFonts w:ascii="Times New Roman" w:cs="Times New Roman" w:eastAsia="Times New Roman" w:hAnsi="Times New Roman"/>
          <w:sz w:val="18"/>
          <w:szCs w:val="18"/>
          <w:color w:val="auto"/>
        </w:rPr>
        <w:t xml:space="preserve">. Simultaneously with or prior to the Closing, Purchaser Parent shall have executed, and delivered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Investor, the Purchaser Tax Equity Guaranty in respect of the First Funded Project,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Administrative Agent, the Purchaser Cash Diversion Guaranty in respect of the First Funded Project,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any Tax Credit Purchaser, the Purchaser Tax Credit Transfer Guaranty in respect of the First Funded Project, if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color w:val="auto"/>
        </w:rPr>
        <w:t>. Following the Execution Date, Seller shall, or shall cause the Acquired Companies to, as promptly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each Project, the applicable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Acquired Companies or their properties without the prior written consent of Seller.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5.03.            </w:t>
      </w:r>
      <w:r>
        <w:rPr>
          <w:rFonts w:ascii="Times New Roman" w:cs="Times New Roman" w:eastAsia="Times New Roman" w:hAnsi="Times New Roman"/>
          <w:sz w:val="18"/>
          <w:szCs w:val="18"/>
          <w:b w:val="1"/>
          <w:bCs w:val="1"/>
          <w:i w:val="1"/>
          <w:iCs w:val="1"/>
          <w:color w:val="auto"/>
        </w:rPr>
        <w:t>Notification of Certain Matters</w:t>
      </w:r>
      <w:r>
        <w:rPr>
          <w:rFonts w:ascii="Times New Roman" w:cs="Times New Roman" w:eastAsia="Times New Roman" w:hAnsi="Times New Roman"/>
          <w:sz w:val="18"/>
          <w:szCs w:val="18"/>
          <w:color w:val="auto"/>
        </w:rPr>
        <w:t>. Seller shall have the right to deliver to Purchaser, not later than ten (10) Business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 supplement to the Disclosure Schedules (the “</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w:t>
      </w:r>
    </w:p>
    <w:p>
      <w:pPr>
        <w:spacing w:after="0" w:line="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6.01</w:t>
      </w:r>
      <w:r>
        <w:rPr>
          <w:rFonts w:ascii="Times New Roman" w:cs="Times New Roman" w:eastAsia="Times New Roman" w:hAnsi="Times New Roman"/>
          <w:sz w:val="18"/>
          <w:szCs w:val="18"/>
          <w:color w:val="auto"/>
        </w:rPr>
        <w:t xml:space="preserve"> with respect to such item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updates shall not give rise to any right of indemnification to the extent such updates are solely to reflect the execution of any Tax Equity Document pursuant to and in accordance with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b w:val="1"/>
          <w:bCs w:val="1"/>
          <w:color w:val="auto"/>
        </w:rPr>
        <w:t>5.04.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During the Interim Period,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Seller shall cause each Acquired Company to operate and carry on its business in the ordinary course and substantially as operated prior to the Execution Date. Without limiting the foregoing,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as would not be reasonably likely to cause a Major Project Change (with respect to clauses (F), (G), (I), and (N)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each Acquired Company not to:</w:t>
      </w:r>
    </w:p>
    <w:p>
      <w:pPr>
        <w:spacing w:after="0" w:line="182"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auto"/>
        </w:rPr>
        <w:t>(A)            transfer any of the Acquired Interests to any Person or create or suffer to exist any Lien upon the Acquired Interests other than the Permitted Equity Encumbrances;</w:t>
      </w:r>
    </w:p>
    <w:p>
      <w:pPr>
        <w:spacing w:after="0" w:line="162" w:lineRule="exact"/>
        <w:rPr>
          <w:sz w:val="20"/>
          <w:szCs w:val="20"/>
          <w:color w:val="auto"/>
        </w:rPr>
      </w:pPr>
    </w:p>
    <w:p>
      <w:pPr>
        <w:jc w:val="both"/>
        <w:ind w:left="1300" w:firstLine="1296"/>
        <w:spacing w:after="0" w:line="255" w:lineRule="auto"/>
        <w:rPr>
          <w:sz w:val="20"/>
          <w:szCs w:val="20"/>
          <w:color w:val="auto"/>
        </w:rPr>
      </w:pPr>
      <w:r>
        <w:rPr>
          <w:rFonts w:ascii="Times New Roman" w:cs="Times New Roman" w:eastAsia="Times New Roman" w:hAnsi="Times New Roman"/>
          <w:sz w:val="18"/>
          <w:szCs w:val="18"/>
          <w:color w:val="auto"/>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any TE HoldCo pursuant to the applicable Tax Equity ECCA, and the sale of interests in the applicable Pledgor Company pursuant to the applicable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either Tax Equity ECCA and either TE HoldCo MIPA);</w:t>
      </w:r>
    </w:p>
    <w:p>
      <w:pPr>
        <w:spacing w:after="0" w:line="189"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auto"/>
        </w:rPr>
        <w:t>(C)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either Financing Agreement (in accordance therewith) or any other amounts described in any of clauses (i) through (vi) of Section 5.07(a) of the A&amp;R LLCA;</w:t>
      </w:r>
    </w:p>
    <w:p>
      <w:pPr>
        <w:spacing w:after="0" w:line="183" w:lineRule="exact"/>
        <w:rPr>
          <w:sz w:val="20"/>
          <w:szCs w:val="20"/>
          <w:color w:val="auto"/>
        </w:rPr>
      </w:pPr>
    </w:p>
    <w:p>
      <w:pPr>
        <w:jc w:val="both"/>
        <w:ind w:left="1300" w:right="20" w:firstLine="1296"/>
        <w:spacing w:after="0" w:line="282" w:lineRule="auto"/>
        <w:rPr>
          <w:sz w:val="20"/>
          <w:szCs w:val="20"/>
          <w:color w:val="auto"/>
        </w:rPr>
      </w:pPr>
      <w:r>
        <w:rPr>
          <w:rFonts w:ascii="Times New Roman" w:cs="Times New Roman" w:eastAsia="Times New Roman" w:hAnsi="Times New Roman"/>
          <w:sz w:val="18"/>
          <w:szCs w:val="18"/>
          <w:color w:val="auto"/>
        </w:rPr>
        <w:t>(D)            take any action or enter into any commitment with respect to or in contemplation of any liquidation, dissolution, recapitalization, reorganization or other winding up of business or operations;</w:t>
      </w:r>
    </w:p>
    <w:p>
      <w:pPr>
        <w:spacing w:after="0" w:line="162"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auto"/>
        </w:rPr>
        <w:t>(E)            open or establish any new accounts with financial institutions, other than as required by any Financing Document or Tax Equity Agreement;</w:t>
      </w:r>
    </w:p>
    <w:p>
      <w:pPr>
        <w:spacing w:after="0" w:line="162" w:lineRule="exact"/>
        <w:rPr>
          <w:sz w:val="20"/>
          <w:szCs w:val="20"/>
          <w:color w:val="auto"/>
        </w:rPr>
      </w:pPr>
    </w:p>
    <w:p>
      <w:pPr>
        <w:jc w:val="both"/>
        <w:ind w:left="1300" w:right="20" w:firstLine="1296"/>
        <w:spacing w:after="0" w:line="282" w:lineRule="auto"/>
        <w:rPr>
          <w:sz w:val="20"/>
          <w:szCs w:val="20"/>
          <w:color w:val="auto"/>
        </w:rPr>
      </w:pPr>
      <w:r>
        <w:rPr>
          <w:rFonts w:ascii="Times New Roman" w:cs="Times New Roman" w:eastAsia="Times New Roman" w:hAnsi="Times New Roman"/>
          <w:sz w:val="18"/>
          <w:szCs w:val="18"/>
          <w:color w:val="auto"/>
        </w:rPr>
        <w:t>(F)            make any material change in its business or operations, except such changes as may be required to comply with any applicable Law;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(G)            make any material capital expenditures (or enter into any Contracts in respect of material capital expenditures) other than as contemplated by the Company Contracts or any Tax Equity Agreement;</w:t>
      </w:r>
    </w:p>
    <w:p>
      <w:pPr>
        <w:spacing w:after="0" w:line="162"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(H)            merge Company or any Acquired Company into or with any other Person or consolidate Company or any Acquired Company with any other Person;</w:t>
      </w:r>
    </w:p>
    <w:p>
      <w:pPr>
        <w:spacing w:after="0" w:line="162"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(I)            enter into any Contract for the purchase of real property or any interests therein, other than as contemplated by any Tax Equity Agreement;</w:t>
      </w:r>
    </w:p>
    <w:p>
      <w:pPr>
        <w:spacing w:after="0" w:line="162"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spacing w:after="0" w:line="176"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(K)            sell, lease (as lessor), transfer or otherwise dispose of (including any transfers to any of its Affiliates), or mortgage or pledge, or impose or suffer to be imposed any Lien on, any of its assets or properties, other than: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inventory and personal property sold or otherwise disposed of in the ordinary course of business;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Permitted Liens; or (3) as contemplated by any Financing Document or Tax Equity Agreement;</w:t>
      </w:r>
    </w:p>
    <w:p>
      <w:pPr>
        <w:spacing w:after="0" w:line="180"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any Financing Agreement or any other Financing Document;</w:t>
      </w:r>
    </w:p>
    <w:p>
      <w:pPr>
        <w:spacing w:after="0" w:line="183"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(M)            make any loans or advances to any Person (other than another Acquired Company), except in the ordinary course of business consistent with past practice;</w:t>
      </w:r>
    </w:p>
    <w:p>
      <w:pPr>
        <w:spacing w:after="0" w:line="162" w:lineRule="exact"/>
        <w:rPr>
          <w:sz w:val="20"/>
          <w:szCs w:val="20"/>
          <w:color w:val="auto"/>
        </w:rPr>
      </w:pPr>
    </w:p>
    <w:p>
      <w:pPr>
        <w:jc w:val="both"/>
        <w:ind w:left="180" w:firstLine="1296"/>
        <w:spacing w:after="0" w:line="289" w:lineRule="auto"/>
        <w:rPr>
          <w:sz w:val="20"/>
          <w:szCs w:val="20"/>
          <w:color w:val="auto"/>
        </w:rPr>
      </w:pPr>
      <w:r>
        <w:rPr>
          <w:rFonts w:ascii="Times New Roman" w:cs="Times New Roman" w:eastAsia="Times New Roman" w:hAnsi="Times New Roman"/>
          <w:sz w:val="17"/>
          <w:szCs w:val="17"/>
          <w:color w:val="auto"/>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58"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Target Company or any Acquired Company;</w:t>
      </w:r>
    </w:p>
    <w:p>
      <w:pPr>
        <w:spacing w:after="0" w:line="180"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(P)            make any material change in accounting policies or practices (including any change in depreciation or amortization policies) of Company or any Acquired Company, except as required under GAAP or if such change would not have a material adverse effect on Purchaser, or revalue any of the Target Company’s or any Acquired Company’s assets;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 w:name="page51"/>
    <w:bookmarkEnd w:id="50"/>
    <w:p>
      <w:pPr>
        <w:jc w:val="both"/>
        <w:ind w:left="1300" w:firstLine="1296"/>
        <w:spacing w:after="0" w:line="256" w:lineRule="auto"/>
        <w:rPr>
          <w:sz w:val="20"/>
          <w:szCs w:val="20"/>
          <w:color w:val="auto"/>
        </w:rPr>
      </w:pPr>
      <w:r>
        <w:rPr>
          <w:rFonts w:ascii="Times New Roman" w:cs="Times New Roman" w:eastAsia="Times New Roman" w:hAnsi="Times New Roman"/>
          <w:sz w:val="18"/>
          <w:szCs w:val="18"/>
          <w:color w:val="auto"/>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spacing w:after="0" w:line="187"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auto"/>
        </w:rPr>
        <w:t>(R)            pay, discharge, settle or satisfy any claims, liabilities or obligations prior to the same being due in excess of $50,000 in the aggregate other than as due and payable in the ordinary course under material Contracts;</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            hire any employees or adopt any Employee Plans;</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            except as contemplated pursuant to any Tax Equity Agreement, enter into any joint venture;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(U)            fail to maintain insurance coverage substantially equivalent to its insurance coverage as in effect on the date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hereof; or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xml:space="preserve">(V)            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condition to the obligations of the other Party contained in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color w:val="auto"/>
        </w:rPr>
        <w:t>. During the Interim Period, each Party shall use its commercially reasonable efforts to execute and deliver,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b w:val="1"/>
          <w:bCs w:val="1"/>
          <w:color w:val="auto"/>
        </w:rPr>
        <w:t>5.07.            </w:t>
      </w:r>
      <w:r>
        <w:rPr>
          <w:rFonts w:ascii="Times New Roman" w:cs="Times New Roman" w:eastAsia="Times New Roman" w:hAnsi="Times New Roman"/>
          <w:sz w:val="18"/>
          <w:szCs w:val="18"/>
          <w:b w:val="1"/>
          <w:bCs w:val="1"/>
          <w:i w:val="1"/>
          <w:iCs w:val="1"/>
          <w:color w:val="auto"/>
        </w:rPr>
        <w:t>Purchaser’s Substitute Support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(collectively,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With respect to (i) each Support Obligation set forth in Part 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that relates to the First Funded Project (as so identified on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3.01(y)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First Project Support Obligations</w:t>
      </w:r>
      <w:r>
        <w:rPr>
          <w:rFonts w:ascii="Times New Roman" w:cs="Times New Roman" w:eastAsia="Times New Roman" w:hAnsi="Times New Roman"/>
          <w:sz w:val="18"/>
          <w:szCs w:val="18"/>
          <w:color w:val="auto"/>
        </w:rPr>
        <w:t>”), and (ii) each Support Obligation set forth in Part I of</w:t>
      </w:r>
      <w:r>
        <w:rPr>
          <w:rFonts w:ascii="Times New Roman" w:cs="Times New Roman" w:eastAsia="Times New Roman" w:hAnsi="Times New Roman"/>
          <w:sz w:val="18"/>
          <w:szCs w:val="18"/>
          <w:i w:val="1"/>
          <w:iCs w:val="1"/>
          <w:color w:val="auto"/>
        </w:rPr>
        <w:t xml:space="preserve"> Schedule 3.01(y)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 Schedules that relates to the Second Funded Project (as so identified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Second 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Execution Date and continuing until the earlier of the termination of this Agreement or the replacement or release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Project Support Obligation and Second Project Support Obligation, Purchaser shall use commercially reasonable efforts to negotiate a replacement of each such Support Obligation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 with respect to replacement of (x) any First Project Support Obligation shall be no earlier than the Closing Date and (y) any Second Project Support Obligations shall be no earlier than the Second Project MC Funding Date.</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if any;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not amend, modify, grant a waiver in respect of, cancel or consent to the termination of any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that a (x) First Project Support Obligation cannot be released, terminated or replaced by Purchaser at or prior to the Closing, (y) or Second Project Support Obligation cannot be released, terminated or replaced by Purchaser at or prior to the Second Project MC Funding Date, or (z) is set forth on 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each such Support Obligation.</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Retained Support Obligation that is a First Project Support Obligation, after the Closing Date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Retained Support Obligation that is a Second Project Support Obligation, after the Second Project MC Funding Date, and in each case arising out of or relating to the business, operations, properties, assets or obligations of any Acquired Company conducted, existing or arising after the Closing Date or the Second Project MC Funding Date, as applicable, (including as a result of any draw or demand for or making of any payment by Seller or any such Affiliate of Seller under any Retained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diligently continue to seek the release, termination and replacement of such Retained Support Obligation as required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reimburse Seller or its Affiliates (as applicable) for the actual out-of-pocket costs of, and fees paid by, Seller or its Affiliates in maintaining such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Retained Support Obligation that is a First Project Support Obligation, accruing at any time after the Closing Date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Retained Support Obligation that is a Second Project Support Obligation, accruing at any time after the Second Project MC Funding Date, in each case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Following the replacement of a Support Obligation by Purchaser for a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(i) with respect to any Substitute Support Obligation that replaced a First Project Support Obligation, the Closing, and (ii) with respect to any Substitute Support Obligation that replaced a Second Project Support Obligation, the Second Project MC Funding Date (in each case, including as a result of any draw or demand for or making of any payment by Purchaser or any such Affiliate of Purchaser under any Substitute Support Obligation).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Simultaneously with or prior to the Second Project MC Funding Date, Purchase shall cause Purchaser Parent to execute, and deliver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Investor, the Purchaser Tax Equity Guaranty in respect of the Second Funded Project,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Administrative Agent, the Purchaser Cash Diversion Guaranty in respect of the Second Funded Project.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5.08.            </w:t>
      </w:r>
      <w:r>
        <w:rPr>
          <w:rFonts w:ascii="Times New Roman" w:cs="Times New Roman" w:eastAsia="Times New Roman" w:hAnsi="Times New Roman"/>
          <w:sz w:val="18"/>
          <w:szCs w:val="18"/>
          <w:b w:val="1"/>
          <w:bCs w:val="1"/>
          <w:i w:val="1"/>
          <w:iCs w:val="1"/>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spacing w:after="0" w:line="16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8" w:lineRule="exact"/>
        <w:rPr>
          <w:sz w:val="20"/>
          <w:szCs w:val="20"/>
          <w:color w:val="auto"/>
        </w:rPr>
      </w:pPr>
    </w:p>
    <w:p>
      <w:pPr>
        <w:ind w:right="56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(g)            Notwithstanding the foregoing, the provisions of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xml:space="preserve"> shall be subject to, and the Seller’s rights pursuant to this </w:t>
      </w:r>
      <w:r>
        <w:rPr>
          <w:rFonts w:ascii="Times New Roman" w:cs="Times New Roman" w:eastAsia="Times New Roman" w:hAnsi="Times New Roman"/>
          <w:sz w:val="18"/>
          <w:szCs w:val="18"/>
          <w:i w:val="1"/>
          <w:iCs w:val="1"/>
          <w:color w:val="auto"/>
        </w:rPr>
        <w:t xml:space="preserve">Section 5.08 </w:t>
      </w:r>
      <w:r>
        <w:rPr>
          <w:rFonts w:ascii="Times New Roman" w:cs="Times New Roman" w:eastAsia="Times New Roman" w:hAnsi="Times New Roman"/>
          <w:sz w:val="18"/>
          <w:szCs w:val="18"/>
          <w:color w:val="auto"/>
        </w:rPr>
        <w:t>shall be limited to the extent inconsistent with, the terms of the Tax Equity Documents and the rights of the parties thereunder.</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5.09.            </w:t>
      </w:r>
      <w:r>
        <w:rPr>
          <w:rFonts w:ascii="Times New Roman" w:cs="Times New Roman" w:eastAsia="Times New Roman" w:hAnsi="Times New Roman"/>
          <w:sz w:val="18"/>
          <w:szCs w:val="18"/>
          <w:b w:val="1"/>
          <w:bCs w:val="1"/>
          <w:i w:val="1"/>
          <w:iCs w:val="1"/>
          <w:color w:val="auto"/>
        </w:rPr>
        <w:t>No Solicitation</w:t>
      </w:r>
      <w:r>
        <w:rPr>
          <w:rFonts w:ascii="Times New Roman" w:cs="Times New Roman" w:eastAsia="Times New Roman" w:hAnsi="Times New Roman"/>
          <w:sz w:val="18"/>
          <w:szCs w:val="18"/>
          <w:color w:val="auto"/>
        </w:rPr>
        <w:t>. Until the Closing or, if earlier, termination of this Agreement, Seller shall not, and shall not authorize or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Companies, any of their Affiliates or any of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any Financing Document and each TE HoldCo MIPA)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Acquired Companies;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Acquired Companies;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Acquired Companies’ properties or assets.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5.10.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5.11.            </w:t>
      </w:r>
      <w:r>
        <w:rPr>
          <w:rFonts w:ascii="Times New Roman" w:cs="Times New Roman" w:eastAsia="Times New Roman" w:hAnsi="Times New Roman"/>
          <w:sz w:val="18"/>
          <w:szCs w:val="18"/>
          <w:b w:val="1"/>
          <w:bCs w:val="1"/>
          <w:i w:val="1"/>
          <w:iCs w:val="1"/>
          <w:color w:val="auto"/>
        </w:rPr>
        <w:t>Seller Parent Guaranty</w:t>
      </w:r>
      <w:r>
        <w:rPr>
          <w:rFonts w:ascii="Times New Roman" w:cs="Times New Roman" w:eastAsia="Times New Roman" w:hAnsi="Times New Roman"/>
          <w:sz w:val="18"/>
          <w:szCs w:val="18"/>
          <w:color w:val="auto"/>
        </w:rPr>
        <w:t>. Seller shall, concurrently with the execution and delivery of this Agreement, cause to be executed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Purchaser the Seller Parent Guaranty.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5.12.            </w:t>
      </w:r>
      <w:r>
        <w:rPr>
          <w:rFonts w:ascii="Times New Roman" w:cs="Times New Roman" w:eastAsia="Times New Roman" w:hAnsi="Times New Roman"/>
          <w:sz w:val="18"/>
          <w:szCs w:val="18"/>
          <w:b w:val="1"/>
          <w:bCs w:val="1"/>
          <w:i w:val="1"/>
          <w:iCs w:val="1"/>
          <w:color w:val="auto"/>
        </w:rPr>
        <w:t>Tax Equity Agreements; Tax Credit Monetization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As soon as practicable following the Execution Date, Seller shall enter into (or shall cause the Target Company or the applicable Acquired Company to enter into) each Tax Equity ECCA, each TE HoldCo MIPA, any Tax Credit Transfer Agreement and the other Tax Equity Documents to be entered into upon the execution of the Tax Equity Agreements (the execution of the foregoing with respect to the D1 Project and the LV Project, each, a “</w:t>
      </w:r>
      <w:r>
        <w:rPr>
          <w:rFonts w:ascii="Times New Roman" w:cs="Times New Roman" w:eastAsia="Times New Roman" w:hAnsi="Times New Roman"/>
          <w:sz w:val="18"/>
          <w:szCs w:val="18"/>
          <w:i w:val="1"/>
          <w:iCs w:val="1"/>
          <w:color w:val="auto"/>
        </w:rPr>
        <w:t>Tax Equity Signing</w:t>
      </w:r>
      <w:r>
        <w:rPr>
          <w:rFonts w:ascii="Times New Roman" w:cs="Times New Roman" w:eastAsia="Times New Roman" w:hAnsi="Times New Roman"/>
          <w:sz w:val="18"/>
          <w:szCs w:val="18"/>
          <w:color w:val="auto"/>
        </w:rPr>
        <w:t xml:space="preserve">”). The form and substance of each Tax Equity ECCA, TE HoldCo MIPA and any Tax Credit Transfer Agreement,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each Purchaser Tax Equity Guaranty,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any Purchaser Tax Credit Transfer Guaranty,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each Base Case Model and Tax Equity Model,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the terms and conditions of a “flip” or the allocation or re-allocation of risks and benefits resulting from a Tax Credit Transfer Transaction, and the other commercial terms in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Following each Tax Equity Signing, Seller shall promptly provide to Purchaser true, complete and correct copies of each such Contract or document, including any schedule, exhibit or annex thereto, and, with respect to each Tax Equity ECCA, the following documents delivered pursuant to each Tax Equity ECCA (and any documents delivered pursuant to the Tax Credit Transfer Agreement):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Model,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Reports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Title Proforma. During the period from the later of the D1 Tax Equity Signing or the LV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such amendment shall be subject to the mutual agreement of the Parties pursuant to </w:t>
      </w:r>
      <w:r>
        <w:rPr>
          <w:rFonts w:ascii="Times New Roman" w:cs="Times New Roman" w:eastAsia="Times New Roman" w:hAnsi="Times New Roman"/>
          <w:sz w:val="18"/>
          <w:szCs w:val="18"/>
          <w:i w:val="1"/>
          <w:iCs w:val="1"/>
          <w:color w:val="auto"/>
        </w:rPr>
        <w:t>Section 8.08</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5.13.            </w:t>
      </w:r>
      <w:r>
        <w:rPr>
          <w:rFonts w:ascii="Times New Roman" w:cs="Times New Roman" w:eastAsia="Times New Roman" w:hAnsi="Times New Roman"/>
          <w:sz w:val="18"/>
          <w:szCs w:val="18"/>
          <w:b w:val="1"/>
          <w:bCs w:val="1"/>
          <w:i w:val="1"/>
          <w:iCs w:val="1"/>
          <w:color w:val="auto"/>
        </w:rPr>
        <w:t>Duties of Initial 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shall use their respective commercially reasonable efforts to negotiate in good faith, as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practicable following the date hereof, and, upon the occurrence of the Closing, to cause the appropriate Persons to enter into an agreement pursuant to which Purchaser shall engage Seller Parent, or any Affiliate of Seller Parent designated thereby, to perform all obligations of the Manager (as defined in the A&amp;R LLCA) on behalf of Purchaser during the period beginning on the Closing Date and ending on the Second Project SC Funding Date. In the event the Parties do not enter such agreement on or before the earlier of (a) July 31, 2024, and (b) the Closing, the Parties shall use their respective commercially reasonable efforts to amend this Agreement (including, for the avoidance of doubt, the form of A&amp;R LLCA attached thereto as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 such that Seller Parent shall be the Initial Manager and the Manager (in each case, as defined in the A&amp;R LLCA) of the Target Company upon the Closing.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with respect to any Losses for which Purchaser or its Affiliate is or becomes indemnified by a third party with respect to any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Seller shall have no obligation to indemnify Purchaser with respect to such Losses); or (c) except to the extent included in the calculation of the Purchase Price, any Transaction Expense of any Acquired Company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such Purchaser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any other contract or agreement related to either Project between Purchaser or any of its Affiliates, on the one hand, and Seller or any of its Affiliates, on the other hand.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such Seller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or any other contract or agreement related to either Project between Seller or any of its Affiliates, on the one hand, and Purchaser or any of its Affiliates, on the other hand.</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3.01(i)(v)</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Section 3.01(i)(ix) </w:t>
      </w:r>
      <w:r>
        <w:rPr>
          <w:rFonts w:ascii="Times New Roman" w:cs="Times New Roman" w:eastAsia="Times New Roman" w:hAnsi="Times New Roman"/>
          <w:sz w:val="18"/>
          <w:szCs w:val="18"/>
          <w:color w:val="auto"/>
        </w:rPr>
        <w:t>(Company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Companies), </w:t>
      </w:r>
      <w:r>
        <w:rPr>
          <w:rFonts w:ascii="Times New Roman" w:cs="Times New Roman" w:eastAsia="Times New Roman" w:hAnsi="Times New Roman"/>
          <w:sz w:val="18"/>
          <w:szCs w:val="18"/>
          <w:i w:val="1"/>
          <w:iCs w:val="1"/>
          <w:color w:val="auto"/>
        </w:rPr>
        <w:t>Section 3.02(a)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Section 3.02(b)</w:t>
      </w:r>
      <w:r>
        <w:rPr>
          <w:rFonts w:ascii="Times New Roman" w:cs="Times New Roman" w:eastAsia="Times New Roman" w:hAnsi="Times New Roman"/>
          <w:sz w:val="18"/>
          <w:szCs w:val="18"/>
          <w:color w:val="auto"/>
        </w:rPr>
        <w:t xml:space="preserve"> (Authority) and </w:t>
      </w:r>
      <w:r>
        <w:rPr>
          <w:rFonts w:ascii="Times New Roman" w:cs="Times New Roman" w:eastAsia="Times New Roman" w:hAnsi="Times New Roman"/>
          <w:sz w:val="18"/>
          <w:szCs w:val="18"/>
          <w:i w:val="1"/>
          <w:iCs w:val="1"/>
          <w:color w:val="auto"/>
        </w:rPr>
        <w:t>Section 3.02(h)</w:t>
      </w:r>
      <w:r>
        <w:rPr>
          <w:rFonts w:ascii="Times New Roman" w:cs="Times New Roman" w:eastAsia="Times New Roman" w:hAnsi="Times New Roman"/>
          <w:sz w:val="18"/>
          <w:szCs w:val="18"/>
          <w:color w:val="auto"/>
        </w:rPr>
        <w:t xml:space="preserve"> (Brokers) (collectively, the “</w:t>
      </w:r>
      <w:r>
        <w:rPr>
          <w:rFonts w:ascii="Times New Roman" w:cs="Times New Roman" w:eastAsia="Times New Roman" w:hAnsi="Times New Roman"/>
          <w:sz w:val="18"/>
          <w:szCs w:val="18"/>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shall survive the Closing for five (5) years after the Closing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representations and warranties in</w:t>
      </w:r>
      <w:r>
        <w:rPr>
          <w:rFonts w:ascii="Times New Roman" w:cs="Times New Roman" w:eastAsia="Times New Roman" w:hAnsi="Times New Roman"/>
          <w:sz w:val="18"/>
          <w:szCs w:val="18"/>
          <w:i w:val="1"/>
          <w:iCs w:val="1"/>
          <w:color w:val="auto"/>
        </w:rPr>
        <w:t xml:space="preserve"> Section 3.01(k) </w:t>
      </w:r>
      <w:r>
        <w:rPr>
          <w:rFonts w:ascii="Times New Roman" w:cs="Times New Roman" w:eastAsia="Times New Roman" w:hAnsi="Times New Roman"/>
          <w:sz w:val="18"/>
          <w:szCs w:val="18"/>
          <w:color w:val="auto"/>
        </w:rPr>
        <w:t>(Taxes)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survive the Closing until thirty (30) days after the expiration of the applicable Tax statute of limitations. The indemnity obligations of Seller pursuant to </w:t>
      </w:r>
      <w:r>
        <w:rPr>
          <w:rFonts w:ascii="Times New Roman" w:cs="Times New Roman" w:eastAsia="Times New Roman" w:hAnsi="Times New Roman"/>
          <w:sz w:val="18"/>
          <w:szCs w:val="18"/>
          <w:i w:val="1"/>
          <w:iCs w:val="1"/>
          <w:color w:val="auto"/>
        </w:rPr>
        <w:t xml:space="preserve">Section 6.01(b) </w:t>
      </w:r>
      <w:r>
        <w:rPr>
          <w:rFonts w:ascii="Times New Roman" w:cs="Times New Roman" w:eastAsia="Times New Roman" w:hAnsi="Times New Roman"/>
          <w:sz w:val="18"/>
          <w:szCs w:val="18"/>
          <w:color w:val="auto"/>
        </w:rPr>
        <w:t>shall survive until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as to item 1 of</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 any right of a counterparty of any Project Company to receive Delay Damages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or been terminated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as to item 2 of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until the applicable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6.04.            </w:t>
      </w:r>
      <w:r>
        <w:rPr>
          <w:rFonts w:ascii="Times New Roman" w:cs="Times New Roman" w:eastAsia="Times New Roman" w:hAnsi="Times New Roman"/>
          <w:sz w:val="18"/>
          <w:szCs w:val="18"/>
          <w:b w:val="1"/>
          <w:bCs w:val="1"/>
          <w:i w:val="1"/>
          <w:iCs w:val="1"/>
          <w:color w:val="auto"/>
        </w:rPr>
        <w:t>Limitations on Claims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any Fraudulent Action, (ii)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or (iii) a breach of any Fundamental Representations.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other than item 2 of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shall be limited to an amount equal to the Purchase Price (the “</w:t>
      </w:r>
      <w:r>
        <w:rPr>
          <w:rFonts w:ascii="Times New Roman" w:cs="Times New Roman" w:eastAsia="Times New Roman" w:hAnsi="Times New Roman"/>
          <w:sz w:val="18"/>
          <w:szCs w:val="18"/>
          <w:i w:val="1"/>
          <w:iCs w:val="1"/>
          <w:color w:val="auto"/>
        </w:rPr>
        <w:t>Aggregate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Aggregate Cap shall not apply to Losses resulting from, arising out of or relating to the matters referenced in item 2 of</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in no event shall the sum of Seller’s liability resulting from any claims under item 2 of</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 in the aggregate, exceed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Cap.</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actual recovery under insurance policies that provide coverage,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actual recovery of reimbursement, indemnification or payment from any third Person,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pursuant to the Adjusted Purchase Price Model.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6.05.            </w:t>
      </w:r>
      <w:r>
        <w:rPr>
          <w:rFonts w:ascii="Times New Roman" w:cs="Times New Roman" w:eastAsia="Times New Roman" w:hAnsi="Times New Roman"/>
          <w:sz w:val="18"/>
          <w:szCs w:val="18"/>
          <w:b w:val="1"/>
          <w:bCs w:val="1"/>
          <w:i w:val="1"/>
          <w:iCs w:val="1"/>
          <w:color w:val="auto"/>
        </w:rPr>
        <w:t>Procedure for Indemnification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Whenever any claim by a third party shall arise for indemnification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xml:space="preserve">. If the Indemnified Party has assumed the defense of any claim by a third party which may give rise to indemnity hereunder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6.06.            </w:t>
      </w:r>
      <w:r>
        <w:rPr>
          <w:rFonts w:ascii="Times New Roman" w:cs="Times New Roman" w:eastAsia="Times New Roman" w:hAnsi="Times New Roman"/>
          <w:sz w:val="18"/>
          <w:szCs w:val="18"/>
          <w:b w:val="1"/>
          <w:bCs w:val="1"/>
          <w:i w:val="1"/>
          <w:iCs w:val="1"/>
          <w:color w:val="auto"/>
        </w:rPr>
        <w:t>Rights of the Indemnifying Party in the Defense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 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6.09.            </w:t>
      </w:r>
      <w:r>
        <w:rPr>
          <w:rFonts w:ascii="Times New Roman" w:cs="Times New Roman" w:eastAsia="Times New Roman" w:hAnsi="Times New Roman"/>
          <w:sz w:val="18"/>
          <w:szCs w:val="18"/>
          <w:b w:val="1"/>
          <w:bCs w:val="1"/>
          <w:i w:val="1"/>
          <w:iCs w:val="1"/>
          <w:color w:val="auto"/>
        </w:rPr>
        <w:t>Mitigations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6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(b)            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7.01.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This Agreement may be terminated at any time prior to the Closing Date as follows: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Seller and Purchaser;</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(b)            by either Party if the Closing has not occurred on or before December 31, 2025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a breach of Seller’s obligations to transfer the Acquired Interests at Closing in accordance with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Seller is endeavoring in good faith, and proceeding diligently, to cure such breach, Seller shall have an additional thirty (30) days in which to effect such cure;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Purchaser is endeavoring in good faith, and proceeding diligently, to cure such breach, Purchaser shall have an additional thirty (30) days in which to effect such cure.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7.02.            </w:t>
      </w:r>
      <w:r>
        <w:rPr>
          <w:rFonts w:ascii="Times New Roman" w:cs="Times New Roman" w:eastAsia="Times New Roman" w:hAnsi="Times New Roman"/>
          <w:sz w:val="18"/>
          <w:szCs w:val="18"/>
          <w:b w:val="1"/>
          <w:bCs w:val="1"/>
          <w:i w:val="1"/>
          <w:iCs w:val="1"/>
          <w:color w:val="auto"/>
        </w:rPr>
        <w:t>Effect of 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Upon termination of this Agreement by a Party for any reason: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 w:cs="Times New Roman" w:eastAsia="Times New Roman" w:hAnsi="Times New Roman"/>
          <w:sz w:val="18"/>
          <w:szCs w:val="18"/>
          <w:i w:val="1"/>
          <w:iCs w:val="1"/>
          <w:color w:val="auto"/>
        </w:rPr>
        <w:t>Section 8.06</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If to Purchaser, to:</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LV-Daggett Parent Holdco LLC</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Clearway Energy Inc.</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300 Carnegie Center Drive, Suite 300</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Princeton, NJ 08540</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Attn: [***]</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Email: [***]</w:t>
            </w:r>
          </w:p>
        </w:tc>
      </w:tr>
      <w:tr>
        <w:trPr>
          <w:trHeight w:val="414"/>
        </w:trPr>
        <w:tc>
          <w:tcPr>
            <w:tcW w:w="31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If to Seller, to:</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D1-LV CE Seller LLC</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Renew Development HoldCo LLC</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Attention: [***]</w:t>
            </w:r>
          </w:p>
        </w:tc>
      </w:tr>
      <w:tr>
        <w:trPr>
          <w:trHeight w:val="234"/>
        </w:trPr>
        <w:tc>
          <w:tcPr>
            <w:tcW w:w="310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E-mail: [***]</w:t>
            </w:r>
          </w:p>
        </w:tc>
      </w:tr>
      <w:tr>
        <w:trPr>
          <w:trHeight w:val="675"/>
        </w:trPr>
        <w:tc>
          <w:tcPr>
            <w:tcW w:w="31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240"/>
          </w:cols>
          <w:pgMar w:left="320" w:top="904" w:right="339" w:bottom="1440" w:gutter="0" w:footer="0" w:header="0"/>
        </w:sectPr>
      </w:pPr>
    </w:p>
    <w:bookmarkStart w:id="60" w:name="page61"/>
    <w:bookmarkEnd w:id="60"/>
    <w:p>
      <w:pPr>
        <w:ind w:left="1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Renew Development HoldCo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660" w:space="720"/>
            <w:col w:w="7860"/>
          </w:cols>
          <w:pgMar w:left="320" w:top="931" w:right="339" w:bottom="1440" w:gutter="0" w:footer="0" w:header="0"/>
        </w:sectPr>
      </w:pPr>
    </w:p>
    <w:p>
      <w:pPr>
        <w:spacing w:after="0" w:line="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8.04.            </w:t>
      </w:r>
      <w:r>
        <w:rPr>
          <w:rFonts w:ascii="Times New Roman" w:cs="Times New Roman" w:eastAsia="Times New Roman" w:hAnsi="Times New Roman"/>
          <w:sz w:val="18"/>
          <w:szCs w:val="18"/>
          <w:b w:val="1"/>
          <w:bCs w:val="1"/>
          <w:i w:val="1"/>
          <w:iCs w:val="1"/>
          <w:color w:val="auto"/>
        </w:rPr>
        <w:t>Time of the Essence</w:t>
      </w:r>
      <w:r>
        <w:rPr>
          <w:rFonts w:ascii="Times New Roman" w:cs="Times New Roman" w:eastAsia="Times New Roman" w:hAnsi="Times New Roman"/>
          <w:sz w:val="18"/>
          <w:szCs w:val="18"/>
          <w:color w:val="auto"/>
        </w:rPr>
        <w:t>. Time is of the essence with regard to all duties and time periods set forth in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1" w:name="page62"/>
    <w:bookmarkEnd w:id="6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Affiliate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8.13.            </w:t>
      </w:r>
      <w:r>
        <w:rPr>
          <w:rFonts w:ascii="Times New Roman" w:cs="Times New Roman" w:eastAsia="Times New Roman" w:hAnsi="Times New Roman"/>
          <w:sz w:val="18"/>
          <w:szCs w:val="18"/>
          <w:b w:val="1"/>
          <w:bCs w:val="1"/>
          <w:i w:val="1"/>
          <w:iCs w:val="1"/>
          <w:color w:val="auto"/>
        </w:rPr>
        <w:t>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ind w:right="-119"/>
        <w:spacing w:after="0"/>
        <w:rPr>
          <w:sz w:val="20"/>
          <w:szCs w:val="20"/>
          <w:color w:val="auto"/>
        </w:rPr>
      </w:pPr>
      <w:r>
        <w:rPr>
          <w:rFonts w:ascii="Times New Roman" w:cs="Times New Roman" w:eastAsia="Times New Roman" w:hAnsi="Times New Roman"/>
          <w:sz w:val="18"/>
          <w:szCs w:val="18"/>
          <w:color w:val="auto"/>
        </w:rPr>
        <w:t>(b)            Each Party hereto irrevocably and unconditionally waives, to the fullest extent it may legally and effectively do so:</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any objection which it may now or hereafter have to the laying of venue of any Action or Proceeding arising out of or relating to this Agreement or any related matter in any New York state or federal court located in New York County;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defense of an inconvenient forum to the maintenance of such Action or Proceeding in any such court.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LOSSES ARISING OUT OF THIRD PARTY CLAIMS FOR WHICH A PARTY IS ENTITLED TO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SHALL NOT CONSTITUTE CONSEQUENTIAL DAMAGES. FOR THE AVOIDANCE OF DOUBT, AN ACTION FOR THE PAYMENT OF THE PURCHASE PRICE SHALL NOT BE CONSIDERED CONSEQUENTIAL DAMAGES.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will constitute one and the same instrument.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D1-LV CE SELLER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D1-LV – CWEN MIPA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LV-DAGGETT PARENT HOLDCO LLC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Christopher Sotos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D1-LV – CWEN MIPA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6"/>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Roman"/>
      <w:start w:val="5"/>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2024-07-03T05:12:19Z</dcterms:created>
  <dcterms:modified xsi:type="dcterms:W3CDTF">2024-07-03T05:12:19Z</dcterms:modified>
</cp:coreProperties>
</file>