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322934-1_s3asr.htm"/>
        <w:bookmarkStart w:id="1" w:name="kstm23229341_s3asr"/>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2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August 8, 2023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20" w:before="2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10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9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UNITED STATES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 xml:space="preserve">SECURITIES AND EXCHANGE COMMISSION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28"/>
        </w:rPr>
        <w:t xml:space="preserve"> </w:t>
      </w:r>
    </w:p>
    <w:p>
      <w:pPr>
        <w:pStyle w:val="TextBody"/>
        <w:bidi w:val="0"/>
        <w:spacing w:before="6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34"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FORM S-3</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10" w:before="4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4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30" w:before="114" w:after="283"/>
        <w:jc w:val="center"/>
        <w:rPr>
          <w:rFonts w:ascii="Times New Roman;Times;serif" w:hAnsi="Times New Roman;Times;serif"/>
          <w:b w:val="false"/>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Clearway Energy, Inc. </w:t>
      </w:r>
      <w:r>
        <w:rPr>
          <w:rFonts w:ascii="Times New Roman;Times;serif" w:hAnsi="Times New Roman;Times;serif"/>
          <w:b w:val="false"/>
          <w:i w:val="false"/>
          <w:caps w:val="false"/>
          <w:smallCaps w:val="false"/>
          <w:color w:val="000000"/>
          <w:sz w:val="28"/>
        </w:rPr>
        <w:br/>
      </w: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pacing w:val="6"/>
          <w:sz w:val="28"/>
        </w:rPr>
        <w:t xml:space="preserve"> </w:t>
      </w:r>
    </w:p>
    <w:tbl>
      <w:tblPr>
        <w:tblW w:w="5505" w:type="dxa"/>
        <w:jc w:val="left"/>
        <w:tblInd w:w="540" w:type="dxa"/>
        <w:tblLayout w:type="fixed"/>
        <w:tblCellMar>
          <w:top w:w="0" w:type="dxa"/>
          <w:left w:w="0" w:type="dxa"/>
          <w:bottom w:w="0" w:type="dxa"/>
          <w:right w:w="0" w:type="dxa"/>
        </w:tblCellMar>
      </w:tblPr>
      <w:tblGrid>
        <w:gridCol w:w="124"/>
        <w:gridCol w:w="3058"/>
        <w:gridCol w:w="109"/>
        <w:gridCol w:w="109"/>
        <w:gridCol w:w="1951"/>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b/>
                <w:sz w:val="18"/>
              </w:rPr>
            </w:pPr>
            <w:r>
              <w:rPr>
                <w:b/>
                <w:spacing w:val="-4"/>
                <w:sz w:val="18"/>
              </w:rPr>
              <w:t>Delaware</w:t>
            </w:r>
            <w:r>
              <w:rPr>
                <w:b/>
                <w:sz w:val="18"/>
              </w:rPr>
              <w:t xml:space="preserve"> </w:t>
            </w:r>
          </w:p>
          <w:p>
            <w:pPr>
              <w:pStyle w:val="TableContents"/>
              <w:bidi w:val="0"/>
              <w:spacing w:before="0" w:after="0"/>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951" w:type="dxa"/>
            <w:tcBorders/>
            <w:vAlign w:val="center"/>
          </w:tcPr>
          <w:p>
            <w:pPr>
              <w:pStyle w:val="TableContents"/>
              <w:bidi w:val="0"/>
              <w:spacing w:before="0" w:after="0"/>
              <w:jc w:val="center"/>
              <w:rPr>
                <w:b/>
                <w:sz w:val="18"/>
              </w:rPr>
            </w:pPr>
            <w:r>
              <w:rPr>
                <w:b/>
                <w:spacing w:val="-4"/>
                <w:sz w:val="18"/>
              </w:rPr>
              <w:t>46-1777204</w:t>
            </w:r>
            <w:r>
              <w:rPr>
                <w:b/>
                <w:sz w:val="18"/>
              </w:rPr>
              <w:t xml:space="preserve"> </w:t>
            </w:r>
          </w:p>
          <w:p>
            <w:pPr>
              <w:pStyle w:val="TableContents"/>
              <w:bidi w:val="0"/>
              <w:spacing w:before="0" w:after="0"/>
              <w:jc w:val="center"/>
              <w:rPr/>
            </w:pPr>
            <w:r>
              <w:rPr>
                <w:spacing w:val="3"/>
              </w:rPr>
              <w:t>(I.R.S. Employer</w:t>
            </w:r>
            <w:r>
              <w:rPr/>
              <w:t xml:space="preserve"> </w:t>
              <w:br/>
            </w:r>
            <w:r>
              <w:rPr>
                <w:spacing w:val="3"/>
              </w:rPr>
              <w:t>Identification No.)</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15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300 Carnegie Center, Suite 300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Princeton, New Jersey 08540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(609) 608-1525</w:t>
      </w:r>
      <w:r>
        <w:rPr>
          <w:rFonts w:ascii="Times New Roman;Times;serif" w:hAnsi="Times New Roman;Times;serif"/>
          <w:b/>
          <w:i w:val="false"/>
          <w:caps w:val="false"/>
          <w:smallCaps w:val="false"/>
          <w:color w:val="000000"/>
          <w:sz w:val="18"/>
        </w:rPr>
        <w:t xml:space="preserve"> </w:t>
      </w:r>
    </w:p>
    <w:p>
      <w:pPr>
        <w:pStyle w:val="TextBody"/>
        <w:bidi w:val="0"/>
        <w:spacing w:lineRule="atLeast" w:line="200" w:before="3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4"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 xml:space="preserve">Kevin P. Malcarney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Executive Vice President, General Counsel and Corporate Secretary</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Clearway Energy,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300 Carnegie Center, Suite 300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Princeton, New Jersey 08540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(609) 608-1525</w:t>
      </w:r>
      <w:r>
        <w:rPr>
          <w:rFonts w:ascii="Times New Roman;Times;serif" w:hAnsi="Times New Roman;Times;serif"/>
          <w:b/>
          <w:i w:val="false"/>
          <w:caps w:val="false"/>
          <w:smallCaps w:val="false"/>
          <w:color w:val="000000"/>
          <w:sz w:val="18"/>
        </w:rPr>
        <w:t xml:space="preserve"> </w:t>
      </w:r>
    </w:p>
    <w:p>
      <w:pPr>
        <w:pStyle w:val="TextBody"/>
        <w:bidi w:val="0"/>
        <w:spacing w:lineRule="atLeast" w:line="200" w:before="34"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4"/>
          <w:sz w:val="16"/>
        </w:rPr>
        <w:t xml:space="preserve">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20" w:before="74"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Copy to:</w:t>
      </w:r>
      <w:r>
        <w:rPr>
          <w:rFonts w:ascii="Times New Roman;Times;serif" w:hAnsi="Times New Roman;Times;serif"/>
          <w:b w:val="false"/>
          <w:i w:val="false"/>
          <w:caps w:val="false"/>
          <w:smallCaps w:val="false"/>
          <w:color w:val="000000"/>
          <w:sz w:val="18"/>
        </w:rPr>
        <w:t xml:space="preserve"> </w:t>
      </w:r>
    </w:p>
    <w:p>
      <w:pPr>
        <w:pStyle w:val="TextBody"/>
        <w:bidi w:val="0"/>
        <w:spacing w:lineRule="atLeast" w:line="21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M. Preston Bernhisel</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Baker Botts L.L.P.</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2001 Ross Avenue, Suite 900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Dallas, Texas 75201-2980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 xml:space="preserve">Telephone: (214) 953-6783 </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Facsimile: (214) 661-4783</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210" w:before="60" w:after="283"/>
        <w:jc w:val="center"/>
        <w:rPr>
          <w:rFonts w:ascii="Times New Roman;Times;serif" w:hAnsi="Times New Roman;Times;serif"/>
          <w:b w:val="false"/>
          <w:i w:val="false"/>
          <w:caps w:val="false"/>
          <w:smallCaps w:val="false"/>
          <w:color w:val="000000"/>
          <w:sz w:val="18"/>
        </w:rPr>
      </w:pPr>
      <w:r>
        <w:rPr>
          <w:rFonts w:ascii="Times New Roman;Times;serif" w:hAnsi="Times New Roman;Times;serif"/>
          <w:b w:val="false"/>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z w:val="18"/>
        </w:rPr>
        <w:t xml:space="preserve"> </w:t>
        <w:br/>
      </w:r>
      <w:r>
        <w:rPr>
          <w:rFonts w:ascii="Times New Roman;Times;serif" w:hAnsi="Times New Roman;Times;serif"/>
          <w:b w:val="false"/>
          <w:i w:val="false"/>
          <w:caps w:val="false"/>
          <w:smallCaps w:val="false"/>
          <w:color w:val="000000"/>
          <w:spacing w:val="4"/>
          <w:sz w:val="18"/>
        </w:rPr>
        <w:t xml:space="preserve">From time to time on or after the effective date of this Registration Statement. </w:t>
      </w:r>
    </w:p>
    <w:p>
      <w:pPr>
        <w:pStyle w:val="TextBody"/>
        <w:bidi w:val="0"/>
        <w:spacing w:before="8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10" w:before="13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210" w:before="6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 </w:t>
      </w:r>
    </w:p>
    <w:tbl>
      <w:tblPr>
        <w:tblW w:w="6219" w:type="dxa"/>
        <w:jc w:val="left"/>
        <w:tblInd w:w="540" w:type="dxa"/>
        <w:tblLayout w:type="fixed"/>
        <w:tblCellMar>
          <w:top w:w="0" w:type="dxa"/>
          <w:left w:w="0" w:type="dxa"/>
          <w:bottom w:w="0" w:type="dxa"/>
          <w:right w:w="0" w:type="dxa"/>
        </w:tblCellMar>
      </w:tblPr>
      <w:tblGrid>
        <w:gridCol w:w="124"/>
        <w:gridCol w:w="2616"/>
        <w:gridCol w:w="109"/>
        <w:gridCol w:w="109"/>
        <w:gridCol w:w="3107"/>
        <w:gridCol w:w="154"/>
      </w:tblGrid>
      <w:tr>
        <w:trPr/>
        <w:tc>
          <w:tcPr>
            <w:tcW w:w="124" w:type="dxa"/>
            <w:tcBorders/>
            <w:vAlign w:val="center"/>
          </w:tcPr>
          <w:p>
            <w:pPr>
              <w:pStyle w:val="TableContents"/>
              <w:bidi w:val="0"/>
              <w:spacing w:before="0" w:after="283"/>
              <w:jc w:val="left"/>
              <w:rPr/>
            </w:pPr>
            <w:r>
              <w:rPr/>
              <w:t>​</w:t>
            </w:r>
          </w:p>
        </w:tc>
        <w:tc>
          <w:tcPr>
            <w:tcW w:w="2616" w:type="dxa"/>
            <w:tcBorders/>
            <w:vAlign w:val="center"/>
          </w:tcPr>
          <w:p>
            <w:pPr>
              <w:pStyle w:val="TableContents"/>
              <w:bidi w:val="0"/>
              <w:spacing w:before="0" w:after="283"/>
              <w:jc w:val="left"/>
              <w:rPr>
                <w:spacing w:val="4"/>
              </w:rPr>
            </w:pPr>
            <w:r>
              <w:rPr>
                <w:spacing w:val="4"/>
              </w:rPr>
              <w:t xml:space="preserve">Large 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7" w:type="dxa"/>
            <w:tcBorders/>
            <w:vAlign w:val="center"/>
          </w:tcPr>
          <w:p>
            <w:pPr>
              <w:pStyle w:val="TableContents"/>
              <w:bidi w:val="0"/>
              <w:spacing w:before="0" w:after="283"/>
              <w:jc w:val="left"/>
              <w:rPr>
                <w:spacing w:val="4"/>
              </w:rPr>
            </w:pPr>
            <w:r>
              <w:rPr>
                <w:spacing w:val="4"/>
              </w:rPr>
              <w:t xml:space="preserve">Accelerated filer ☐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16" w:type="dxa"/>
            <w:tcBorders/>
            <w:vAlign w:val="center"/>
          </w:tcPr>
          <w:p>
            <w:pPr>
              <w:pStyle w:val="TableContents"/>
              <w:bidi w:val="0"/>
              <w:spacing w:before="0" w:after="283"/>
              <w:jc w:val="left"/>
              <w:rPr>
                <w:spacing w:val="4"/>
              </w:rPr>
            </w:pPr>
            <w:r>
              <w:rPr>
                <w:spacing w:val="4"/>
              </w:rPr>
              <w:t xml:space="preserve">Non-accelerated filer ☐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7" w:type="dxa"/>
            <w:tcBorders/>
            <w:vAlign w:val="center"/>
          </w:tcPr>
          <w:p>
            <w:pPr>
              <w:pStyle w:val="TableContents"/>
              <w:bidi w:val="0"/>
              <w:spacing w:before="0" w:after="283"/>
              <w:jc w:val="left"/>
              <w:rPr>
                <w:spacing w:val="4"/>
              </w:rPr>
            </w:pPr>
            <w:r>
              <w:rPr>
                <w:spacing w:val="4"/>
              </w:rPr>
              <w:t xml:space="preserve">Smaller reporting company ☐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1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107" w:type="dxa"/>
            <w:tcBorders/>
            <w:vAlign w:val="center"/>
          </w:tcPr>
          <w:p>
            <w:pPr>
              <w:pStyle w:val="TableContents"/>
              <w:bidi w:val="0"/>
              <w:spacing w:before="0" w:after="283"/>
              <w:jc w:val="left"/>
              <w:rPr/>
            </w:pPr>
            <w:r>
              <w:rPr>
                <w:spacing w:val="4"/>
              </w:rPr>
              <w:t>Emerging growth company ☐</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10" w:before="21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10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67250" cy="581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4667250" cy="5810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Clearway Energy,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Class A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Class C Common Stock</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Energy,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these securities to or through one or more underwriters, dealers and agents, or directly to purchasers, or through a combination of these methods, on a continuous or delayed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traded on the New York Stock Exchange under the symbol “CWEN.A.” Our Class C common stock is traded on the New York Stock Exchange under the symbol “CWEN.”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risks described under “Risk Factors” on page </w:t>
      </w:r>
      <w:hyperlink w:anchor="tRIFA">
        <w:r>
          <w:rPr>
            <w:rStyle w:val="InternetLink"/>
          </w:rPr>
          <w:t>2</w:t>
        </w:r>
      </w:hyperlink>
      <w:r>
        <w:rPr>
          <w:rFonts w:ascii="Times New Roman;Times;serif" w:hAnsi="Times New Roman;Times;serif"/>
          <w:b/>
          <w:i w:val="false"/>
          <w:caps w:val="false"/>
          <w:smallCaps w:val="false"/>
          <w:color w:val="000000"/>
          <w:spacing w:val="-4"/>
          <w:sz w:val="20"/>
        </w:rPr>
        <w:t xml:space="preserve"> of this prospectus, as well as the other information contained or incorporated by reference in this prospectus and the related prospectus supplement, before making a decision to invest in our securities.</w:t>
      </w:r>
      <w:r>
        <w:rPr>
          <w:rFonts w:ascii="Times New Roman;Times;serif" w:hAnsi="Times New Roman;Times;serif"/>
          <w:b/>
          <w:i w:val="false"/>
          <w:caps w:val="false"/>
          <w:smallCaps w:val="false"/>
          <w:color w:val="000000"/>
          <w:spacing w:val="4"/>
          <w:sz w:val="20"/>
        </w:rPr>
        <w:t xml:space="preserv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upon the accuracy or adequacy of this prospectus. Any representation to the contrary is a criminal offense. </w:t>
      </w:r>
    </w:p>
    <w:p>
      <w:pPr>
        <w:pStyle w:val="TextBody"/>
        <w:bidi w:val="0"/>
        <w:spacing w:before="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8, 2023.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706" w:type="dxa"/>
        <w:jc w:val="left"/>
        <w:tblInd w:w="1393" w:type="dxa"/>
        <w:tblLayout w:type="fixed"/>
        <w:tblCellMar>
          <w:top w:w="0" w:type="dxa"/>
          <w:left w:w="0" w:type="dxa"/>
          <w:bottom w:w="0" w:type="dxa"/>
          <w:right w:w="0" w:type="dxa"/>
        </w:tblCellMar>
      </w:tblPr>
      <w:tblGrid>
        <w:gridCol w:w="124"/>
        <w:gridCol w:w="7473"/>
        <w:gridCol w:w="109"/>
        <w:gridCol w:w="109"/>
        <w:gridCol w:w="109"/>
        <w:gridCol w:w="109"/>
        <w:gridCol w:w="410"/>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ATP">
              <w:r>
                <w:rPr>
                  <w:rStyle w:val="InternetLink"/>
                  <w:spacing w:val="4"/>
                </w:rPr>
                <w:t>ii</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FOST">
              <w:r>
                <w:rPr>
                  <w:rStyle w:val="InternetLink"/>
                  <w:spacing w:val="4"/>
                </w:rPr>
                <w:t xml:space="preserve">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FOST">
              <w:r>
                <w:rPr>
                  <w:rStyle w:val="InternetLink"/>
                  <w:spacing w:val="4"/>
                </w:rPr>
                <w:t>iii</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SUM">
              <w:r>
                <w:rPr>
                  <w:rStyle w:val="InternetLink"/>
                  <w:spacing w:val="4"/>
                </w:rPr>
                <w:t>1</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RIFA">
              <w:r>
                <w:rPr>
                  <w:rStyle w:val="InternetLink"/>
                  <w:spacing w:val="4"/>
                </w:rPr>
                <w:t>2</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UOP">
              <w:r>
                <w:rPr>
                  <w:rStyle w:val="InternetLink"/>
                  <w:spacing w:val="4"/>
                </w:rPr>
                <w:t>3</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DOCS">
              <w:r>
                <w:rPr>
                  <w:rStyle w:val="InternetLink"/>
                  <w:spacing w:val="4"/>
                </w:rPr>
                <w:t xml:space="preserve">DESCRIPTION OF CAPITAL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DOCS">
              <w:r>
                <w:rPr>
                  <w:rStyle w:val="InternetLink"/>
                  <w:spacing w:val="4"/>
                </w:rPr>
                <w:t>4</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DODS">
              <w:r>
                <w:rPr>
                  <w:rStyle w:val="InternetLink"/>
                  <w:spacing w:val="4"/>
                </w:rPr>
                <w:t>14</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POD">
              <w:r>
                <w:rPr>
                  <w:rStyle w:val="InternetLink"/>
                  <w:spacing w:val="4"/>
                </w:rPr>
                <w:t>17</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LEMA">
              <w:r>
                <w:rPr>
                  <w:rStyle w:val="InternetLink"/>
                  <w:spacing w:val="4"/>
                </w:rPr>
                <w:t>19</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EXP">
              <w:r>
                <w:rPr>
                  <w:rStyle w:val="InternetLink"/>
                  <w:spacing w:val="4"/>
                </w:rPr>
                <w:t>19</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473" w:type="dxa"/>
            <w:tcBorders/>
            <w:shd w:fill="CCEEFF" w:val="clear"/>
            <w:vAlign w:val="center"/>
          </w:tcPr>
          <w:p>
            <w:pPr>
              <w:pStyle w:val="TableContents"/>
              <w:bidi w:val="0"/>
              <w:spacing w:before="0" w:after="0"/>
              <w:jc w:val="left"/>
              <w:rPr/>
            </w:pPr>
            <w:hyperlink w:anchor="tIBRO">
              <w:r>
                <w:rPr>
                  <w:rStyle w:val="InternetLink"/>
                  <w:spacing w:val="4"/>
                </w:rPr>
                <w:t xml:space="preserve">INCORPORATION BY REFERENCE OF CERTAIN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410" w:type="dxa"/>
            <w:tcBorders/>
            <w:shd w:fill="CCEEFF" w:val="clear"/>
            <w:vAlign w:val="center"/>
          </w:tcPr>
          <w:p>
            <w:pPr>
              <w:pStyle w:val="TableContents"/>
              <w:bidi w:val="0"/>
              <w:spacing w:before="0" w:after="283"/>
              <w:jc w:val="right"/>
              <w:rPr/>
            </w:pPr>
            <w:hyperlink w:anchor="tIBRO">
              <w:r>
                <w:rPr>
                  <w:rStyle w:val="InternetLink"/>
                  <w:spacing w:val="4"/>
                </w:rPr>
                <w:t>20</w:t>
              </w:r>
            </w:hyperlink>
            <w:r>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473" w:type="dxa"/>
            <w:tcBorders/>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410" w:type="dxa"/>
            <w:tcBorders/>
            <w:vAlign w:val="center"/>
          </w:tcPr>
          <w:p>
            <w:pPr>
              <w:pStyle w:val="TableContents"/>
              <w:bidi w:val="0"/>
              <w:spacing w:before="0" w:after="283"/>
              <w:jc w:val="right"/>
              <w:rPr/>
            </w:pPr>
            <w:hyperlink w:anchor="tWYCF">
              <w:r>
                <w:rPr>
                  <w:rStyle w:val="InternetLink"/>
                  <w:spacing w:val="4"/>
                </w:rPr>
                <w:t>21</w:t>
              </w:r>
            </w:hyperlink>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us and the securities we may offer under this prospectus.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carefully both this prospectus and any prospectus supplement, together with additional information described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FOST"/>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but are not limited to,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maintain and grow our quarterly dividend; </w:t>
      </w:r>
      <w:r>
        <mc:AlternateContent>
          <mc:Choice Requires="wps">
            <w:drawing>
              <wp:anchor behindDoc="0" distT="76200" distB="0" distL="254000" distR="0" simplePos="0" locked="0" layoutInCell="1" allowOverlap="1" relativeHeight="2">
                <wp:simplePos x="0" y="0"/>
                <wp:positionH relativeFrom="column">
                  <wp:align>left</wp:align>
                </wp:positionH>
                <wp:positionV relativeFrom="line">
                  <wp:align>top</wp:align>
                </wp:positionV>
                <wp:extent cx="127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risks related to our relationships with Global Infrastructure Investors III, LLC (“GIP”), TotalEnergies SE (“TotalEnergies”) and Clearway Energy Group LLC (“CEG”);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successfully identify, evaluate and consummate acquisitions from, and dispositions to, third parties;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acquire assets from CEG;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borrow additional funds and access capital markets, as well as our substantial indebtedness and the possibility that we may incur additional indebtedness going forward;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 including judicial decisions;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operate our businesses efficiently, manage maintenance capital expenditures and costs effectively, and generate earnings and cash flows from our asset-based businesses in relation to our debt and other obligations;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willingness and ability of counterparties to our offtake agreements to fulfill their obligations under such agreements;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enter into contracts to sell power and procure fuel on acceptable terms and prices as current offtake agreements expire;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regulation, including compliance with regulatory requirements and changes in market rules, rates, tariffs and environmental laws;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Operating and financial restrictions placed on us that are contained in the project-level debt facilities and other agreements of certain subsidiaries and project-level subsidiaries generally, in the Clearway Energy Operating LLC (“Clearway Operating LLC”) amended and restated revolving credit facility and in the indentures governing our outstanding senior unsecured notes; and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Cyber terrorism and inadequate cybersecurity, or the occurrence of a catastrophic loss and the possibility that we may not have adequate insurance to cover losses resulting from such hazards or the inability of our insurers to provide coverage. </w:t>
      </w:r>
      <w:r>
        <mc:AlternateContent>
          <mc:Choice Requires="wps">
            <w:drawing>
              <wp:anchor behindDoc="0" distT="7620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12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materially from those contemplated in any forward-looking statements included in this prospectus or incorporated herein by reference should not be construed as exhaustive.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SUM"/>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publicly-traded energy infrastructure investor with a focus on investments in clean energy and owner of modern, sustainable and long-term contracted assets across North America. We are sponsored by GIP and TotalEnergies through the portfolio company, CEG, which is equally owned by GIP and TotalEnergies. GIP is an independent infrastructure fund manager that makes equity and debt investments in infrastructure assets and businesses. TotalEnergies is a global multi-energy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as a Delaware corporation on December 20, 2012. Our Class A common stock is listed on the New York Stock Exchange under the symbol “CWEN.A,” and our Class C common stock is listed on the New York Stock Exchange under the symbol “CWEN.” Our headquarters and principal executive offices are located at 300 Carnegie Center, Suite 300, Princeton, New Jersey 08540. Our telephone number is (609) 608-1525. Our website is </w:t>
      </w:r>
      <w:r>
        <w:rPr>
          <w:rFonts w:ascii="Times New Roman;Times;serif" w:hAnsi="Times New Roman;Times;serif"/>
          <w:b w:val="false"/>
          <w:i/>
          <w:caps w:val="false"/>
          <w:smallCaps w:val="false"/>
          <w:color w:val="000000"/>
          <w:spacing w:val="4"/>
          <w:sz w:val="20"/>
          <w:bdr w:val="single" w:sz="8" w:space="1" w:color="000000"/>
        </w:rPr>
        <w:t>www.clearwayenergy.com</w:t>
      </w:r>
      <w:r>
        <w:rPr>
          <w:rFonts w:ascii="Times New Roman;Times;serif" w:hAnsi="Times New Roman;Times;serif"/>
          <w:b w:val="false"/>
          <w:i w:val="false"/>
          <w:caps w:val="false"/>
          <w:smallCaps w:val="false"/>
          <w:color w:val="000000"/>
          <w:spacing w:val="4"/>
          <w:sz w:val="20"/>
          <w:bdr w:val="single" w:sz="8" w:space="1" w:color="000000"/>
        </w:rPr>
        <w:t xml:space="preserve">. Information on our website is not part of this prospectus and is not incorporated into this prospectus by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You can get more information regarding our business by reading our Annual Report on Form 10-K for the fiscal year ended December 31, 2022, our Quarterly Reports on Form 10-Q for the quarterly periods ended March 31, 2023 and June 30, 2023, and the other reports we file with the SEC. See “Where You Can Find More Information.”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RIFA"/>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 In that case, the trading price of our common stock or debt securities could decline and you could lose all or part of your investment. When we offer and sell any securities pursuant to a prospectus supplement, we may include additional risk factors relevant to such securities in the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inform you otherwise in the prospectus supplement, we expect to use the net proceeds from the sale of securities offered thereby for general corporate purposes, which may include, among other things: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repayment or refinancing of all or a portion of our indebtedness outstanding at the time; </w:t>
      </w:r>
      <w:r>
        <mc:AlternateContent>
          <mc:Choice Requires="wps">
            <w:drawing>
              <wp:anchor behindDoc="0" distT="762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funding working capital, capital expenditures or acquisitions. </w:t>
      </w:r>
      <w:r>
        <mc:AlternateContent>
          <mc:Choice Requires="wps">
            <w:drawing>
              <wp:anchor behindDoc="0" distT="7620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rFonts w:ascii="Times New Roman;Times;serif" w:hAnsi="Times New Roman;Times;serif"/>
                          <w:sz w:val="20"/>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Pending any specific application, we may initially invest funds in short-term marketable securities or apply them to the reduction of short-term indebtedness.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CS"/>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is a summary and does not purport to be complete. It is subject to and qualified in its entirety by reference to our Amended and Restated Certificate of Incorporation (“Certificate of Incorporation”) and our Fourth Amended and Restated Bylaws (“Bylaws”). The following description may not contain all of the information that is important to you. To understand them fully, you should read our Certificate of Incorporation, our Bylaws and the applicable provisions of the Delaware General Corporation Law (the “DGCL”).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as of June 30, 2023, of: </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500,000,000 shares of Class A common stock, par value $0.01 per share (“Class A common stock”), of which 34,613,853 shares are issued and outstanding; </w:t>
      </w:r>
      <w:r>
        <mc:AlternateContent>
          <mc:Choice Requires="wps">
            <w:drawing>
              <wp:anchor behindDoc="0" distT="100330" distB="0" distL="254000" distR="0" simplePos="0" locked="0" layoutInCell="1" allowOverlap="1" relativeHeight="22">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500,000,000 shares of Class B common stock, par value $0.01 per share (“Class B common stock”), of which 42,738,750 shares are issued and outstanding; </w:t>
      </w:r>
      <w:r>
        <mc:AlternateContent>
          <mc:Choice Requires="wps">
            <w:drawing>
              <wp:anchor behindDoc="0" distT="100330" distB="0" distL="254000" distR="0" simplePos="0" locked="0" layoutInCell="1" allowOverlap="1" relativeHeight="23">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C common stock, par value $0.01 per share (“Class C common stock”), of which 82,385,884 shares are issued and outstanding; </w:t>
      </w:r>
      <w:r>
        <mc:AlternateContent>
          <mc:Choice Requires="wps">
            <w:drawing>
              <wp:anchor behindDoc="0" distT="100330" distB="0" distL="254000" distR="0" simplePos="0" locked="0" layoutInCell="1" allowOverlap="1" relativeHeight="24">
                <wp:simplePos x="0" y="0"/>
                <wp:positionH relativeFrom="column">
                  <wp:align>left</wp:align>
                </wp:positionH>
                <wp:positionV relativeFrom="line">
                  <wp:align>top</wp:align>
                </wp:positionV>
                <wp:extent cx="254000" cy="525780"/>
                <wp:effectExtent l="0" t="0" r="0" b="0"/>
                <wp:wrapSquare wrapText="right"/>
                <wp:docPr id="19" name="Frame1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1,000,000,000 shares of Class D common stock, par value $0.01 per share (“Class D common stock”), of which 42,336,750 shares are issued and outstanding; and </w:t>
      </w:r>
      <w:r>
        <mc:AlternateContent>
          <mc:Choice Requires="wps">
            <w:drawing>
              <wp:anchor behindDoc="0" distT="100330" distB="0" distL="254000" distR="0" simplePos="0" locked="0" layoutInCell="1" allowOverlap="1" relativeHeight="25">
                <wp:simplePos x="0" y="0"/>
                <wp:positionH relativeFrom="column">
                  <wp:align>left</wp:align>
                </wp:positionH>
                <wp:positionV relativeFrom="line">
                  <wp:align>top</wp:align>
                </wp:positionV>
                <wp:extent cx="254000" cy="525780"/>
                <wp:effectExtent l="0" t="0" r="0" b="0"/>
                <wp:wrapSquare wrapText="right"/>
                <wp:docPr id="20" name="Frame19"/>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10,000,000 shares of preferred stock, par value $0.01 per share, none of which are issued and outstanding. </w:t>
      </w:r>
      <w:r>
        <mc:AlternateContent>
          <mc:Choice Requires="wps">
            <w:drawing>
              <wp:anchor behindDoc="0" distT="100330" distB="0" distL="254000" distR="0" simplePos="0" locked="0" layoutInCell="1" allowOverlap="1" relativeHeight="26">
                <wp:simplePos x="0" y="0"/>
                <wp:positionH relativeFrom="column">
                  <wp:align>left</wp:align>
                </wp:positionH>
                <wp:positionV relativeFrom="line">
                  <wp:align>top</wp:align>
                </wp:positionV>
                <wp:extent cx="254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9pt;mso-wrap-distance-bottom:0pt;margin-top:7.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as of June 30, 2023, (i) an aggregate of 2,875,632 shares of our Class A common stock and Class C common stock are reserved for issuance under our equity-based compensation plans, (ii) an aggregate of 42,738,750 shares of our Class A common stock are reserved for issuance upon the exchange of Class B units of Clearway Energy LLC (“Clearway LLC”), a direct subsidiary of Clearway Inc., and (iii) an aggregate of 42,336,750 shares of our Class C common stock are reserved for issuance upon the exchange of Class D units of Clearway LLC. Unless our Board of Directors (the “Board of Directors”) determines otherwise, we will issue all shares of our capital stock in uncertificated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A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A common stock entitles the holder to one vote with respect to each matter presented to our stockholders on which the holders of Class A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our Class A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shares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A common stock may be declared by our Board of Directors at any regular or special meeting, and may be paid in cash, in property or in shares of capital stock. The holders of shares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our affairs, holders of shares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shares of our Class A common stock are subject to, and may be adversely affected by, the rights of the holders of shares of any series of our preferred stock that we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A common stock is listed on the NYSE under the symbol “CWEN.A.”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Registrar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Class A common stock is Computershare Shareowner Services,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B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3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B common stock entitles the holder to one vote with respect to each matter presented to our stockholders on which the holders of Class B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B common stock do not have cumulative voting rights. Except in respect of matters relating to the election and removal of directors on our Board of Directors and as otherwise provided in our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B common stock do not have any right to receive dividends, other than dividends payable solely in shares of Class B common stock in the event of payment of a dividend in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Class B common stock are subject to redemption at a price per share equal to par value upon the conversion of Class B units of Clearway Energy LLC to Class A units of Clearway LLC. Shares of Class B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C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then outstanding preferred stock, the holders of our outstanding shares of Class C common stock are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shares of our Class C common stock is limited by restrictions on the ability of our subsidiaries to pay dividends or make other distributions to us, including restrictions under the terms of the agreements governing our indebtedness.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shares of our Class C common stock are subject to, and may be adversely affected by, the rights of the holders of shares of any series of our preferred stock that we may designate and issue in the future.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Equal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expressly provided in our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will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will receive in any such merger, consolidation or combination with respect to their shares of Class A common stock, then the holders of shares of Class C common stock will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will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will receive in any such tender or exchange offer or other repurchase with respect to their shares of Class A common stock, then the holders of shares of Class C common stock will be entitled to make the same election as to their shares of Class C common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Class C common stock is listed on the NYSE under the symbol “CWEN.”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Registrar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Class C common stock is Computershare Shareowner Services,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Class D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and 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shares of our Class D common stock do not have any right to receive dividends, other than dividends payable solely in shares of Class D common stock in the event of payment of a dividend in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Class D common stock are subject to redemption at a price per share equal to par value upon the conversion of Class D units of Clearway LLC. Shares of Class D common stock so redeemed are automatically cancelled and are not available to be reissued.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but Unissued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Certificate of Incorporation, we will continue to be authorized to issue up to 10,000,000 shares of preferred stock, par value $0.01 per share, none of which is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Corporate Opportunity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permitted under the DGCL, in our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GIP may serve as our directors and/or officers, and GIP and its controlled affiliates, not including us (individually, a “GIP Entity”, and collectively, the “GIP Entities”), may engage in similar activities or lines of business that we do, our Certificate of Incorporation provides for the allocation of certain corporate opportunities between us and the GIP Entities. Specifically, none of the GIP Entities will have any duty to refrain from engaging directly or indirectly in the same or similar business activities or lines of business that we do. In the event that a director or officer of any GIP Entity who also is one of our directors or officers acquires knowledge of a potential transaction or matter which may be a corporate opportunity for any of the GIP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opportunity that an officer or director of ours who is also a director or officer of any of the GIP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GIP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GIP Entities, the corporate opportunity doctrine applies as construed pursuant to applicable Delaware laws, without limitation.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Delaware Law and Our Certificate of Incorporation and Bylaws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disproportionate voting rights that CEG has as a result of its ownership of our Class B common stock and Class D common stock, some provisions of Delaware law contain, and our Certificate of Incorporation and our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these provisions also give our Board of Directors the power to discourage acquisitions that some stockholders may favor.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Undesignated Preferred Stock</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Meetings and Elections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Special Meetings of Stockholders.</w:t>
      </w:r>
      <w:r>
        <w:rPr>
          <w:rFonts w:ascii="Times New Roman;Times;serif" w:hAnsi="Times New Roman;Times;serif"/>
          <w:b w:val="false"/>
          <w:i w:val="false"/>
          <w:caps w:val="false"/>
          <w:smallCaps w:val="false"/>
          <w:color w:val="000000"/>
          <w:spacing w:val="4"/>
          <w:sz w:val="20"/>
        </w:rPr>
        <w:t xml:space="preserve">   Our Certificate of Incorporation provides that a special meeting of stockholders may be called only by our Board of Directors by a resolution adopted by the affirmative vote of a majority of the total number of directors then in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Elimination of Stockholder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and our Bylaws provide that holders of our common stock cannot act by written consent in lieu of a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Vacancies.</w:t>
      </w:r>
      <w:r>
        <w:rPr>
          <w:rFonts w:ascii="Times New Roman;Times;serif" w:hAnsi="Times New Roman;Times;serif"/>
          <w:b w:val="false"/>
          <w:i w:val="false"/>
          <w:caps w:val="false"/>
          <w:smallCaps w:val="false"/>
          <w:color w:val="000000"/>
          <w:spacing w:val="4"/>
          <w:sz w:val="20"/>
        </w:rPr>
        <w:t xml:space="preserve">   Any vacancy occurring on our Board of Directors and any newly created directorship may be filled only by a majority of the directors remaining in office (even if less than a quorum), subject to the rights of holders of any series of preferred stock.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Amendments of Certificate of Incorporation.</w:t>
      </w:r>
      <w:r>
        <w:rPr>
          <w:rFonts w:ascii="Times New Roman;Times;serif" w:hAnsi="Times New Roman;Times;serif"/>
          <w:b w:val="false"/>
          <w:i w:val="false"/>
          <w:caps w:val="false"/>
          <w:smallCaps w:val="false"/>
          <w:color w:val="000000"/>
          <w:spacing w:val="4"/>
          <w:sz w:val="20"/>
        </w:rPr>
        <w:t xml:space="preserve">   The provisions described above under “— Special Meetings of Stockholders,” “— Elimination of Stockholder Action by Written Consent” and “— Vacancies” may be amended only by the affirmative vote of holders of at least two-thirds of the combined voting power of outstanding shares of our capital stock entitled to vote in the election of directors, voting together as a single class.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Bylaws.</w:t>
      </w:r>
      <w:r>
        <w:rPr>
          <w:rFonts w:ascii="Times New Roman;Times;serif" w:hAnsi="Times New Roman;Times;serif"/>
          <w:b w:val="false"/>
          <w:i w:val="false"/>
          <w:caps w:val="false"/>
          <w:smallCaps w:val="false"/>
          <w:color w:val="000000"/>
          <w:spacing w:val="4"/>
          <w:sz w:val="20"/>
        </w:rPr>
        <w:t xml:space="preserve">   Our Board of Directors has the power to make, alter, amend, change or repeal our Bylaws or adopt new bylaws by the affirmative vote of a majority of the total number of directors then in office.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Provisions Relating to Stockholder Proposals and Nominees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also impose some procedural requirements on stockholders who wish to make nominations in the election of directors or propose any other business to be brought before an annual or special meeting of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timely, a stockholder’s notice must be received at our principal executive offices: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if the date of the annual meeting is advanced more than 30 days before or delayed more than 70 days after the first anniversary of the preceding year’s annual meeting, notice by the stockholder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meeting is first made by us; </w:t>
      </w:r>
      <w:r>
        <mc:AlternateContent>
          <mc:Choice Requires="wps">
            <w:drawing>
              <wp:anchor behindDoc="0" distT="7874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nomination in connection with a special meeting of stockholders, not earlier than the close of business on the 120th day prior to such special meeting and not later than the close of business on the later of the 90th day before such special meeting or the 10th day following the day on which public announcement of the date of such meeting is first made by us. </w:t>
      </w:r>
      <w:r>
        <mc:AlternateContent>
          <mc:Choice Requires="wps">
            <w:drawing>
              <wp:anchor behindDoc="0" distT="7874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special meetings of stockholders, our Bylaws provide that only such business shall be conducted as shall have been stated in the notice of the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Antitakeover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opted out of Section 203 of the DGCL. However, our Certificate of Incorporation provides that in the event GIP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such time, our Board of Directors approved either the business combination or the transaction that resulted in the stockholder becoming an interested stockholder;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outstanding at the time the transaction commenced, excluding certain shares; or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at or subsequent to that time, the business combination is approved by our Board of Directors and by the affirmative vote of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outstanding voting stock that is not owned by the interested stockholder.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amendments to our Certificate of Incorporation, subject to the rights of holders of our preferred stock, regarding the provisions thereof summarized under “— Corporate Opportunity” or “— Antitakeover Effects of Delaware Law and Our Certificate of Incorporation and Bylaws” will require the affirmative vote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shares of our common stock then outstanding.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Fourth Amended and Restated Limited Liability Company Agreement of Clearway LLC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description of the material terms of Clearway LLC’s Fourth Amended and Restated Limited Liability Company Agreement.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Governance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Inc. serves as the sole managing member of Clearway LLC. As such, Clearway Inc., and effectively our Board of Directors, controls the business and affairs of Clearway LLC and is responsible for the management of its business. No other member of Clearway LLC, in its capacity as such, has any authority or right to control the management of Clearway LLC or to bind it in connection with any matter. Any amendment, supplement or waiver of the Clearway LLC operating agreement must be approved by a majority of our independent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and Economic Rights of Members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Clearway LLC has issued four classes of units: Class A units and Class C units, which may only be issued to Clearway Inc., as the sole managing member, and Class B units and Class D units, which may only be issued to CEG and held by CEG or its permitted transferees (collectively, the “CEG Member”).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the CEG Member exchanges a Class B unit of Clearway LLC for a share of our Class A common stock, we will automatically redeem and cancel a corresponding share of our Class B common stock, and the Class B unit will automatically convert into a Class A unit of Clearway LLC issued to us. When the CEG Member exchanges a Class D unit of Clearway LLC for a share of our Class C common stock, we will automatically redeem and cancel a corresponding share of our Class D common stock, and the Class D unit will automatically convert into a Class C unit of Clearway LLC issued to us. None of the units have any voting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profits and net losses and distributions by Clearway LLC are allocated and made to holders of units in accordance with the respective number of membership units of Clearway LLC held. Clearway LLC will make distributions to us and CEG for the purpose of funding tax obligations in respect of income of Clearway LLC that is allocated to the members of Clearway LLC. However, Clearway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Clearway Operating LLC, a wholly owned subsidiary of Clearway LLC, and Clearway Operating LLC’s Amended and Restated Credit Agreement restricts the ability of Clearway Operating LLC to make distributions to Clearway LLC, Clearway LLC may not have any funds available to make distributions to us and CEG (including with respect to tax obligations).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Coordination of Clearway Inc. and Clearway LLC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any time Clearway Inc. issues a share of its Class A common stock or Class C common stock for cash, the net proceeds therefrom will promptly be transferred to Clearway LLC and Clearway LLC will either: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transfer a newly issued Class A unit of Clearway LLC to Clearway Inc. in the case of the issuance of a share of Class A common stock, or transfer a newly issued Class C unit of Clearway LLC to Clearway Inc. in the case of the issuance of a share of Class C common stock or (ii) purchase Class B Units or Class D Units from one or more “Yield LLC Unitholders” ​(as defined in the Amended and Restated Exchange Agreement (as defined below)), which Class B Units or Class D Units, as applicable, will automatically be reclassified into Class A Units or Class Units, as applicable; or </w:t>
      </w:r>
      <w:r>
        <mc:AlternateContent>
          <mc:Choice Requires="wps">
            <w:drawing>
              <wp:anchor behindDoc="0" distT="0" distB="0" distL="254000" distR="0" simplePos="0" locked="0" layoutInCell="1" allowOverlap="1" relativeHeight="32">
                <wp:simplePos x="0" y="0"/>
                <wp:positionH relativeFrom="column">
                  <wp:align>left</wp:align>
                </wp:positionH>
                <wp:positionV relativeFrom="line">
                  <wp:posOffset>635</wp:posOffset>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use a portion of the net proceeds to purchase a Class B unit of Clearway LLC from the CEG Member in the case of the issuance of a share of Class A common stock, which Class B unit will automatically convert into a Class A unit of Clearway LLC when transferred to Clearway Inc. or use the net proceeds to purchase a Class D unit of Clearway LLC from the CEG Member in the case of the issuance of a share of Class C common stock, which Class D unit will automatically convert into a Class C unit of Clearway LLC when transferred to Clearway Inc.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Clearway LLC purchases a Class B unit or a Class D unit of Clearway LLC from the CEG Member, Clearway Inc. will concurrently redeem and cancel the corresponding share of its Class B common stock or Class D common stock, as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Clearway Inc. issues other classes or series of equity securities, Clearway LLC will issue, and Clearway Inc. will use the net proceeds therefrom to purchase, an equal amount of units with designations, preferences and other rights and terms that are substantially the same as Clearway Inc.’s newly-issued equity securities. Conversely, if Clearway Inc. elects to redeem any shares of its Class A common stock or Class C common stock (or its equity securities of other classes or series) for cash, Clearway LLC will, immediately prior to such redemption, redeem an equal number of Class A units or Class C units (or its units of the corresponding classes or series) held by Clearway Inc. upon the same terms and for the same price, as the shares of Class A common stock or Class C common stock (or equity securities of such other classes or series) so redeemed.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Issuances and Transfer of Units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Class A units and Class C units may only be issued to Clearway Inc., as the sole managing member of Clearway LLC, and are non-transferable except upon redemption by Clearway LLC. Class B units and Class D units may only be issued to the CEG Member. Class B units and Class D units may not be transferred without our consent, which may not be unreasonably withheld, conditioned or delayed, except the CEG Member may transfer Class B units or Class D units to its direct or indirect limited partners or other equityholders and to a permitted transferee (including an affiliate) without our consent. The CEG Member may not transfer any Class B units or Class D units to any person unless the CEG Member transfers an equal number of shares of our Class B common stock or Class D common stock, as applicable, to the same transferee.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Amended and Restated Exchange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an amended and restated exchange agreement pursuant to which CEG (as successor-in-interest to NRG Energy, Inc.) (and certain permitted assignees and permitted transferees who acquire Class B units or Class D units of Clearway LLC) may from time to time cause Clearway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Clearway LLC to exchange Class B or Class D units if Clearway LLC determines that such exchange would be prohibited by law or regulation or would violate other agreements to which Clearway Inc. may be subject, and Clearway Inc. may impose additional restrictions on exchange that it determines necessary or advisable so that Clearway LLC is not treated as a “publicly traded partnership” for U.S. federal income tax purposes.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CEG or its permitted transferee exchanges a Class B unit of Clearway LLC for a share of our Class A common stock, we will automatically redeem and cancel a corresponding share of our Class B common stock and the Class B unit will automatically convert into a Class A unit when issued to Clearway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6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 Similarly, when CEG or its permitted transferee exchanges a Class D unit of Clearway LLC for a share of our Class C common stock, we will automatically redeem and cancel a corresponding share of our Class D common stock and the Class D unit will automatically convert into a Class C unit when issued to Clearway Inc. As a result, when a holder exchanges its Class B units for shares of our Class A common stock, or its Class D units for shares of our Class C common stock, our interest in Clearway LLC will be correspondingly increased. We have reserved for issuance 42,738,750 shares of our Class A common stock, which is the aggregate number of shares of Class A common stock expected to be issued over time upon the exchange of all Class B units of Clearway LLC currently outstanding, and 42,738,750 shares of our Class C common stock, which is the aggregate number of shares of Class C common stock expected to be issued over time upon the exchange of all Class D units of Clearway LLC currently outstanding.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and Exculpation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permitted by applicable law, Clearway LLC will indemnify us,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authorized officers and other employees and agents will not be liable to Clearway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Amended and Restated Registration Rights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entered into an amended and restated registration rights agreement with CEG (as successor-in-interest to NRG Energy, Inc.), pursuant to which CEG and its affiliates will be entitled to demand registration rights, including the right to demand that a shelf registration statement be filed, and “piggyback” registration rights, for shares of our Class A common stock that are issuable upon exchange of Class B units of Clearway LLC that CEG owns, and for shares of our Class C common stock that are issuable upon exchange of Class D units of Clearway LLC that CEG owns.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D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secured or unsecured debt securities, which may be convertible or non-convertible. Our debt securities will be issued under an indenture to be entered into between us and Delaware Trust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aggregate principal amount of debt securities that may be issued under the indenture is unlimited. The debt securities may be issued in one or more series as may be authorized from time to time.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 is made to the applicable prospectus supplement for the following terms of the debt securities (if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title and aggregate principal amount;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securities will be senior or subordinated; </w:t>
      </w:r>
      <w:r>
        <mc:AlternateContent>
          <mc:Choice Requires="wps">
            <w:drawing>
              <wp:anchor behindDoc="0" distT="6985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applicable subordination provisions, if any; </w:t>
      </w:r>
      <w:r>
        <mc:AlternateContent>
          <mc:Choice Requires="wps">
            <w:drawing>
              <wp:anchor behindDoc="0" distT="6985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entitled to the benefits of any form of guarantee; </w:t>
      </w:r>
      <w:r>
        <mc:AlternateContent>
          <mc:Choice Requires="wps">
            <w:drawing>
              <wp:anchor behindDoc="0" distT="6985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into other securities; </w:t>
      </w:r>
      <w:r>
        <mc:AlternateContent>
          <mc:Choice Requires="wps">
            <w:drawing>
              <wp:anchor behindDoc="0" distT="6985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securities issued by us will be secured or unsecured, and if secured, what the collateral will consist of; </w:t>
      </w:r>
      <w:r>
        <mc:AlternateContent>
          <mc:Choice Requires="wps">
            <w:drawing>
              <wp:anchor behindDoc="0" distT="6985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percentage or percentages of principal amount at which such securities will be issued; </w:t>
      </w:r>
      <w:r>
        <mc:AlternateContent>
          <mc:Choice Requires="wps">
            <w:drawing>
              <wp:anchor behindDoc="0" distT="6985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maturity date(s); </w:t>
      </w:r>
      <w:r>
        <mc:AlternateContent>
          <mc:Choice Requires="wps">
            <w:drawing>
              <wp:anchor behindDoc="0" distT="6985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rate(s) or the method for determining the interest rate(s); </w:t>
      </w:r>
      <w:r>
        <mc:AlternateContent>
          <mc:Choice Requires="wps">
            <w:drawing>
              <wp:anchor behindDoc="0" distT="6985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dates on which interest will accrue or the method for determining dates on which interest will accrue and dates on which interest will be payable; </w:t>
      </w:r>
      <w:r>
        <mc:AlternateContent>
          <mc:Choice Requires="wps">
            <w:drawing>
              <wp:anchor behindDoc="0" distT="6985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redemption (including upon a “change of control”) or early repayment provisions; </w:t>
      </w:r>
      <w:r>
        <mc:AlternateContent>
          <mc:Choice Requires="wps">
            <w:drawing>
              <wp:anchor behindDoc="0" distT="6985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authorized denominations; </w:t>
      </w:r>
      <w:r>
        <mc:AlternateContent>
          <mc:Choice Requires="wps">
            <w:drawing>
              <wp:anchor behindDoc="0" distT="6985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 </w:t>
      </w:r>
      <w:r>
        <mc:AlternateContent>
          <mc:Choice Requires="wps">
            <w:drawing>
              <wp:anchor behindDoc="0" distT="6985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amount of discount or premium, if any, with which such securities will be issued; </w:t>
      </w:r>
      <w:r>
        <mc:AlternateContent>
          <mc:Choice Requires="wps">
            <w:drawing>
              <wp:anchor behindDoc="0" distT="6985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such securities will be issued in whole or in part in the form of one or more global securities; </w:t>
      </w:r>
      <w:r>
        <mc:AlternateContent>
          <mc:Choice Requires="wps">
            <w:drawing>
              <wp:anchor behindDoc="0" distT="6985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identity of the depositary for global securities; </w:t>
      </w:r>
      <w:r>
        <mc:AlternateContent>
          <mc:Choice Requires="wps">
            <w:drawing>
              <wp:anchor behindDoc="0" distT="6985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 temporary security is to be issued with respect to such series and whether any interest payable prior to the issuance of definitive securities of the series will be credited to the account of the persons entitled thereto; </w:t>
      </w:r>
      <w:r>
        <mc:AlternateContent>
          <mc:Choice Requires="wps">
            <w:drawing>
              <wp:anchor behindDoc="0" distT="6985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upon which beneficial interests in a temporary global security may be exchanged in whole or in part for beneficial interests in a definitive global security or for individual definitive securities; </w:t>
      </w:r>
      <w:r>
        <mc:AlternateContent>
          <mc:Choice Requires="wps">
            <w:drawing>
              <wp:anchor behindDoc="0" distT="6858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conversion or exchange features; </w:t>
      </w:r>
      <w:r>
        <mc:AlternateContent>
          <mc:Choice Requires="wps">
            <w:drawing>
              <wp:anchor behindDoc="0" distT="6858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covenants applicable to the particular debt securities being issued; </w:t>
      </w:r>
      <w:r>
        <mc:AlternateContent>
          <mc:Choice Requires="wps">
            <w:drawing>
              <wp:anchor behindDoc="0" distT="6858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defaults and events of default applicable to the particular debt securities being issued; </w:t>
      </w:r>
      <w:r>
        <mc:AlternateContent>
          <mc:Choice Requires="wps">
            <w:drawing>
              <wp:anchor behindDoc="0" distT="6858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currencies or currency units in which the purchase price for, the principal of and any premium and any interest on, such securities will be payable; </w:t>
      </w:r>
      <w:r>
        <mc:AlternateContent>
          <mc:Choice Requires="wps">
            <w:drawing>
              <wp:anchor behindDoc="0" distT="6858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4pt;mso-wrap-distance-bottom:0pt;margin-top:5.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period within which, the manner in which and the terms and conditions upon which the purchaser of the securities can select the payment currency; </w:t>
      </w:r>
      <w:r>
        <mc:AlternateContent>
          <mc:Choice Requires="wps">
            <w:drawing>
              <wp:anchor behindDoc="0" distT="0" distB="0" distL="254000" distR="0" simplePos="0" locked="0" layoutInCell="1" allowOverlap="1" relativeHeight="56">
                <wp:simplePos x="0" y="0"/>
                <wp:positionH relativeFrom="column">
                  <wp:align>left</wp:align>
                </wp:positionH>
                <wp:positionV relativeFrom="line">
                  <wp:posOffset>635</wp:posOffset>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exchange(s) on which the securities will be listed, if any; </w:t>
      </w:r>
      <w:r>
        <mc:AlternateContent>
          <mc:Choice Requires="wps">
            <w:drawing>
              <wp:anchor behindDoc="0" distT="7620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any underwriter(s) will act as market maker(s) for the securities; </w:t>
      </w:r>
      <w:r>
        <mc:AlternateContent>
          <mc:Choice Requires="wps">
            <w:drawing>
              <wp:anchor behindDoc="0" distT="7620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extent to which a secondary market for the securities is expected to develop;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and interest with respect to such securities to be due and payable;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covenant defeasance and legal defeasance;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satisfaction and discharge of the indenture;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relating to the modification of the indenture both with and without the consent of holders of debt securities issued under the indenture; and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terms not inconsistent with the provisions of the indenture.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United States federal income tax consequences and special considerations, if any, applicable to any such series will be described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 “debt securities” includes debt securities denominated in U.S. dollars or, if specified in the applicable prospectus supplement, in any other freely transferable currency or units based on or relating to foreign currencies.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 </w:t>
      </w:r>
    </w:p>
    <w:p>
      <w:pPr>
        <w:pStyle w:val="TextBody"/>
        <w:bidi w:val="0"/>
        <w:spacing w:lineRule="atLeast" w:line="240" w:before="10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 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6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construed in accordance with and governed by the laws of the State of New York, without giving effect to the principles thereof relating to conflicts of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POD"/>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Initial Offering and Sale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whom we designate may solicit offers to purchase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required, we will name any agent involved in offering or selling securities, and disclose any commissions that we will pay to the agent, in the applicable prospectus supplement. </w:t>
      </w:r>
      <w:r>
        <mc:AlternateContent>
          <mc:Choice Requires="wps">
            <w:drawing>
              <wp:anchor behindDoc="0" distT="7493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indicate otherwise in the applicable prospectus supplement, agents will act on a best efforts basis for the period of their appointment. </w:t>
      </w:r>
      <w:r>
        <mc:AlternateContent>
          <mc:Choice Requires="wps">
            <w:drawing>
              <wp:anchor behindDoc="0" distT="7493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Agents may be deemed to be underwriters under the Securities Act, of any of the securities that they offer or sell. </w:t>
      </w:r>
      <w:r>
        <mc:AlternateContent>
          <mc:Choice Requires="wps">
            <w:drawing>
              <wp:anchor behindDoc="0" distT="7493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an underwriter or underwriters in the offer or sale of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an underwriter or underwriters, we will execute an underwriting agreement with the underwriter or underwriters at the time that we reach an agreement for the sale of the securities.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 </w:t>
      </w:r>
      <w:r>
        <mc:AlternateContent>
          <mc:Choice Requires="wps">
            <w:drawing>
              <wp:anchor behindDoc="0" distT="7493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will use the applicable prospectus supplement, together with this prospectus, to sell the securities. </w:t>
      </w:r>
      <w:r>
        <mc:AlternateContent>
          <mc:Choice Requires="wps">
            <w:drawing>
              <wp:anchor behindDoc="0" distT="7493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use a dealer to sell the securities.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a dealer, we will sell the securities to the dealer, as principal. </w:t>
      </w:r>
      <w:r>
        <mc:AlternateContent>
          <mc:Choice Requires="wps">
            <w:drawing>
              <wp:anchor behindDoc="0" distT="7493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dealer will then sell the securities to the public at varying prices that the dealer will determine at the time it sells the securities.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include the name of the dealer and the terms of the transactions with the dealer in the applicable prospectus supplement.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solicit directly offers to purchase the securities, and we may directly sell the securities to institutional or other investors. We will describe the terms of direct sales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engage in “at the market offerings” within the meaning of Rule 415(a)(4) of the Securities Act, to or through a market maker or into an existing trading market on an exchange or otherwise.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indemnify agents, underwriters, dealers and remarketing firms against certain liabilities, including liabilities under the Securities Act. Agents, underwriters, dealers and remarketing firms, or their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affiliates, may be customers of, engage in transactions with or perform services for us or our respective affiliates,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and underwriters to solicit offers by certain institutions to purchase the securities at the public offering price under delayed delivery contracts.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use delayed delivery contracts, we will disclose that we are using them in the prospectus supplement and will tell you when we will demand payment and delivery of the securities under the delayed delivery contracts. </w:t>
      </w:r>
      <w:r>
        <mc:AlternateContent>
          <mc:Choice Requires="wps">
            <w:drawing>
              <wp:anchor behindDoc="0" distT="7620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delayed delivery contracts will be subject only to the conditions that we describe in the prospectus supplement. </w:t>
      </w:r>
      <w:r>
        <mc:AlternateContent>
          <mc:Choice Requires="wps">
            <w:drawing>
              <wp:anchor behindDoc="0" distT="7620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commission that underwriters and agents soliciting purchases of the securities under delayed contracts will be entitled to receive. </w:t>
      </w:r>
      <w:r>
        <mc:AlternateContent>
          <mc:Choice Requires="wps">
            <w:drawing>
              <wp:anchor behindDoc="0" distT="7620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agent or dealer that is a Financial Industry Regulatory Authority member is not permitted to sell securities in an offering to accounts over which it exercises discretionary authority without the prior specific written approval of its customer.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shares of our common stock under a direct stock purchase and dividend reinvestment plan to be established after the date of this prospectus. The terms of any such plan will be set forth in the applicable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LEMA"/>
      <w:bookmarkEnd w:id="11"/>
      <w:r>
        <w:rPr>
          <w:rFonts w:ascii="calibri;arial;sans-serif" w:hAnsi="calibri;arial;sans-serif"/>
          <w:b w:val="false"/>
          <w:i w:val="false"/>
          <w:caps w:val="false"/>
          <w:smallCaps w:val="false"/>
          <w:color w:val="000000"/>
          <w:sz w:val="16"/>
        </w:rPr>
        <w:t>​</w:t>
      </w:r>
      <w:bookmarkStart w:id="12" w:name="tEXP"/>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the applicable prospectus supplement, the validity of the securities that may be offered hereby will be passed upon for us by Baker Botts L.L.P., Dallas, Texas. If legal matters in connection with the offering made by this prospectus are passed on by counsel for the underwriters, dealers or agents, if any, that counsel will be named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Clearway Energy, Inc. appearing in Clearway Energy, Inc.’s Annual Report (Form 10-K) for the year ended December 31, 2022, and the effectiveness of Clearway Energy, Inc.’s internal control over financial reporting as of December 31, 2022, have been audited by 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Clearway Energy, Inc for the year ended December 31, 2020 have been incorporated by reference herein and in the prospectus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IBRO"/>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9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BY REFERENCE OF CERTAIN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including the portions of these documents that are either (1) described in paragraph (e) of Item 201 of Regulation S-K or paragraphs (d)(1)-(3) and (e)(5) of Item 407 of Regulation S-K promulgated by the SEC or (2) furnished under Item 2.02 or Item 7.01 of a Current Report on Form 8-K) are incorporated by reference herein: </w:t>
      </w:r>
    </w:p>
    <w:p>
      <w:pPr>
        <w:pStyle w:val="TextBody"/>
        <w:bidi w:val="0"/>
        <w:spacing w:lineRule="atLeast" w:line="240" w:before="120" w:after="0"/>
        <w:ind w:left="1993" w:right="0" w:hanging="0"/>
        <w:jc w:val="left"/>
        <w:rPr/>
      </w:pPr>
      <w:hyperlink r:id="rId3">
        <w:r>
          <w:rPr>
            <w:rStyle w:val="InternetLink"/>
          </w:rPr>
          <w:t>Our Annual Report on Form 10-K for the year ended December 31, 2022, filed on February 23,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from our </w:t>
      </w:r>
      <w:hyperlink r:id="rId4">
        <w:r>
          <w:rPr>
            <w:rStyle w:val="InternetLink"/>
          </w:rPr>
          <w:t>definitive proxy statement on Schedule 14A, filed on March 17,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5">
        <w:r>
          <w:rPr>
            <w:rStyle w:val="InternetLink"/>
          </w:rPr>
          <w:t>Our Quarterly Report on Form 10-Q for the quarterly period ended March 31, 2023, filed on May 4,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6">
        <w:r>
          <w:rPr>
            <w:rStyle w:val="InternetLink"/>
          </w:rPr>
          <w:t>Our Quarterly Report on Form 10-Q for the quarterly period ended June 30, 2023, filed on August 8,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on </w:t>
      </w:r>
      <w:hyperlink r:id="rId7">
        <w:r>
          <w:rPr>
            <w:rStyle w:val="InternetLink"/>
          </w:rPr>
          <w:t>February 21, 2023</w:t>
        </w:r>
      </w:hyperlink>
      <w:r>
        <w:rPr>
          <w:rFonts w:ascii="Times New Roman;Times;serif" w:hAnsi="Times New Roman;Times;serif"/>
          <w:b w:val="false"/>
          <w:i w:val="false"/>
          <w:caps w:val="false"/>
          <w:smallCaps w:val="false"/>
          <w:color w:val="000000"/>
          <w:spacing w:val="4"/>
          <w:sz w:val="20"/>
        </w:rPr>
        <w:t xml:space="preserve">, </w:t>
      </w:r>
      <w:hyperlink r:id="rId8">
        <w:r>
          <w:rPr>
            <w:rStyle w:val="InternetLink"/>
          </w:rPr>
          <w:t>March 20, 2023</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April 17, 2023</w:t>
        </w:r>
      </w:hyperlink>
      <w:r>
        <w:rPr>
          <w:rFonts w:ascii="Times New Roman;Times;serif" w:hAnsi="Times New Roman;Times;serif"/>
          <w:b w:val="false"/>
          <w:i w:val="false"/>
          <w:caps w:val="false"/>
          <w:smallCaps w:val="false"/>
          <w:color w:val="000000"/>
          <w:spacing w:val="4"/>
          <w:sz w:val="20"/>
        </w:rPr>
        <w:t xml:space="preserve">, </w:t>
      </w:r>
      <w:hyperlink r:id="rId10">
        <w:r>
          <w:rPr>
            <w:rStyle w:val="InternetLink"/>
          </w:rPr>
          <w:t>May 1, 2023</w:t>
        </w:r>
      </w:hyperlink>
      <w:r>
        <w:rPr>
          <w:rFonts w:ascii="Times New Roman;Times;serif" w:hAnsi="Times New Roman;Times;serif"/>
          <w:b w:val="false"/>
          <w:i w:val="false"/>
          <w:caps w:val="false"/>
          <w:smallCaps w:val="false"/>
          <w:color w:val="000000"/>
          <w:spacing w:val="4"/>
          <w:sz w:val="20"/>
        </w:rPr>
        <w:t xml:space="preserve"> and </w:t>
      </w:r>
      <w:hyperlink r:id="rId11">
        <w:r>
          <w:rPr>
            <w:rStyle w:val="InternetLink"/>
          </w:rPr>
          <w:t>May 24, 2023</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hyperlink r:id="rId12">
        <w:r>
          <w:rPr>
            <w:rStyle w:val="InternetLink"/>
          </w:rPr>
          <w:t>The description of our Class A common stock and our Class C common stock contained in the Registration Statement on Form 8-A/A filed with the SEC on May 8, 2015, to register such securities under the Exchange Act including any amendment or report filed for the purpose of updating such description.</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spacing w:val="4"/>
                              </w:rPr>
                            </w:pPr>
                            <w:r>
                              <w:rPr>
                                <w:spacing w:val="4"/>
                              </w:rPr>
                              <w:t xml:space="preserve">• </w:t>
                            </w:r>
                            <w:r>
                              <w:rPr>
                                <w:spacing w:val="4"/>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spacing w:val="4"/>
                        </w:rPr>
                      </w:pPr>
                      <w:r>
                        <w:rPr>
                          <w:spacing w:val="4"/>
                        </w:rPr>
                        <w:t xml:space="preserve">• </w:t>
                      </w:r>
                      <w:r>
                        <w:rPr>
                          <w:spacing w:val="4"/>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You may obtain any of the documents incorporated by reference from the SEC through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You may also request a copy of any document incorporated by reference in this prospectus (including exhibits to those documents specifically incorporated by reference in this prospectus), at no cost, by visiting our website at </w:t>
      </w:r>
      <w:r>
        <w:rPr>
          <w:rFonts w:ascii="Times New Roman;Times;serif" w:hAnsi="Times New Roman;Times;serif"/>
          <w:b w:val="false"/>
          <w:i/>
          <w:caps w:val="false"/>
          <w:smallCaps w:val="false"/>
          <w:color w:val="000000"/>
          <w:spacing w:val="4"/>
          <w:sz w:val="20"/>
        </w:rPr>
        <w:t>www.clearwayenergy.com</w:t>
      </w:r>
      <w:r>
        <w:rPr>
          <w:rFonts w:ascii="Times New Roman;Times;serif" w:hAnsi="Times New Roman;Times;serif"/>
          <w:b w:val="false"/>
          <w:i w:val="false"/>
          <w:caps w:val="false"/>
          <w:smallCaps w:val="false"/>
          <w:color w:val="000000"/>
          <w:spacing w:val="4"/>
          <w:sz w:val="20"/>
        </w:rPr>
        <w:t xml:space="preserve">, or by writing or calling us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Clearway Energy,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300 Carnegie Center, Suite 300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Princeton, NJ 08540</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(609) 608-1525</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Attention: Corporate Secretary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WYC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0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our filings with the SEC that are filed or furnished pursuant to section 13(a) or 15(d) of the Exchange Act are available free of charge through the “Investor Relations” section of our website, http://www.clearwayenergy.com,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PART II </w:t>
      </w:r>
    </w:p>
    <w:p>
      <w:pPr>
        <w:pStyle w:val="TextBody"/>
        <w:bidi w:val="0"/>
        <w:spacing w:lineRule="atLeast" w:line="240" w:before="12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is a statement of the estimated expenses (other than underwriting discounts and commissions), to be paid solely by the registrant, in connection with the issuance and distribution of the securities being registered hereby: </w:t>
      </w:r>
    </w:p>
    <w:tbl>
      <w:tblPr>
        <w:tblW w:w="4952" w:type="dxa"/>
        <w:jc w:val="left"/>
        <w:tblInd w:w="1393" w:type="dxa"/>
        <w:tblLayout w:type="fixed"/>
        <w:tblCellMar>
          <w:top w:w="0" w:type="dxa"/>
          <w:left w:w="0" w:type="dxa"/>
          <w:bottom w:w="28" w:type="dxa"/>
          <w:right w:w="0" w:type="dxa"/>
        </w:tblCellMar>
      </w:tblPr>
      <w:tblGrid>
        <w:gridCol w:w="3130"/>
        <w:gridCol w:w="109"/>
        <w:gridCol w:w="109"/>
        <w:gridCol w:w="109"/>
        <w:gridCol w:w="226"/>
        <w:gridCol w:w="100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5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Amount to</w:t>
            </w:r>
            <w:r>
              <w:rPr/>
              <w:t xml:space="preserve"> </w:t>
              <w:br/>
            </w:r>
            <w:r>
              <w:rPr>
                <w:spacing w:val="-3"/>
              </w:rPr>
              <w:t xml:space="preserve">be Paid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Stock exchange listing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Blue sky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Printing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Rating agency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006" w:type="dxa"/>
            <w:tcBorders/>
            <w:shd w:fill="CCEEFF" w:val="clear"/>
            <w:tcMar>
              <w:bottom w:w="0" w:type="dxa"/>
            </w:tcMar>
            <w:vAlign w:val="center"/>
          </w:tcPr>
          <w:p>
            <w:pPr>
              <w:pStyle w:val="TableContents"/>
              <w:bidi w:val="0"/>
              <w:spacing w:before="0" w:after="283"/>
              <w:jc w:val="right"/>
              <w:rPr/>
            </w:pPr>
            <w:r>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Trustee’s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Miscellaneous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0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ind w:left="200" w:right="0" w:hanging="0"/>
              <w:jc w:val="left"/>
              <w:rPr>
                <w:spacing w:val="4"/>
              </w:rPr>
            </w:pPr>
            <w:r>
              <w:rPr>
                <w:spacing w:val="4"/>
              </w:rPr>
              <w:t xml:space="preserve">Total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006" w:type="dxa"/>
            <w:tcBorders/>
            <w:tcMar>
              <w:bottom w:w="0" w:type="dxa"/>
            </w:tcMar>
            <w:vAlign w:val="center"/>
          </w:tcPr>
          <w:p>
            <w:pPr>
              <w:pStyle w:val="TableContents"/>
              <w:bidi w:val="0"/>
              <w:spacing w:before="0" w:after="283"/>
              <w:jc w:val="right"/>
              <w:rPr/>
            </w:pPr>
            <w:r>
              <w:rPr/>
              <w: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Rules 456(b) and 457(r), we are deferring payment of the registration fee. </w:t>
      </w:r>
      <w:r>
        <mc:AlternateContent>
          <mc:Choice Requires="wps">
            <w:drawing>
              <wp:anchor behindDoc="0" distT="97790" distB="0" distL="0" distR="0" simplePos="0" locked="0" layoutInCell="1" allowOverlap="1" relativeHeight="83">
                <wp:simplePos x="0" y="0"/>
                <wp:positionH relativeFrom="column">
                  <wp:align>left</wp:align>
                </wp:positionH>
                <wp:positionV relativeFrom="line">
                  <wp:align>top</wp:align>
                </wp:positionV>
                <wp:extent cx="254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7pt;mso-wrap-distance-bottom:0pt;margin-top:7.7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The foregoing sets forth the general categories of expenses (other than underwriting discounts and commissions) that we anticipate to incur in connection with the offering of securities under this registration statement. An estimate of the aggregate expenses in connection with the issuance and distribution of the securities being offered will be included in the applicable prospectus supplement. </w:t>
      </w:r>
      <w:r>
        <mc:AlternateContent>
          <mc:Choice Requires="wps">
            <w:drawing>
              <wp:anchor behindDoc="0" distT="46990" distB="0" distL="0" distR="0" simplePos="0" locked="0" layoutInCell="1" allowOverlap="1" relativeHeight="84">
                <wp:simplePos x="0" y="0"/>
                <wp:positionH relativeFrom="column">
                  <wp:align>left</wp:align>
                </wp:positionH>
                <wp:positionV relativeFrom="line">
                  <wp:align>top</wp:align>
                </wp:positionV>
                <wp:extent cx="254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7pt;mso-wrap-distance-bottom:0pt;margin-top:3.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General Corporation Law; Certificate of Incorporation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102(b)(7) of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Certificate of Incorporation provides for this limitation of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such person reasonably believed to be in or not opposed to the corporation’s best interests and, with respect to any criminal action or proceeding, had no reasonable cause to believe that his or her conduct was illegal. A Delaware corporation may indemnify any persons who are, were or are a party to any threatened, pending or completed action or suit by or in the right of the corporation by reason of the fact that such person is or was a director, officer, employee or agent of another corporation or enterprise.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indemnity may include expenses (including attorneys’ fees) actually and reasonably incurred by such person in connection with the defense or settlement of such action or suit, provided such person acted in good faith and in a manner such person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Bylaws provide that we must indemnify our directors and officers to the fullest extent permitted by the DGCL and must also pay expenses incurred in defending any such proceeding in advance of its final disposition upon delivery of an undertaking, by or on behalf of an indemnified person, to repay all amounts so advanced if it should be determined ultimately that such person is not entitled to be indemnified.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indemnification agreements with certain of our executive officers and directors pursuant to which we agree to indemnify such persons against all expenses and liabilities incurred or paid by such person in connection with any proceeding arising from the fact that such person is or was an officer or director of our company, and to advance expenses as incurred by or on behalf of such person in connection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indemnification rights set forth above are not exclusive of any other right which an indemnified person may have or hereafter acquire under any statute, provision of our Certificate of Incorporation, our Bylaws, agreement, vote of stockholders or disinterested directors or otherwise.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Insurance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896"/>
        <w:gridCol w:w="109"/>
        <w:gridCol w:w="109"/>
        <w:gridCol w:w="2985"/>
        <w:gridCol w:w="109"/>
        <w:gridCol w:w="109"/>
        <w:gridCol w:w="4340"/>
        <w:gridCol w:w="155"/>
      </w:tblGrid>
      <w:tr>
        <w:trPr/>
        <w:tc>
          <w:tcPr>
            <w:tcW w:w="896" w:type="dxa"/>
            <w:tcBorders>
              <w:bottom w:val="single" w:sz="2" w:space="0" w:color="000000"/>
            </w:tcBorders>
            <w:vAlign w:val="center"/>
          </w:tcPr>
          <w:p>
            <w:pPr>
              <w:pStyle w:val="TableContents"/>
              <w:bidi w:val="0"/>
              <w:spacing w:before="0" w:after="283"/>
              <w:jc w:val="left"/>
              <w:rPr/>
            </w:pPr>
            <w:r>
              <w:rPr>
                <w:spacing w:val="-3"/>
              </w:rPr>
              <w:t xml:space="preserve">Exhibit </w:t>
            </w:r>
            <w:r>
              <w:rPr/>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985"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340" w:type="dxa"/>
            <w:tcBorders>
              <w:bottom w:val="single" w:sz="2" w:space="0" w:color="000000"/>
            </w:tcBorders>
            <w:vAlign w:val="center"/>
          </w:tcPr>
          <w:p>
            <w:pPr>
              <w:pStyle w:val="TableContents"/>
              <w:bidi w:val="0"/>
              <w:spacing w:before="0" w:after="0"/>
              <w:jc w:val="center"/>
              <w:rPr>
                <w:spacing w:val="-3"/>
              </w:rPr>
            </w:pPr>
            <w:r>
              <w:rPr>
                <w:spacing w:val="-3"/>
              </w:rPr>
              <w:t xml:space="preserve">Method of Filing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96" w:type="dxa"/>
            <w:tcBorders/>
            <w:tcMar>
              <w:bottom w:w="0" w:type="dxa"/>
            </w:tcMar>
            <w:vAlign w:val="center"/>
          </w:tcPr>
          <w:p>
            <w:pPr>
              <w:pStyle w:val="TableContents"/>
              <w:bidi w:val="0"/>
              <w:spacing w:before="0" w:after="283"/>
              <w:ind w:left="2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5"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0"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896" w:type="dxa"/>
            <w:tcBorders/>
            <w:tcMar>
              <w:bottom w:w="0" w:type="dxa"/>
            </w:tcMar>
            <w:vAlign w:val="center"/>
          </w:tcPr>
          <w:p>
            <w:pPr>
              <w:pStyle w:val="TableContents"/>
              <w:bidi w:val="0"/>
              <w:spacing w:before="0" w:after="283"/>
              <w:ind w:left="2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5" w:type="dxa"/>
            <w:tcBorders/>
            <w:tcMar>
              <w:bottom w:w="0" w:type="dxa"/>
            </w:tcMar>
            <w:vAlign w:val="center"/>
          </w:tcPr>
          <w:p>
            <w:pPr>
              <w:pStyle w:val="TableContents"/>
              <w:bidi w:val="0"/>
              <w:spacing w:before="0" w:after="0"/>
              <w:jc w:val="left"/>
              <w:rPr/>
            </w:pPr>
            <w:hyperlink r:id="rId13">
              <w:r>
                <w:rPr>
                  <w:rStyle w:val="InternetLink"/>
                  <w:spacing w:val="4"/>
                </w:rPr>
                <w:t>Amended and Restated Certificate of Incorporation of Clearway Energy, Inc., dated as of May 1, 2020.</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0" w:type="dxa"/>
            <w:tcBorders/>
            <w:tcMar>
              <w:bottom w:w="0" w:type="dxa"/>
            </w:tcMar>
            <w:vAlign w:val="center"/>
          </w:tcPr>
          <w:p>
            <w:pPr>
              <w:pStyle w:val="TableContents"/>
              <w:bidi w:val="0"/>
              <w:spacing w:before="0" w:after="283"/>
              <w:jc w:val="left"/>
              <w:rPr>
                <w:spacing w:val="4"/>
              </w:rPr>
            </w:pPr>
            <w:r>
              <w:rPr>
                <w:spacing w:val="4"/>
              </w:rPr>
              <w:t xml:space="preserve">Incorporated herein by reference to Exhibit 3.1 to the Company’s Current Report on Form 8-K filed on May 4, 2020. </w:t>
            </w:r>
          </w:p>
        </w:tc>
        <w:tc>
          <w:tcPr>
            <w:tcW w:w="155" w:type="dxa"/>
            <w:tcBorders/>
            <w:tcMar>
              <w:bottom w:w="0" w:type="dxa"/>
            </w:tcMar>
            <w:vAlign w:val="center"/>
          </w:tcPr>
          <w:p>
            <w:pPr>
              <w:pStyle w:val="TableContents"/>
              <w:bidi w:val="0"/>
              <w:spacing w:before="0" w:after="283"/>
              <w:jc w:val="left"/>
              <w:rPr/>
            </w:pPr>
            <w:r>
              <w:rPr/>
              <w:t>​</w:t>
            </w:r>
          </w:p>
        </w:tc>
      </w:tr>
      <w:tr>
        <w:trPr/>
        <w:tc>
          <w:tcPr>
            <w:tcW w:w="896" w:type="dxa"/>
            <w:tcBorders/>
            <w:tcMar>
              <w:bottom w:w="0" w:type="dxa"/>
            </w:tcMar>
            <w:vAlign w:val="center"/>
          </w:tcPr>
          <w:p>
            <w:pPr>
              <w:pStyle w:val="TableContents"/>
              <w:bidi w:val="0"/>
              <w:spacing w:before="0" w:after="283"/>
              <w:ind w:left="2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5"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"http://www.sec.gov/Archives/edgar/data/1567683/000110465918055334/a18-24111_1ex3d2.htm" \l "Exhibit3_2_042157"</w:instrText>
            </w:r>
            <w:r>
              <w:rPr>
                <w:rStyle w:val="InternetLink"/>
                <w:spacing w:val="4"/>
              </w:rPr>
              <w:fldChar w:fldCharType="separate"/>
            </w:r>
            <w:r>
              <w:rPr>
                <w:rStyle w:val="InternetLink"/>
                <w:spacing w:val="4"/>
              </w:rPr>
              <w:t>Fourth Amended and Restated Bylaws of Clearway Energy, Inc., dated August 31, 2018.</w:t>
            </w:r>
            <w:r>
              <w:rPr>
                <w:rStyle w:val="InternetLink"/>
                <w:spacing w:val="4"/>
              </w:rPr>
              <w:fldChar w:fldCharType="end"/>
            </w:r>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340" w:type="dxa"/>
            <w:tcBorders/>
            <w:tcMar>
              <w:bottom w:w="0" w:type="dxa"/>
            </w:tcMar>
            <w:vAlign w:val="center"/>
          </w:tcPr>
          <w:p>
            <w:pPr>
              <w:pStyle w:val="TableContents"/>
              <w:bidi w:val="0"/>
              <w:spacing w:before="0" w:after="283"/>
              <w:jc w:val="left"/>
              <w:rPr>
                <w:spacing w:val="4"/>
              </w:rPr>
            </w:pPr>
            <w:r>
              <w:rPr>
                <w:spacing w:val="4"/>
              </w:rPr>
              <w:t xml:space="preserve">Incorporated herein by reference to Exhibit 3.2 to the Company’s Current Report on Form 8-K filed on September 5, 2018.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897"/>
        <w:gridCol w:w="109"/>
        <w:gridCol w:w="109"/>
        <w:gridCol w:w="2862"/>
        <w:gridCol w:w="109"/>
        <w:gridCol w:w="109"/>
        <w:gridCol w:w="4462"/>
        <w:gridCol w:w="155"/>
      </w:tblGrid>
      <w:tr>
        <w:trPr/>
        <w:tc>
          <w:tcPr>
            <w:tcW w:w="897" w:type="dxa"/>
            <w:tcBorders>
              <w:bottom w:val="single" w:sz="2" w:space="0" w:color="000000"/>
            </w:tcBorders>
            <w:vAlign w:val="center"/>
          </w:tcPr>
          <w:p>
            <w:pPr>
              <w:pStyle w:val="TableContents"/>
              <w:bidi w:val="0"/>
              <w:spacing w:before="0" w:after="0"/>
              <w:jc w:val="both"/>
              <w:rPr/>
            </w:pPr>
            <w:r>
              <w:rPr>
                <w:spacing w:val="-3"/>
              </w:rPr>
              <w:t xml:space="preserve">Exhibit </w:t>
            </w:r>
            <w:r>
              <w:rPr/>
              <w:br/>
            </w: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62" w:type="dxa"/>
            <w:tcBorders>
              <w:bottom w:val="single" w:sz="2" w:space="0" w:color="000000"/>
            </w:tcBorders>
            <w:vAlign w:val="center"/>
          </w:tcPr>
          <w:p>
            <w:pPr>
              <w:pStyle w:val="TableContents"/>
              <w:bidi w:val="0"/>
              <w:spacing w:before="0" w:after="0"/>
              <w:jc w:val="center"/>
              <w:rPr>
                <w:spacing w:val="-3"/>
              </w:rPr>
            </w:pPr>
            <w:r>
              <w:rPr>
                <w:spacing w:val="-3"/>
              </w:rPr>
              <w:t xml:space="preserve">Description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62" w:type="dxa"/>
            <w:tcBorders>
              <w:bottom w:val="single" w:sz="2" w:space="0" w:color="000000"/>
            </w:tcBorders>
            <w:vAlign w:val="center"/>
          </w:tcPr>
          <w:p>
            <w:pPr>
              <w:pStyle w:val="TableContents"/>
              <w:bidi w:val="0"/>
              <w:spacing w:before="0" w:after="0"/>
              <w:jc w:val="center"/>
              <w:rPr>
                <w:spacing w:val="-3"/>
              </w:rPr>
            </w:pPr>
            <w:r>
              <w:rPr>
                <w:spacing w:val="-3"/>
              </w:rPr>
              <w:t xml:space="preserve">Method of Filing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r:id="rId14">
              <w:r>
                <w:rPr>
                  <w:rStyle w:val="InternetLink"/>
                  <w:spacing w:val="4"/>
                </w:rPr>
                <w:t>Form of Specimen Stock Certificate for Class A Common Stock.</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Incorporated by reference to Exhibit 4.1 to NRG Yield, Inc.’s Form 8-A/A filed on May 8, 2015.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r:id="rId15">
              <w:r>
                <w:rPr>
                  <w:rStyle w:val="InternetLink"/>
                  <w:spacing w:val="4"/>
                </w:rPr>
                <w:t>Form of Specimen Stock Certificate for Class C Common Stock.</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Incorporated by reference to Exhibit 4.2 to NRG Yield, Inc.’s Form 8-A/A filed on May 8, 2015.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283"/>
              <w:jc w:val="left"/>
              <w:rPr/>
            </w:pPr>
            <w:hyperlink w:anchor="tm2322934d2_ex4-3.htm">
              <w:r>
                <w:rPr>
                  <w:rStyle w:val="InternetLink"/>
                </w:rPr>
                <w:t xml:space="preserve">Form of Indenture for Debt Securities of Clearway Energy, Inc. (including form of Debt Security).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283"/>
              <w:jc w:val="left"/>
              <w:rPr>
                <w:spacing w:val="4"/>
              </w:rPr>
            </w:pPr>
            <w:r>
              <w:rPr>
                <w:spacing w:val="4"/>
              </w:rPr>
              <w:t xml:space="preserve">Form of Certificate of Designation.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spacing w:val="4"/>
              </w:rPr>
            </w:pPr>
            <w:r>
              <w:rPr>
                <w:spacing w:val="4"/>
              </w:rPr>
              <w:t xml:space="preserve">Form of Specimen Preferred Stock Certificate.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To be filed by an amendment or an exhibit to a document to be incorporated or deemed incorporated by reference to this registration statement, including a Current Report on Form 8-K.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2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w:anchor="tm2322934d2_ex5-1.htm">
              <w:r>
                <w:rPr>
                  <w:rStyle w:val="InternetLink"/>
                  <w:spacing w:val="4"/>
                </w:rPr>
                <w:t>Opinion of Baker Botts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283"/>
              <w:jc w:val="left"/>
              <w:rPr/>
            </w:pPr>
            <w:hyperlink w:anchor="tm2322934d2_ex23-1.htm">
              <w:r>
                <w:rPr>
                  <w:rStyle w:val="InternetLink"/>
                </w:rPr>
                <w:t>Consent of Ernst &amp; Young LLP, independent registered public accounting firm.</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283"/>
              <w:jc w:val="left"/>
              <w:rPr/>
            </w:pPr>
            <w:hyperlink w:anchor="tm2322934d2_ex23-2.htm">
              <w:r>
                <w:rPr>
                  <w:rStyle w:val="InternetLink"/>
                </w:rPr>
                <w:t>Consent of KPMG LLP, independent registered public accounting firm.</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w:anchor="tm2322934d2_ex5-1.htm">
              <w:r>
                <w:rPr>
                  <w:rStyle w:val="InternetLink"/>
                  <w:spacing w:val="4"/>
                </w:rPr>
                <w:t>Consent of Baker Botts L.L.P.</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Included in Exhibit 5.1.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w:anchor="tSIG">
              <w:r>
                <w:rPr>
                  <w:rStyle w:val="InternetLink"/>
                  <w:spacing w:val="4"/>
                </w:rPr>
                <w:t>Powers of Attorney.</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Included on the signature pages hereof.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ind w:left="100" w:right="0" w:hanging="0"/>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w:anchor="tm2322934d2_ex25-1.htm">
              <w:r>
                <w:rPr>
                  <w:rStyle w:val="InternetLink"/>
                  <w:spacing w:val="4"/>
                </w:rPr>
                <w:t>T-1 Statement of Eligibility of Trustee on Form T-1 of Delaware Trust Company.</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spacing w:val="4"/>
              </w:rPr>
            </w:pPr>
            <w:r>
              <w:rPr>
                <w:spacing w:val="4"/>
              </w:rPr>
              <w:t xml:space="preserve">Filed herewith. </w:t>
            </w:r>
          </w:p>
        </w:tc>
        <w:tc>
          <w:tcPr>
            <w:tcW w:w="155" w:type="dxa"/>
            <w:tcBorders/>
            <w:tcMar>
              <w:bottom w:w="0" w:type="dxa"/>
            </w:tcMar>
            <w:vAlign w:val="center"/>
          </w:tcPr>
          <w:p>
            <w:pPr>
              <w:pStyle w:val="TableContents"/>
              <w:bidi w:val="0"/>
              <w:spacing w:before="0" w:after="283"/>
              <w:jc w:val="left"/>
              <w:rPr/>
            </w:pPr>
            <w:r>
              <w:rPr/>
              <w:t>​</w:t>
            </w:r>
          </w:p>
        </w:tc>
      </w:tr>
      <w:tr>
        <w:trPr/>
        <w:tc>
          <w:tcPr>
            <w:tcW w:w="897"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62" w:type="dxa"/>
            <w:tcBorders/>
            <w:tcMar>
              <w:bottom w:w="0" w:type="dxa"/>
            </w:tcMar>
            <w:vAlign w:val="center"/>
          </w:tcPr>
          <w:p>
            <w:pPr>
              <w:pStyle w:val="TableContents"/>
              <w:bidi w:val="0"/>
              <w:spacing w:before="0" w:after="0"/>
              <w:jc w:val="left"/>
              <w:rPr/>
            </w:pPr>
            <w:hyperlink w:anchor="tm2322934d2_ex-filingfees.htm">
              <w:r>
                <w:rPr>
                  <w:rStyle w:val="InternetLink"/>
                  <w:spacing w:val="4"/>
                </w:rPr>
                <w:t>Filing Fee Table.</w:t>
              </w:r>
            </w:hyperlink>
            <w:r>
              <w:rPr>
                <w:spacing w:val="4"/>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62" w:type="dxa"/>
            <w:tcBorders/>
            <w:tcMar>
              <w:bottom w:w="0" w:type="dxa"/>
            </w:tcMar>
            <w:vAlign w:val="center"/>
          </w:tcPr>
          <w:p>
            <w:pPr>
              <w:pStyle w:val="TableContents"/>
              <w:bidi w:val="0"/>
              <w:spacing w:before="0" w:after="283"/>
              <w:jc w:val="left"/>
              <w:rPr/>
            </w:pPr>
            <w:r>
              <w:rPr>
                <w:spacing w:val="4"/>
              </w:rPr>
              <w:t>Filed herewith</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37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4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r>
        <mc:AlternateContent>
          <mc:Choice Requires="wps">
            <w:drawing>
              <wp:anchor behindDoc="0" distT="88900" distB="0" distL="0" distR="0" simplePos="0" locked="0" layoutInCell="1" allowOverlap="1" relativeHeight="85">
                <wp:simplePos x="0" y="0"/>
                <wp:positionH relativeFrom="column">
                  <wp:align>left</wp:align>
                </wp:positionH>
                <wp:positionV relativeFrom="line">
                  <wp:align>top</wp:align>
                </wp:positionV>
                <wp:extent cx="254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pt;mso-wrap-distance-bottom:0pt;margin-top:7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file, during any period in which offers or sales are being made, a post-effective amendment to this registration statement: </w:t>
      </w:r>
      <w:r>
        <mc:AlternateContent>
          <mc:Choice Requires="wps">
            <w:drawing>
              <wp:anchor behindDoc="0" distT="88900" distB="0" distL="254000" distR="0" simplePos="0" locked="0" layoutInCell="1" allowOverlap="1" relativeHeight="86">
                <wp:simplePos x="0" y="0"/>
                <wp:positionH relativeFrom="column">
                  <wp:align>left</wp:align>
                </wp:positionH>
                <wp:positionV relativeFrom="line">
                  <wp:align>top</wp:align>
                </wp:positionV>
                <wp:extent cx="254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prospectus required by Section 10(a)(3) of the Securities Act; </w:t>
      </w:r>
      <w:r>
        <mc:AlternateContent>
          <mc:Choice Requires="wps">
            <w:drawing>
              <wp:anchor behindDoc="0" distT="88900" distB="0" distL="508000" distR="0" simplePos="0" locked="0" layoutInCell="1" allowOverlap="1" relativeHeight="87">
                <wp:simplePos x="0" y="0"/>
                <wp:positionH relativeFrom="column">
                  <wp:align>left</wp:align>
                </wp:positionH>
                <wp:positionV relativeFrom="line">
                  <wp:align>top</wp:align>
                </wp:positionV>
                <wp:extent cx="254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 </w:t>
      </w:r>
      <w:r>
        <mc:AlternateContent>
          <mc:Choice Requires="wps">
            <w:drawing>
              <wp:anchor behindDoc="0" distT="88900" distB="0" distL="508000" distR="0" simplePos="0" locked="0" layoutInCell="1" allowOverlap="1" relativeHeight="88">
                <wp:simplePos x="0" y="0"/>
                <wp:positionH relativeFrom="column">
                  <wp:align>left</wp:align>
                </wp:positionH>
                <wp:positionV relativeFrom="line">
                  <wp:align>top</wp:align>
                </wp:positionV>
                <wp:extent cx="254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include any material information with respect to the plan of distribution not previously disclosed in the registration statement or any material change to such information in the registration statement; </w:t>
      </w:r>
      <w:r>
        <mc:AlternateContent>
          <mc:Choice Requires="wps">
            <w:drawing>
              <wp:anchor behindDoc="0" distT="88900" distB="0" distL="508000" distR="0" simplePos="0" locked="0" layoutInCell="1" allowOverlap="1" relativeHeight="89">
                <wp:simplePos x="0" y="0"/>
                <wp:positionH relativeFrom="column">
                  <wp:align>left</wp:align>
                </wp:positionH>
                <wp:positionV relativeFrom="line">
                  <wp:align>top</wp:align>
                </wp:positionV>
                <wp:extent cx="254000" cy="525780"/>
                <wp:effectExtent l="0" t="0" r="0" b="0"/>
                <wp:wrapSquare wrapText="right"/>
                <wp:docPr id="84" name="Frame8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pt;mso-wrap-distance-bottom:0pt;margin-top: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w:t>
      </w:r>
      <w:r>
        <mc:AlternateContent>
          <mc:Choice Requires="wps">
            <w:drawing>
              <wp:anchor behindDoc="0" distT="97790" distB="0" distL="254000" distR="0" simplePos="0" locked="0" layoutInCell="1" allowOverlap="1" relativeHeight="90">
                <wp:simplePos x="0" y="0"/>
                <wp:positionH relativeFrom="column">
                  <wp:align>left</wp:align>
                </wp:positionH>
                <wp:positionV relativeFrom="line">
                  <wp:align>top</wp:align>
                </wp:positionV>
                <wp:extent cx="254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remove from registration by means of a post-effective amendment any of the securities being registered which remain unsold at the termination of the offering. </w:t>
      </w:r>
      <w:r>
        <mc:AlternateContent>
          <mc:Choice Requires="wps">
            <w:drawing>
              <wp:anchor behindDoc="0" distT="97790" distB="0" distL="254000" distR="0" simplePos="0" locked="0" layoutInCell="1" allowOverlap="1" relativeHeight="91">
                <wp:simplePos x="0" y="0"/>
                <wp:positionH relativeFrom="column">
                  <wp:align>left</wp:align>
                </wp:positionH>
                <wp:positionV relativeFrom="line">
                  <wp:align>top</wp:align>
                </wp:positionV>
                <wp:extent cx="254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under the Securities Act to any purchaser: </w:t>
      </w:r>
      <w:r>
        <mc:AlternateContent>
          <mc:Choice Requires="wps">
            <w:drawing>
              <wp:anchor behindDoc="0" distT="97790" distB="0" distL="254000" distR="0" simplePos="0" locked="0" layoutInCell="1" allowOverlap="1" relativeHeight="92">
                <wp:simplePos x="0" y="0"/>
                <wp:positionH relativeFrom="column">
                  <wp:align>left</wp:align>
                </wp:positionH>
                <wp:positionV relativeFrom="line">
                  <wp:align>top</wp:align>
                </wp:positionV>
                <wp:extent cx="254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filed by the registrant pursuant to Rule 424(b)(3) shall be deemed to be part of the registration statement as of the date the filed prospectus was deemed part of and included in the registration statement; and </w:t>
      </w:r>
      <w:r>
        <mc:AlternateContent>
          <mc:Choice Requires="wps">
            <w:drawing>
              <wp:anchor behindDoc="0" distT="97790" distB="0" distL="508000" distR="0" simplePos="0" locked="0" layoutInCell="1" allowOverlap="1" relativeHeight="93">
                <wp:simplePos x="0" y="0"/>
                <wp:positionH relativeFrom="column">
                  <wp:align>left</wp:align>
                </wp:positionH>
                <wp:positionV relativeFrom="line">
                  <wp:align>top</wp:align>
                </wp:positionV>
                <wp:extent cx="254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7pt;mso-wrap-distance-bottom:0pt;margin-top:7.7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r>
        <mc:AlternateContent>
          <mc:Choice Requires="wps">
            <w:drawing>
              <wp:anchor behindDoc="0" distT="99060" distB="0" distL="508000" distR="0" simplePos="0" locked="0" layoutInCell="1" allowOverlap="1" relativeHeight="94">
                <wp:simplePos x="0" y="0"/>
                <wp:positionH relativeFrom="column">
                  <wp:align>left</wp:align>
                </wp:positionH>
                <wp:positionV relativeFrom="line">
                  <wp:align>top</wp:align>
                </wp:positionV>
                <wp:extent cx="254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to sold to such purchaser by means of any of the following communications, the undersigned registrant will be a seller to the purchaser and will be considered to offer or sell such securities to such purchaser: </w:t>
      </w:r>
      <w:r>
        <mc:AlternateContent>
          <mc:Choice Requires="wps">
            <w:drawing>
              <wp:anchor behindDoc="0" distT="99060" distB="0" distL="254000" distR="0" simplePos="0" locked="0" layoutInCell="1" allowOverlap="1" relativeHeight="95">
                <wp:simplePos x="0" y="0"/>
                <wp:positionH relativeFrom="column">
                  <wp:align>left</wp:align>
                </wp:positionH>
                <wp:positionV relativeFrom="line">
                  <wp:align>top</wp:align>
                </wp:positionV>
                <wp:extent cx="254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preliminary prospectus or prospectus of the undersigned registrant relating to the offering required to be filed pursuant to Rule 424; </w:t>
      </w:r>
      <w:r>
        <mc:AlternateContent>
          <mc:Choice Requires="wps">
            <w:drawing>
              <wp:anchor behindDoc="0" distT="99060" distB="0" distL="508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free writing prospectus relating to the offering prepared by or on behalf of the undersigned registrant or used or referred to by the undersigned registrant; </w:t>
      </w:r>
      <w:r>
        <mc:AlternateContent>
          <mc:Choice Requires="wps">
            <w:drawing>
              <wp:anchor behindDoc="0" distT="99060" distB="0" distL="508000" distR="0" simplePos="0" locked="0" layoutInCell="1" allowOverlap="1" relativeHeight="97">
                <wp:simplePos x="0" y="0"/>
                <wp:positionH relativeFrom="column">
                  <wp:align>left</wp:align>
                </wp:positionH>
                <wp:positionV relativeFrom="line">
                  <wp:align>top</wp:align>
                </wp:positionV>
                <wp:extent cx="254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any other free writing prospectus relating to the offering containing material information about the undersigned registrant or its securities provided by or on behalf of the undersigned registrant; and </w:t>
      </w:r>
      <w:r>
        <mc:AlternateContent>
          <mc:Choice Requires="wps">
            <w:drawing>
              <wp:anchor behindDoc="0" distT="99060" distB="0" distL="508000" distR="0" simplePos="0" locked="0" layoutInCell="1" allowOverlap="1" relativeHeight="98">
                <wp:simplePos x="0" y="0"/>
                <wp:positionH relativeFrom="column">
                  <wp:align>left</wp:align>
                </wp:positionH>
                <wp:positionV relativeFrom="line">
                  <wp:align>top</wp:align>
                </wp:positionV>
                <wp:extent cx="254000" cy="525780"/>
                <wp:effectExtent l="0" t="0" r="0" b="0"/>
                <wp:wrapSquare wrapText="right"/>
                <wp:docPr id="93" name="Frame92"/>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communication that is an offer in the offering made by the undersigned registrant to the purchaser. </w:t>
      </w:r>
      <w:r>
        <mc:AlternateContent>
          <mc:Choice Requires="wps">
            <w:drawing>
              <wp:anchor behindDoc="0" distT="99060" distB="0" distL="508000" distR="0" simplePos="0" locked="0" layoutInCell="1" allowOverlap="1" relativeHeight="99">
                <wp:simplePos x="0" y="0"/>
                <wp:positionH relativeFrom="column">
                  <wp:align>left</wp:align>
                </wp:positionH>
                <wp:positionV relativeFrom="line">
                  <wp:align>top</wp:align>
                </wp:positionV>
                <wp:extent cx="254000" cy="525780"/>
                <wp:effectExtent l="0" t="0" r="0" b="0"/>
                <wp:wrapSquare wrapText="right"/>
                <wp:docPr id="94" name="Frame93"/>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7.8pt;mso-wrap-distance-bottom:0pt;margin-top:7.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that, for purposes of determining any liability under the </w:t>
      </w:r>
      <w:r>
        <mc:AlternateContent>
          <mc:Choice Requires="wps">
            <w:drawing>
              <wp:anchor behindDoc="0" distT="99060" distB="0" distL="0" distR="0" simplePos="0" locked="0" layoutInCell="1" allowOverlap="1" relativeHeight="100">
                <wp:simplePos x="0" y="0"/>
                <wp:positionH relativeFrom="column">
                  <wp:align>left</wp:align>
                </wp:positionH>
                <wp:positionV relativeFrom="line">
                  <wp:align>top</wp:align>
                </wp:positionV>
                <wp:extent cx="254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Act, each filing of such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 </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registrant pursuant to the provisions referred to in Item 15,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such registrant of expenses incurred or paid by a director, officer or controlling person of the registrant in the successful defense of any action, suit or proceeding) is asserted by such director, officer or controlling person in connection with the securities being registered, such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101">
                <wp:simplePos x="0" y="0"/>
                <wp:positionH relativeFrom="column">
                  <wp:align>left</wp:align>
                </wp:positionH>
                <wp:positionV relativeFrom="line">
                  <wp:align>top</wp:align>
                </wp:positionV>
                <wp:extent cx="254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SIG"/>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Princeton, State of New Jersey, on August 8, 2023. </w:t>
      </w:r>
    </w:p>
    <w:p>
      <w:pPr>
        <w:pStyle w:val="TextBody"/>
        <w:bidi w:val="0"/>
        <w:spacing w:lineRule="atLeast" w:line="240" w:before="240" w:after="283"/>
        <w:ind w:left="57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CLEARWAY ENERGY,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Christopher S. Sotos</w:t>
      </w:r>
      <w:r>
        <w:rPr>
          <w:rFonts w:ascii="Times New Roman;Times;serif" w:hAnsi="Times New Roman;Times;serif"/>
          <w:b w:val="false"/>
          <w:i w:val="false"/>
          <w:caps w:val="false"/>
          <w:smallCaps w:val="false"/>
          <w:color w:val="000000"/>
          <w:sz w:val="20"/>
        </w:rPr>
        <w:t xml:space="preserve"> </w:t>
      </w:r>
    </w:p>
    <w:p>
      <w:pPr>
        <w:pStyle w:val="TextBody"/>
        <w:bidi w:val="0"/>
        <w:spacing w:before="0" w:after="283"/>
        <w:ind w:left="57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4" w:after="283"/>
        <w:ind w:left="5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Christopher S. Sotos </w:t>
      </w:r>
      <w:r>
        <w:rPr>
          <w:rFonts w:ascii="Times New Roman;Times;serif" w:hAnsi="Times New Roman;Times;serif"/>
          <w:b w:val="false"/>
          <w:i w:val="false"/>
          <w:caps w:val="false"/>
          <w:smallCaps w:val="false"/>
          <w:color w:val="000000"/>
          <w:sz w:val="20"/>
        </w:rPr>
        <w:br/>
      </w:r>
      <w:r>
        <w:rPr>
          <w:rFonts w:ascii="Times New Roman;Times;serif" w:hAnsi="Times New Roman;Times;serif"/>
          <w:b w:val="false"/>
          <w:i w:val="false"/>
          <w:caps w:val="false"/>
          <w:smallCaps w:val="false"/>
          <w:color w:val="000000"/>
          <w:spacing w:val="4"/>
          <w:sz w:val="20"/>
        </w:rPr>
        <w:t>President and Chief Executive Officer</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POWER OF ATTORNEY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BY ALL PERSONS BY THESE PRESENTS, that each person whose signature appears below constitutes and appoints jointly and severally Christopher S. Sotos, Kevin P. Malcarney and Amelia McKeithen, and each of them, his or her true and lawful attorney-in-fact and agents with full and several power of substitution, for him or her and his or her name, place and stead, in any and all capacities, to sign any and all amendments (including post-effective amendments) to this Registration Statement,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agents or any of them, or their substitutes, may lawfully do or cause to be done.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080"/>
        <w:gridCol w:w="109"/>
        <w:gridCol w:w="109"/>
        <w:gridCol w:w="4552"/>
        <w:gridCol w:w="109"/>
        <w:gridCol w:w="109"/>
        <w:gridCol w:w="1464"/>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55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Christopher S. Sotos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Christopher S. Sotos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pPr>
            <w:r>
              <w:rPr>
                <w:spacing w:val="4"/>
              </w:rPr>
              <w:t>President, Chief Executive Officer and Director</w:t>
            </w:r>
            <w:r>
              <w:rPr/>
              <w:t xml:space="preserve"> </w:t>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Sarah Rubenstein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Sarah Rubenstein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pPr>
            <w:r>
              <w:rPr>
                <w:spacing w:val="4"/>
              </w:rPr>
              <w:t>Senior Vice President and Chief Accounting Officer</w:t>
            </w:r>
            <w:r>
              <w:rPr/>
              <w:t xml:space="preserve"> </w:t>
              <w:br/>
            </w:r>
            <w:r>
              <w:rPr>
                <w:spacing w:val="4"/>
              </w:rPr>
              <w:t xml:space="preserve">(Principal Financial Officer and 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Jonathan Bram</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Jonathan Bram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Nathaniel Anschuetz</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Nathaniel Anschuetz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Brian R. Ford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Brian R. Ford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Bruce MacLennan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Bruce MacLennan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80" w:type="dxa"/>
            <w:tcBorders/>
            <w:tcMar>
              <w:bottom w:w="0" w:type="dxa"/>
            </w:tcMar>
            <w:vAlign w:val="center"/>
          </w:tcPr>
          <w:p>
            <w:pPr>
              <w:pStyle w:val="TableContents"/>
              <w:bidi w:val="0"/>
              <w:spacing w:before="0" w:after="0"/>
              <w:jc w:val="center"/>
              <w:rPr/>
            </w:pPr>
            <w:r>
              <w:rPr>
                <w:spacing w:val="4"/>
              </w:rPr>
              <w:t>/s/ Daniel B. More</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Daniel B. More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552"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64"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675" w:type="dxa"/>
        <w:jc w:val="left"/>
        <w:tblInd w:w="1393" w:type="dxa"/>
        <w:tblLayout w:type="fixed"/>
        <w:tblCellMar>
          <w:top w:w="0" w:type="dxa"/>
          <w:left w:w="0" w:type="dxa"/>
          <w:bottom w:w="28" w:type="dxa"/>
          <w:right w:w="0" w:type="dxa"/>
        </w:tblCellMar>
      </w:tblPr>
      <w:tblGrid>
        <w:gridCol w:w="124"/>
        <w:gridCol w:w="2315"/>
        <w:gridCol w:w="109"/>
        <w:gridCol w:w="109"/>
        <w:gridCol w:w="974"/>
        <w:gridCol w:w="109"/>
        <w:gridCol w:w="109"/>
        <w:gridCol w:w="1672"/>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31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6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0"/>
              <w:jc w:val="center"/>
              <w:rPr/>
            </w:pPr>
            <w:r>
              <w:rPr>
                <w:spacing w:val="4"/>
              </w:rPr>
              <w:t>/s/ E. Stanley O’Neal</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 Stanley O’Neal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0"/>
              <w:jc w:val="center"/>
              <w:rPr/>
            </w:pPr>
            <w:r>
              <w:rPr>
                <w:spacing w:val="4"/>
              </w:rPr>
              <w:t>/s/ Jennifer Lowry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Jennifer Lowry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0"/>
              <w:jc w:val="center"/>
              <w:rPr/>
            </w:pPr>
            <w:r>
              <w:rPr>
                <w:spacing w:val="4"/>
              </w:rPr>
              <w:t>/s/ Guillaume Hédiard</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Guillaume Hédiard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0"/>
              <w:jc w:val="center"/>
              <w:rPr/>
            </w:pPr>
            <w:r>
              <w:rPr>
                <w:spacing w:val="4"/>
              </w:rPr>
              <w:t>/s/ Vincent Stoquart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Vincent Stoquart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spacing w:val="4"/>
              </w:rPr>
            </w:pPr>
            <w:r>
              <w:rPr>
                <w:spacing w:val="4"/>
              </w:rPr>
              <w:t xml:space="preserve">August 8, 2023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315" w:type="dxa"/>
            <w:tcBorders/>
            <w:tcMar>
              <w:bottom w:w="0" w:type="dxa"/>
            </w:tcMar>
            <w:vAlign w:val="center"/>
          </w:tcPr>
          <w:p>
            <w:pPr>
              <w:pStyle w:val="TableContents"/>
              <w:bidi w:val="0"/>
              <w:spacing w:before="0" w:after="0"/>
              <w:jc w:val="center"/>
              <w:rPr/>
            </w:pPr>
            <w:r>
              <w:rPr>
                <w:spacing w:val="4"/>
              </w:rPr>
              <w:t>/s/ Emmanuel Barrois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Emmanuel Barrois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72" w:type="dxa"/>
            <w:tcBorders/>
            <w:tcMar>
              <w:bottom w:w="0" w:type="dxa"/>
            </w:tcMar>
            <w:vAlign w:val="center"/>
          </w:tcPr>
          <w:p>
            <w:pPr>
              <w:pStyle w:val="TableContents"/>
              <w:bidi w:val="0"/>
              <w:spacing w:before="0" w:after="0"/>
              <w:jc w:val="center"/>
              <w:rPr/>
            </w:pPr>
            <w:r>
              <w:rPr>
                <w:spacing w:val="4"/>
              </w:rPr>
              <w:t>August 8, 2023</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caps w:val="false"/>
          <w:smallCaps w:val="false"/>
        </w:rPr>
      </w:pPr>
      <w:bookmarkStart w:id="16" w:name="tm2322934d2_ex4-3.htm"/>
      <w:bookmarkStart w:id="17" w:name="kstm2322934d2_ex43"/>
      <w:bookmarkEnd w:id="16"/>
      <w:bookmarkEnd w:id="17"/>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pBdr>
          <w:bottom w:val="single" w:sz="4" w:space="1" w:color="000000"/>
        </w:pBdr>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 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Trustee</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6354" w:type="dxa"/>
        <w:jc w:val="left"/>
        <w:tblInd w:w="0" w:type="dxa"/>
        <w:tblLayout w:type="fixed"/>
        <w:tblCellMar>
          <w:top w:w="0" w:type="dxa"/>
          <w:left w:w="0" w:type="dxa"/>
          <w:bottom w:w="0" w:type="dxa"/>
          <w:right w:w="0" w:type="dxa"/>
        </w:tblCellMar>
      </w:tblPr>
      <w:tblGrid>
        <w:gridCol w:w="1108"/>
        <w:gridCol w:w="4716"/>
        <w:gridCol w:w="530"/>
      </w:tblGrid>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b/>
                <w:u w:val="single"/>
              </w:rPr>
            </w:pPr>
            <w:r>
              <w:rPr>
                <w:b/>
                <w:u w:val="single"/>
              </w:rPr>
              <w:t>Page</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 DEFINITIONS AND INCORPORATION BY REFERENCE</w:t>
            </w:r>
            <w:r>
              <w:rPr/>
              <w:t xml:space="preserve"> </w:t>
            </w:r>
          </w:p>
        </w:tc>
        <w:tc>
          <w:tcPr>
            <w:tcW w:w="530" w:type="dxa"/>
            <w:tcBorders/>
            <w:vAlign w:val="center"/>
          </w:tcPr>
          <w:p>
            <w:pPr>
              <w:pStyle w:val="TableContents"/>
              <w:bidi w:val="0"/>
              <w:spacing w:before="0" w:after="283"/>
              <w:jc w:val="right"/>
              <w:rPr>
                <w:sz w:val="20"/>
              </w:rPr>
            </w:pPr>
            <w:r>
              <w:rPr>
                <w:sz w:val="20"/>
              </w:rPr>
              <w:t>1</w:t>
            </w:r>
          </w:p>
        </w:tc>
      </w:tr>
      <w:tr>
        <w:trPr/>
        <w:tc>
          <w:tcPr>
            <w:tcW w:w="5824" w:type="dxa"/>
            <w:gridSpan w:val="2"/>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1.1</w:t>
            </w:r>
          </w:p>
        </w:tc>
        <w:tc>
          <w:tcPr>
            <w:tcW w:w="4716" w:type="dxa"/>
            <w:tcBorders/>
            <w:vAlign w:val="center"/>
          </w:tcPr>
          <w:p>
            <w:pPr>
              <w:pStyle w:val="TableContents"/>
              <w:bidi w:val="0"/>
              <w:spacing w:before="0" w:after="283"/>
              <w:jc w:val="left"/>
              <w:rPr>
                <w:sz w:val="20"/>
              </w:rPr>
            </w:pPr>
            <w:r>
              <w:rPr>
                <w:sz w:val="20"/>
              </w:rPr>
              <w:t>Definitions</w:t>
            </w:r>
          </w:p>
        </w:tc>
        <w:tc>
          <w:tcPr>
            <w:tcW w:w="530" w:type="dxa"/>
            <w:tcBorders/>
            <w:vAlign w:val="center"/>
          </w:tcPr>
          <w:p>
            <w:pPr>
              <w:pStyle w:val="TableContents"/>
              <w:bidi w:val="0"/>
              <w:spacing w:before="0" w:after="283"/>
              <w:jc w:val="right"/>
              <w:rPr>
                <w:sz w:val="20"/>
              </w:rPr>
            </w:pPr>
            <w:r>
              <w:rPr>
                <w:sz w:val="20"/>
              </w:rPr>
              <w:t>1</w:t>
            </w:r>
          </w:p>
        </w:tc>
      </w:tr>
      <w:tr>
        <w:trPr/>
        <w:tc>
          <w:tcPr>
            <w:tcW w:w="1108" w:type="dxa"/>
            <w:tcBorders/>
            <w:vAlign w:val="center"/>
          </w:tcPr>
          <w:p>
            <w:pPr>
              <w:pStyle w:val="TableContents"/>
              <w:bidi w:val="0"/>
              <w:spacing w:before="0" w:after="283"/>
              <w:jc w:val="left"/>
              <w:rPr>
                <w:sz w:val="20"/>
              </w:rPr>
            </w:pPr>
            <w:r>
              <w:rPr>
                <w:sz w:val="20"/>
              </w:rPr>
              <w:t>Section 1.2</w:t>
            </w:r>
          </w:p>
        </w:tc>
        <w:tc>
          <w:tcPr>
            <w:tcW w:w="4716" w:type="dxa"/>
            <w:tcBorders/>
            <w:vAlign w:val="center"/>
          </w:tcPr>
          <w:p>
            <w:pPr>
              <w:pStyle w:val="TableContents"/>
              <w:bidi w:val="0"/>
              <w:spacing w:before="0" w:after="283"/>
              <w:jc w:val="left"/>
              <w:rPr>
                <w:sz w:val="20"/>
              </w:rPr>
            </w:pPr>
            <w:r>
              <w:rPr>
                <w:sz w:val="20"/>
              </w:rPr>
              <w:t>Other Definitions</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sz w:val="20"/>
              </w:rPr>
            </w:pPr>
            <w:r>
              <w:rPr>
                <w:sz w:val="20"/>
              </w:rPr>
              <w:t>Section 1.3</w:t>
            </w:r>
          </w:p>
        </w:tc>
        <w:tc>
          <w:tcPr>
            <w:tcW w:w="4716" w:type="dxa"/>
            <w:tcBorders/>
            <w:vAlign w:val="center"/>
          </w:tcPr>
          <w:p>
            <w:pPr>
              <w:pStyle w:val="TableContents"/>
              <w:bidi w:val="0"/>
              <w:spacing w:before="0" w:after="283"/>
              <w:jc w:val="left"/>
              <w:rPr>
                <w:sz w:val="20"/>
              </w:rPr>
            </w:pPr>
            <w:r>
              <w:rPr>
                <w:sz w:val="20"/>
              </w:rPr>
              <w:t>Incorporation by Reference of Trust Indenture Act</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sz w:val="20"/>
              </w:rPr>
            </w:pPr>
            <w:r>
              <w:rPr>
                <w:sz w:val="20"/>
              </w:rPr>
              <w:t>Section 1.4</w:t>
            </w:r>
          </w:p>
        </w:tc>
        <w:tc>
          <w:tcPr>
            <w:tcW w:w="4716" w:type="dxa"/>
            <w:tcBorders/>
            <w:vAlign w:val="center"/>
          </w:tcPr>
          <w:p>
            <w:pPr>
              <w:pStyle w:val="TableContents"/>
              <w:bidi w:val="0"/>
              <w:spacing w:before="0" w:after="283"/>
              <w:jc w:val="left"/>
              <w:rPr>
                <w:sz w:val="20"/>
              </w:rPr>
            </w:pPr>
            <w:r>
              <w:rPr>
                <w:sz w:val="20"/>
              </w:rPr>
              <w:t>Rules of Construction</w:t>
            </w:r>
          </w:p>
        </w:tc>
        <w:tc>
          <w:tcPr>
            <w:tcW w:w="530" w:type="dxa"/>
            <w:tcBorders/>
            <w:vAlign w:val="center"/>
          </w:tcPr>
          <w:p>
            <w:pPr>
              <w:pStyle w:val="TableContents"/>
              <w:bidi w:val="0"/>
              <w:spacing w:before="0" w:after="283"/>
              <w:jc w:val="right"/>
              <w:rPr>
                <w:sz w:val="20"/>
              </w:rPr>
            </w:pPr>
            <w:r>
              <w:rPr>
                <w:sz w:val="20"/>
              </w:rPr>
              <w:t>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II. THE SECURITIES</w:t>
            </w:r>
            <w:r>
              <w:rPr/>
              <w:t xml:space="preserve"> </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2.1</w:t>
            </w:r>
          </w:p>
        </w:tc>
        <w:tc>
          <w:tcPr>
            <w:tcW w:w="4716" w:type="dxa"/>
            <w:tcBorders/>
            <w:vAlign w:val="center"/>
          </w:tcPr>
          <w:p>
            <w:pPr>
              <w:pStyle w:val="TableContents"/>
              <w:bidi w:val="0"/>
              <w:spacing w:before="0" w:after="283"/>
              <w:jc w:val="left"/>
              <w:rPr>
                <w:sz w:val="20"/>
              </w:rPr>
            </w:pPr>
            <w:r>
              <w:rPr>
                <w:sz w:val="20"/>
              </w:rPr>
              <w:t>Issuable in Series</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sz w:val="20"/>
              </w:rPr>
            </w:pPr>
            <w:r>
              <w:rPr>
                <w:sz w:val="20"/>
              </w:rPr>
              <w:t>Section 2.2</w:t>
            </w:r>
          </w:p>
        </w:tc>
        <w:tc>
          <w:tcPr>
            <w:tcW w:w="4716" w:type="dxa"/>
            <w:tcBorders/>
            <w:vAlign w:val="center"/>
          </w:tcPr>
          <w:p>
            <w:pPr>
              <w:pStyle w:val="TableContents"/>
              <w:bidi w:val="0"/>
              <w:spacing w:before="0" w:after="283"/>
              <w:jc w:val="left"/>
              <w:rPr>
                <w:sz w:val="20"/>
              </w:rPr>
            </w:pPr>
            <w:r>
              <w:rPr>
                <w:sz w:val="20"/>
              </w:rPr>
              <w:t>Establishment of Terms of Series of Securities</w:t>
            </w:r>
          </w:p>
        </w:tc>
        <w:tc>
          <w:tcPr>
            <w:tcW w:w="530" w:type="dxa"/>
            <w:tcBorders/>
            <w:vAlign w:val="center"/>
          </w:tcPr>
          <w:p>
            <w:pPr>
              <w:pStyle w:val="TableContents"/>
              <w:bidi w:val="0"/>
              <w:spacing w:before="0" w:after="283"/>
              <w:jc w:val="right"/>
              <w:rPr>
                <w:sz w:val="20"/>
              </w:rPr>
            </w:pPr>
            <w:r>
              <w:rPr>
                <w:sz w:val="20"/>
              </w:rPr>
              <w:t>8</w:t>
            </w:r>
          </w:p>
        </w:tc>
      </w:tr>
      <w:tr>
        <w:trPr/>
        <w:tc>
          <w:tcPr>
            <w:tcW w:w="1108" w:type="dxa"/>
            <w:tcBorders/>
            <w:vAlign w:val="center"/>
          </w:tcPr>
          <w:p>
            <w:pPr>
              <w:pStyle w:val="TableContents"/>
              <w:bidi w:val="0"/>
              <w:spacing w:before="0" w:after="283"/>
              <w:jc w:val="left"/>
              <w:rPr>
                <w:sz w:val="20"/>
              </w:rPr>
            </w:pPr>
            <w:r>
              <w:rPr>
                <w:sz w:val="20"/>
              </w:rPr>
              <w:t>Section 2.3</w:t>
            </w:r>
          </w:p>
        </w:tc>
        <w:tc>
          <w:tcPr>
            <w:tcW w:w="4716" w:type="dxa"/>
            <w:tcBorders/>
            <w:vAlign w:val="center"/>
          </w:tcPr>
          <w:p>
            <w:pPr>
              <w:pStyle w:val="TableContents"/>
              <w:bidi w:val="0"/>
              <w:spacing w:before="0" w:after="283"/>
              <w:jc w:val="left"/>
              <w:rPr>
                <w:sz w:val="20"/>
              </w:rPr>
            </w:pPr>
            <w:r>
              <w:rPr>
                <w:sz w:val="20"/>
              </w:rPr>
              <w:t>Execution and Authentication</w:t>
            </w:r>
          </w:p>
        </w:tc>
        <w:tc>
          <w:tcPr>
            <w:tcW w:w="530" w:type="dxa"/>
            <w:tcBorders/>
            <w:vAlign w:val="center"/>
          </w:tcPr>
          <w:p>
            <w:pPr>
              <w:pStyle w:val="TableContents"/>
              <w:bidi w:val="0"/>
              <w:spacing w:before="0" w:after="283"/>
              <w:jc w:val="right"/>
              <w:rPr>
                <w:sz w:val="20"/>
              </w:rPr>
            </w:pPr>
            <w:r>
              <w:rPr>
                <w:sz w:val="20"/>
              </w:rPr>
              <w:t>10</w:t>
            </w:r>
          </w:p>
        </w:tc>
      </w:tr>
      <w:tr>
        <w:trPr/>
        <w:tc>
          <w:tcPr>
            <w:tcW w:w="1108" w:type="dxa"/>
            <w:tcBorders/>
            <w:vAlign w:val="center"/>
          </w:tcPr>
          <w:p>
            <w:pPr>
              <w:pStyle w:val="TableContents"/>
              <w:bidi w:val="0"/>
              <w:spacing w:before="0" w:after="283"/>
              <w:jc w:val="left"/>
              <w:rPr>
                <w:sz w:val="20"/>
              </w:rPr>
            </w:pPr>
            <w:r>
              <w:rPr>
                <w:sz w:val="20"/>
              </w:rPr>
              <w:t>Section 2.4</w:t>
            </w:r>
          </w:p>
        </w:tc>
        <w:tc>
          <w:tcPr>
            <w:tcW w:w="4716" w:type="dxa"/>
            <w:tcBorders/>
            <w:vAlign w:val="center"/>
          </w:tcPr>
          <w:p>
            <w:pPr>
              <w:pStyle w:val="TableContents"/>
              <w:bidi w:val="0"/>
              <w:spacing w:before="0" w:after="283"/>
              <w:jc w:val="left"/>
              <w:rPr>
                <w:sz w:val="20"/>
              </w:rPr>
            </w:pPr>
            <w:r>
              <w:rPr>
                <w:sz w:val="20"/>
              </w:rPr>
              <w:t>Registrar and Paying Agent</w:t>
            </w:r>
          </w:p>
        </w:tc>
        <w:tc>
          <w:tcPr>
            <w:tcW w:w="530" w:type="dxa"/>
            <w:tcBorders/>
            <w:vAlign w:val="center"/>
          </w:tcPr>
          <w:p>
            <w:pPr>
              <w:pStyle w:val="TableContents"/>
              <w:bidi w:val="0"/>
              <w:spacing w:before="0" w:after="283"/>
              <w:jc w:val="right"/>
              <w:rPr>
                <w:sz w:val="20"/>
              </w:rPr>
            </w:pPr>
            <w:r>
              <w:rPr>
                <w:sz w:val="20"/>
              </w:rPr>
              <w:t>11</w:t>
            </w:r>
          </w:p>
        </w:tc>
      </w:tr>
      <w:tr>
        <w:trPr/>
        <w:tc>
          <w:tcPr>
            <w:tcW w:w="1108" w:type="dxa"/>
            <w:tcBorders/>
            <w:vAlign w:val="center"/>
          </w:tcPr>
          <w:p>
            <w:pPr>
              <w:pStyle w:val="TableContents"/>
              <w:bidi w:val="0"/>
              <w:spacing w:before="0" w:after="283"/>
              <w:jc w:val="left"/>
              <w:rPr>
                <w:sz w:val="20"/>
              </w:rPr>
            </w:pPr>
            <w:r>
              <w:rPr>
                <w:sz w:val="20"/>
              </w:rPr>
              <w:t>Section 2.5</w:t>
            </w:r>
          </w:p>
        </w:tc>
        <w:tc>
          <w:tcPr>
            <w:tcW w:w="4716" w:type="dxa"/>
            <w:tcBorders/>
            <w:vAlign w:val="center"/>
          </w:tcPr>
          <w:p>
            <w:pPr>
              <w:pStyle w:val="TableContents"/>
              <w:bidi w:val="0"/>
              <w:spacing w:before="0" w:after="283"/>
              <w:jc w:val="left"/>
              <w:rPr>
                <w:sz w:val="20"/>
              </w:rPr>
            </w:pPr>
            <w:r>
              <w:rPr>
                <w:sz w:val="20"/>
              </w:rPr>
              <w:t>Paying Agent to Hold Money in Trust</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2.6</w:t>
            </w:r>
          </w:p>
        </w:tc>
        <w:tc>
          <w:tcPr>
            <w:tcW w:w="4716" w:type="dxa"/>
            <w:tcBorders/>
            <w:vAlign w:val="center"/>
          </w:tcPr>
          <w:p>
            <w:pPr>
              <w:pStyle w:val="TableContents"/>
              <w:bidi w:val="0"/>
              <w:spacing w:before="0" w:after="283"/>
              <w:jc w:val="left"/>
              <w:rPr>
                <w:sz w:val="20"/>
              </w:rPr>
            </w:pPr>
            <w:r>
              <w:rPr>
                <w:sz w:val="20"/>
              </w:rPr>
              <w:t>Securityholder Lists</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2.7</w:t>
            </w:r>
          </w:p>
        </w:tc>
        <w:tc>
          <w:tcPr>
            <w:tcW w:w="4716" w:type="dxa"/>
            <w:tcBorders/>
            <w:vAlign w:val="center"/>
          </w:tcPr>
          <w:p>
            <w:pPr>
              <w:pStyle w:val="TableContents"/>
              <w:bidi w:val="0"/>
              <w:spacing w:before="0" w:after="283"/>
              <w:jc w:val="left"/>
              <w:rPr>
                <w:sz w:val="20"/>
              </w:rPr>
            </w:pPr>
            <w:r>
              <w:rPr>
                <w:sz w:val="20"/>
              </w:rPr>
              <w:t>Transfer and Exchange</w:t>
            </w:r>
          </w:p>
        </w:tc>
        <w:tc>
          <w:tcPr>
            <w:tcW w:w="530" w:type="dxa"/>
            <w:tcBorders/>
            <w:vAlign w:val="center"/>
          </w:tcPr>
          <w:p>
            <w:pPr>
              <w:pStyle w:val="TableContents"/>
              <w:bidi w:val="0"/>
              <w:spacing w:before="0" w:after="283"/>
              <w:jc w:val="right"/>
              <w:rPr>
                <w:sz w:val="20"/>
              </w:rPr>
            </w:pPr>
            <w:r>
              <w:rPr>
                <w:sz w:val="20"/>
              </w:rPr>
              <w:t>12</w:t>
            </w:r>
          </w:p>
        </w:tc>
      </w:tr>
      <w:tr>
        <w:trPr/>
        <w:tc>
          <w:tcPr>
            <w:tcW w:w="1108" w:type="dxa"/>
            <w:tcBorders/>
            <w:vAlign w:val="center"/>
          </w:tcPr>
          <w:p>
            <w:pPr>
              <w:pStyle w:val="TableContents"/>
              <w:bidi w:val="0"/>
              <w:spacing w:before="0" w:after="283"/>
              <w:jc w:val="left"/>
              <w:rPr>
                <w:sz w:val="20"/>
              </w:rPr>
            </w:pPr>
            <w:r>
              <w:rPr>
                <w:sz w:val="20"/>
              </w:rPr>
              <w:t>Section 2.8</w:t>
            </w:r>
          </w:p>
        </w:tc>
        <w:tc>
          <w:tcPr>
            <w:tcW w:w="4716" w:type="dxa"/>
            <w:tcBorders/>
            <w:vAlign w:val="center"/>
          </w:tcPr>
          <w:p>
            <w:pPr>
              <w:pStyle w:val="TableContents"/>
              <w:bidi w:val="0"/>
              <w:spacing w:before="0" w:after="283"/>
              <w:jc w:val="left"/>
              <w:rPr>
                <w:sz w:val="20"/>
              </w:rPr>
            </w:pPr>
            <w:r>
              <w:rPr>
                <w:sz w:val="20"/>
              </w:rPr>
              <w:t>Mutilated, Destroyed, Lost and Stolen Securities</w:t>
            </w:r>
          </w:p>
        </w:tc>
        <w:tc>
          <w:tcPr>
            <w:tcW w:w="530" w:type="dxa"/>
            <w:tcBorders/>
            <w:vAlign w:val="center"/>
          </w:tcPr>
          <w:p>
            <w:pPr>
              <w:pStyle w:val="TableContents"/>
              <w:bidi w:val="0"/>
              <w:spacing w:before="0" w:after="283"/>
              <w:jc w:val="right"/>
              <w:rPr>
                <w:sz w:val="20"/>
              </w:rPr>
            </w:pPr>
            <w:r>
              <w:rPr>
                <w:sz w:val="20"/>
              </w:rPr>
              <w:t>13</w:t>
            </w:r>
          </w:p>
        </w:tc>
      </w:tr>
      <w:tr>
        <w:trPr/>
        <w:tc>
          <w:tcPr>
            <w:tcW w:w="1108" w:type="dxa"/>
            <w:tcBorders/>
            <w:vAlign w:val="center"/>
          </w:tcPr>
          <w:p>
            <w:pPr>
              <w:pStyle w:val="TableContents"/>
              <w:bidi w:val="0"/>
              <w:spacing w:before="0" w:after="283"/>
              <w:jc w:val="left"/>
              <w:rPr>
                <w:sz w:val="20"/>
              </w:rPr>
            </w:pPr>
            <w:r>
              <w:rPr>
                <w:sz w:val="20"/>
              </w:rPr>
              <w:t>Section 2.9</w:t>
            </w:r>
          </w:p>
        </w:tc>
        <w:tc>
          <w:tcPr>
            <w:tcW w:w="4716" w:type="dxa"/>
            <w:tcBorders/>
            <w:vAlign w:val="center"/>
          </w:tcPr>
          <w:p>
            <w:pPr>
              <w:pStyle w:val="TableContents"/>
              <w:bidi w:val="0"/>
              <w:spacing w:before="0" w:after="283"/>
              <w:jc w:val="left"/>
              <w:rPr>
                <w:sz w:val="20"/>
              </w:rPr>
            </w:pPr>
            <w:r>
              <w:rPr>
                <w:sz w:val="20"/>
              </w:rPr>
              <w:t>Outstanding Securities</w:t>
            </w:r>
          </w:p>
        </w:tc>
        <w:tc>
          <w:tcPr>
            <w:tcW w:w="530" w:type="dxa"/>
            <w:tcBorders/>
            <w:vAlign w:val="center"/>
          </w:tcPr>
          <w:p>
            <w:pPr>
              <w:pStyle w:val="TableContents"/>
              <w:bidi w:val="0"/>
              <w:spacing w:before="0" w:after="283"/>
              <w:jc w:val="right"/>
              <w:rPr>
                <w:sz w:val="20"/>
              </w:rPr>
            </w:pPr>
            <w:r>
              <w:rPr>
                <w:sz w:val="20"/>
              </w:rPr>
              <w:t>14</w:t>
            </w:r>
          </w:p>
        </w:tc>
      </w:tr>
      <w:tr>
        <w:trPr/>
        <w:tc>
          <w:tcPr>
            <w:tcW w:w="1108" w:type="dxa"/>
            <w:tcBorders/>
            <w:vAlign w:val="center"/>
          </w:tcPr>
          <w:p>
            <w:pPr>
              <w:pStyle w:val="TableContents"/>
              <w:bidi w:val="0"/>
              <w:spacing w:before="0" w:after="283"/>
              <w:jc w:val="left"/>
              <w:rPr>
                <w:sz w:val="20"/>
              </w:rPr>
            </w:pPr>
            <w:r>
              <w:rPr>
                <w:sz w:val="20"/>
              </w:rPr>
              <w:t>Section 2.10</w:t>
            </w:r>
          </w:p>
        </w:tc>
        <w:tc>
          <w:tcPr>
            <w:tcW w:w="4716" w:type="dxa"/>
            <w:tcBorders/>
            <w:vAlign w:val="center"/>
          </w:tcPr>
          <w:p>
            <w:pPr>
              <w:pStyle w:val="TableContents"/>
              <w:bidi w:val="0"/>
              <w:spacing w:before="0" w:after="283"/>
              <w:jc w:val="left"/>
              <w:rPr>
                <w:sz w:val="20"/>
              </w:rPr>
            </w:pPr>
            <w:r>
              <w:rPr>
                <w:sz w:val="20"/>
              </w:rPr>
              <w:t>Treasury Securities</w:t>
            </w:r>
          </w:p>
        </w:tc>
        <w:tc>
          <w:tcPr>
            <w:tcW w:w="530" w:type="dxa"/>
            <w:tcBorders/>
            <w:vAlign w:val="center"/>
          </w:tcPr>
          <w:p>
            <w:pPr>
              <w:pStyle w:val="TableContents"/>
              <w:bidi w:val="0"/>
              <w:spacing w:before="0" w:after="283"/>
              <w:jc w:val="right"/>
              <w:rPr>
                <w:sz w:val="20"/>
              </w:rPr>
            </w:pPr>
            <w:r>
              <w:rPr>
                <w:sz w:val="20"/>
              </w:rPr>
              <w:t>14</w:t>
            </w:r>
          </w:p>
        </w:tc>
      </w:tr>
      <w:tr>
        <w:trPr/>
        <w:tc>
          <w:tcPr>
            <w:tcW w:w="1108" w:type="dxa"/>
            <w:tcBorders/>
            <w:vAlign w:val="center"/>
          </w:tcPr>
          <w:p>
            <w:pPr>
              <w:pStyle w:val="TableContents"/>
              <w:bidi w:val="0"/>
              <w:spacing w:before="0" w:after="283"/>
              <w:jc w:val="left"/>
              <w:rPr>
                <w:sz w:val="20"/>
              </w:rPr>
            </w:pPr>
            <w:r>
              <w:rPr>
                <w:sz w:val="20"/>
              </w:rPr>
              <w:t>Section 2.11</w:t>
            </w:r>
          </w:p>
        </w:tc>
        <w:tc>
          <w:tcPr>
            <w:tcW w:w="4716" w:type="dxa"/>
            <w:tcBorders/>
            <w:vAlign w:val="center"/>
          </w:tcPr>
          <w:p>
            <w:pPr>
              <w:pStyle w:val="TableContents"/>
              <w:bidi w:val="0"/>
              <w:spacing w:before="0" w:after="283"/>
              <w:jc w:val="left"/>
              <w:rPr>
                <w:sz w:val="20"/>
              </w:rPr>
            </w:pPr>
            <w:r>
              <w:rPr>
                <w:sz w:val="20"/>
              </w:rPr>
              <w:t>Temporary Securities</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2.12</w:t>
            </w:r>
          </w:p>
        </w:tc>
        <w:tc>
          <w:tcPr>
            <w:tcW w:w="4716" w:type="dxa"/>
            <w:tcBorders/>
            <w:vAlign w:val="center"/>
          </w:tcPr>
          <w:p>
            <w:pPr>
              <w:pStyle w:val="TableContents"/>
              <w:bidi w:val="0"/>
              <w:spacing w:before="0" w:after="283"/>
              <w:jc w:val="left"/>
              <w:rPr>
                <w:sz w:val="20"/>
              </w:rPr>
            </w:pPr>
            <w:r>
              <w:rPr>
                <w:sz w:val="20"/>
              </w:rPr>
              <w:t>Cancellation</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2.13</w:t>
            </w:r>
          </w:p>
        </w:tc>
        <w:tc>
          <w:tcPr>
            <w:tcW w:w="4716" w:type="dxa"/>
            <w:tcBorders/>
            <w:vAlign w:val="center"/>
          </w:tcPr>
          <w:p>
            <w:pPr>
              <w:pStyle w:val="TableContents"/>
              <w:bidi w:val="0"/>
              <w:spacing w:before="0" w:after="283"/>
              <w:jc w:val="left"/>
              <w:rPr>
                <w:sz w:val="20"/>
              </w:rPr>
            </w:pPr>
            <w:r>
              <w:rPr>
                <w:sz w:val="20"/>
              </w:rPr>
              <w:t>Defaulted Interest</w:t>
            </w:r>
          </w:p>
        </w:tc>
        <w:tc>
          <w:tcPr>
            <w:tcW w:w="530" w:type="dxa"/>
            <w:tcBorders/>
            <w:vAlign w:val="center"/>
          </w:tcPr>
          <w:p>
            <w:pPr>
              <w:pStyle w:val="TableContents"/>
              <w:bidi w:val="0"/>
              <w:spacing w:before="0" w:after="283"/>
              <w:jc w:val="right"/>
              <w:rPr>
                <w:sz w:val="20"/>
              </w:rPr>
            </w:pPr>
            <w:r>
              <w:rPr>
                <w:sz w:val="20"/>
              </w:rPr>
              <w:t>15</w:t>
            </w:r>
          </w:p>
        </w:tc>
      </w:tr>
      <w:tr>
        <w:trPr/>
        <w:tc>
          <w:tcPr>
            <w:tcW w:w="1108" w:type="dxa"/>
            <w:tcBorders/>
            <w:vAlign w:val="center"/>
          </w:tcPr>
          <w:p>
            <w:pPr>
              <w:pStyle w:val="TableContents"/>
              <w:bidi w:val="0"/>
              <w:spacing w:before="0" w:after="283"/>
              <w:jc w:val="left"/>
              <w:rPr>
                <w:sz w:val="20"/>
              </w:rPr>
            </w:pPr>
            <w:r>
              <w:rPr>
                <w:sz w:val="20"/>
              </w:rPr>
              <w:t>Section 2.14</w:t>
            </w:r>
          </w:p>
        </w:tc>
        <w:tc>
          <w:tcPr>
            <w:tcW w:w="4716" w:type="dxa"/>
            <w:tcBorders/>
            <w:vAlign w:val="center"/>
          </w:tcPr>
          <w:p>
            <w:pPr>
              <w:pStyle w:val="TableContents"/>
              <w:bidi w:val="0"/>
              <w:spacing w:before="0" w:after="283"/>
              <w:jc w:val="left"/>
              <w:rPr>
                <w:sz w:val="20"/>
              </w:rPr>
            </w:pPr>
            <w:r>
              <w:rPr>
                <w:sz w:val="20"/>
              </w:rPr>
              <w:t>Global Securities</w:t>
            </w:r>
          </w:p>
        </w:tc>
        <w:tc>
          <w:tcPr>
            <w:tcW w:w="530" w:type="dxa"/>
            <w:tcBorders/>
            <w:vAlign w:val="center"/>
          </w:tcPr>
          <w:p>
            <w:pPr>
              <w:pStyle w:val="TableContents"/>
              <w:bidi w:val="0"/>
              <w:spacing w:before="0" w:after="283"/>
              <w:jc w:val="right"/>
              <w:rPr>
                <w:sz w:val="20"/>
              </w:rPr>
            </w:pPr>
            <w:r>
              <w:rPr>
                <w:sz w:val="20"/>
              </w:rPr>
              <w:t>16</w:t>
            </w:r>
          </w:p>
        </w:tc>
      </w:tr>
      <w:tr>
        <w:trPr/>
        <w:tc>
          <w:tcPr>
            <w:tcW w:w="1108" w:type="dxa"/>
            <w:tcBorders/>
            <w:vAlign w:val="center"/>
          </w:tcPr>
          <w:p>
            <w:pPr>
              <w:pStyle w:val="TableContents"/>
              <w:bidi w:val="0"/>
              <w:spacing w:before="0" w:after="283"/>
              <w:jc w:val="left"/>
              <w:rPr>
                <w:sz w:val="20"/>
              </w:rPr>
            </w:pPr>
            <w:r>
              <w:rPr>
                <w:sz w:val="20"/>
              </w:rPr>
              <w:t>Section 2.15</w:t>
            </w:r>
          </w:p>
        </w:tc>
        <w:tc>
          <w:tcPr>
            <w:tcW w:w="4716" w:type="dxa"/>
            <w:tcBorders/>
            <w:vAlign w:val="center"/>
          </w:tcPr>
          <w:p>
            <w:pPr>
              <w:pStyle w:val="TableContents"/>
              <w:bidi w:val="0"/>
              <w:spacing w:before="0" w:after="283"/>
              <w:jc w:val="left"/>
              <w:rPr>
                <w:sz w:val="20"/>
              </w:rPr>
            </w:pPr>
            <w:r>
              <w:rPr>
                <w:sz w:val="20"/>
              </w:rPr>
              <w:t>CUSIP Numbers</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III. REDEMPTION</w:t>
            </w:r>
            <w:r>
              <w:rPr/>
              <w:t xml:space="preserve"> </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3.1</w:t>
            </w:r>
          </w:p>
        </w:tc>
        <w:tc>
          <w:tcPr>
            <w:tcW w:w="4716" w:type="dxa"/>
            <w:tcBorders/>
            <w:vAlign w:val="center"/>
          </w:tcPr>
          <w:p>
            <w:pPr>
              <w:pStyle w:val="TableContents"/>
              <w:bidi w:val="0"/>
              <w:spacing w:before="0" w:after="283"/>
              <w:jc w:val="left"/>
              <w:rPr>
                <w:sz w:val="20"/>
              </w:rPr>
            </w:pPr>
            <w:r>
              <w:rPr>
                <w:sz w:val="20"/>
              </w:rPr>
              <w:t>Notice to Trustee</w:t>
            </w:r>
          </w:p>
        </w:tc>
        <w:tc>
          <w:tcPr>
            <w:tcW w:w="530" w:type="dxa"/>
            <w:tcBorders/>
            <w:vAlign w:val="center"/>
          </w:tcPr>
          <w:p>
            <w:pPr>
              <w:pStyle w:val="TableContents"/>
              <w:bidi w:val="0"/>
              <w:spacing w:before="0" w:after="283"/>
              <w:jc w:val="right"/>
              <w:rPr>
                <w:sz w:val="20"/>
              </w:rPr>
            </w:pPr>
            <w:r>
              <w:rPr>
                <w:sz w:val="20"/>
              </w:rPr>
              <w:t>17</w:t>
            </w:r>
          </w:p>
        </w:tc>
      </w:tr>
      <w:tr>
        <w:trPr/>
        <w:tc>
          <w:tcPr>
            <w:tcW w:w="1108" w:type="dxa"/>
            <w:tcBorders/>
            <w:vAlign w:val="center"/>
          </w:tcPr>
          <w:p>
            <w:pPr>
              <w:pStyle w:val="TableContents"/>
              <w:bidi w:val="0"/>
              <w:spacing w:before="0" w:after="283"/>
              <w:jc w:val="left"/>
              <w:rPr>
                <w:sz w:val="20"/>
              </w:rPr>
            </w:pPr>
            <w:r>
              <w:rPr>
                <w:sz w:val="20"/>
              </w:rPr>
              <w:t>Section 3.2</w:t>
            </w:r>
          </w:p>
        </w:tc>
        <w:tc>
          <w:tcPr>
            <w:tcW w:w="4716" w:type="dxa"/>
            <w:tcBorders/>
            <w:vAlign w:val="center"/>
          </w:tcPr>
          <w:p>
            <w:pPr>
              <w:pStyle w:val="TableContents"/>
              <w:bidi w:val="0"/>
              <w:spacing w:before="0" w:after="283"/>
              <w:jc w:val="left"/>
              <w:rPr>
                <w:sz w:val="20"/>
              </w:rPr>
            </w:pPr>
            <w:r>
              <w:rPr>
                <w:sz w:val="20"/>
              </w:rPr>
              <w:t>Selection of Securities to be Redeemed or Repurchased</w:t>
            </w:r>
          </w:p>
        </w:tc>
        <w:tc>
          <w:tcPr>
            <w:tcW w:w="530" w:type="dxa"/>
            <w:tcBorders/>
            <w:vAlign w:val="center"/>
          </w:tcPr>
          <w:p>
            <w:pPr>
              <w:pStyle w:val="TableContents"/>
              <w:bidi w:val="0"/>
              <w:spacing w:before="0" w:after="283"/>
              <w:jc w:val="right"/>
              <w:rPr>
                <w:sz w:val="20"/>
              </w:rPr>
            </w:pPr>
            <w:r>
              <w:rPr>
                <w:sz w:val="20"/>
              </w:rPr>
              <w:t>18</w:t>
            </w:r>
          </w:p>
        </w:tc>
      </w:tr>
      <w:tr>
        <w:trPr/>
        <w:tc>
          <w:tcPr>
            <w:tcW w:w="1108" w:type="dxa"/>
            <w:tcBorders/>
            <w:vAlign w:val="center"/>
          </w:tcPr>
          <w:p>
            <w:pPr>
              <w:pStyle w:val="TableContents"/>
              <w:bidi w:val="0"/>
              <w:spacing w:before="0" w:after="283"/>
              <w:jc w:val="left"/>
              <w:rPr>
                <w:sz w:val="20"/>
              </w:rPr>
            </w:pPr>
            <w:r>
              <w:rPr>
                <w:sz w:val="20"/>
              </w:rPr>
              <w:t>Section 3.3</w:t>
            </w:r>
          </w:p>
        </w:tc>
        <w:tc>
          <w:tcPr>
            <w:tcW w:w="4716" w:type="dxa"/>
            <w:tcBorders/>
            <w:vAlign w:val="center"/>
          </w:tcPr>
          <w:p>
            <w:pPr>
              <w:pStyle w:val="TableContents"/>
              <w:bidi w:val="0"/>
              <w:spacing w:before="0" w:after="283"/>
              <w:jc w:val="left"/>
              <w:rPr>
                <w:sz w:val="20"/>
              </w:rPr>
            </w:pPr>
            <w:r>
              <w:rPr>
                <w:sz w:val="20"/>
              </w:rPr>
              <w:t>Notice of Redemption</w:t>
            </w:r>
          </w:p>
        </w:tc>
        <w:tc>
          <w:tcPr>
            <w:tcW w:w="530" w:type="dxa"/>
            <w:tcBorders/>
            <w:vAlign w:val="center"/>
          </w:tcPr>
          <w:p>
            <w:pPr>
              <w:pStyle w:val="TableContents"/>
              <w:bidi w:val="0"/>
              <w:spacing w:before="0" w:after="283"/>
              <w:jc w:val="right"/>
              <w:rPr>
                <w:sz w:val="20"/>
              </w:rPr>
            </w:pPr>
            <w:r>
              <w:rPr>
                <w:sz w:val="20"/>
              </w:rPr>
              <w:t>18</w:t>
            </w:r>
          </w:p>
        </w:tc>
      </w:tr>
      <w:tr>
        <w:trPr/>
        <w:tc>
          <w:tcPr>
            <w:tcW w:w="1108" w:type="dxa"/>
            <w:tcBorders/>
            <w:vAlign w:val="center"/>
          </w:tcPr>
          <w:p>
            <w:pPr>
              <w:pStyle w:val="TableContents"/>
              <w:bidi w:val="0"/>
              <w:spacing w:before="0" w:after="283"/>
              <w:jc w:val="left"/>
              <w:rPr>
                <w:sz w:val="20"/>
              </w:rPr>
            </w:pPr>
            <w:r>
              <w:rPr>
                <w:sz w:val="20"/>
              </w:rPr>
              <w:t>Section 3.4</w:t>
            </w:r>
          </w:p>
        </w:tc>
        <w:tc>
          <w:tcPr>
            <w:tcW w:w="4716" w:type="dxa"/>
            <w:tcBorders/>
            <w:vAlign w:val="center"/>
          </w:tcPr>
          <w:p>
            <w:pPr>
              <w:pStyle w:val="TableContents"/>
              <w:bidi w:val="0"/>
              <w:spacing w:before="0" w:after="283"/>
              <w:jc w:val="left"/>
              <w:rPr>
                <w:sz w:val="20"/>
              </w:rPr>
            </w:pPr>
            <w:r>
              <w:rPr>
                <w:sz w:val="20"/>
              </w:rPr>
              <w:t>Effect of Notice of Redemption</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sz w:val="20"/>
              </w:rPr>
            </w:pPr>
            <w:r>
              <w:rPr>
                <w:sz w:val="20"/>
              </w:rPr>
              <w:t>Section 3.5</w:t>
            </w:r>
          </w:p>
        </w:tc>
        <w:tc>
          <w:tcPr>
            <w:tcW w:w="4716" w:type="dxa"/>
            <w:tcBorders/>
            <w:vAlign w:val="center"/>
          </w:tcPr>
          <w:p>
            <w:pPr>
              <w:pStyle w:val="TableContents"/>
              <w:bidi w:val="0"/>
              <w:spacing w:before="0" w:after="283"/>
              <w:jc w:val="left"/>
              <w:rPr>
                <w:sz w:val="20"/>
              </w:rPr>
            </w:pPr>
            <w:r>
              <w:rPr>
                <w:sz w:val="20"/>
              </w:rPr>
              <w:t>Deposit of Redemption Price</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sz w:val="20"/>
              </w:rPr>
            </w:pPr>
            <w:r>
              <w:rPr>
                <w:sz w:val="20"/>
              </w:rPr>
              <w:t>Section 3.6</w:t>
            </w:r>
          </w:p>
        </w:tc>
        <w:tc>
          <w:tcPr>
            <w:tcW w:w="4716" w:type="dxa"/>
            <w:tcBorders/>
            <w:vAlign w:val="center"/>
          </w:tcPr>
          <w:p>
            <w:pPr>
              <w:pStyle w:val="TableContents"/>
              <w:bidi w:val="0"/>
              <w:spacing w:before="0" w:after="283"/>
              <w:jc w:val="left"/>
              <w:rPr>
                <w:sz w:val="20"/>
              </w:rPr>
            </w:pPr>
            <w:r>
              <w:rPr>
                <w:sz w:val="20"/>
              </w:rPr>
              <w:t>Securities Redeemed in Part</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5824" w:type="dxa"/>
            <w:gridSpan w:val="2"/>
            <w:tcBorders/>
            <w:vAlign w:val="center"/>
          </w:tcPr>
          <w:p>
            <w:pPr>
              <w:pStyle w:val="TableContents"/>
              <w:bidi w:val="0"/>
              <w:spacing w:before="0" w:after="283"/>
              <w:jc w:val="left"/>
              <w:rPr/>
            </w:pPr>
            <w:r>
              <w:rPr>
                <w:sz w:val="20"/>
              </w:rPr>
              <w:t>ARTICLE IV. COVENANTS</w:t>
            </w:r>
            <w:r>
              <w:rPr/>
              <w:t xml:space="preserve"> </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pPr>
            <w:r>
              <w:rPr/>
              <w:t> </w:t>
            </w:r>
          </w:p>
        </w:tc>
        <w:tc>
          <w:tcPr>
            <w:tcW w:w="4716"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right"/>
              <w:rPr/>
            </w:pPr>
            <w:r>
              <w:rPr/>
              <w:t> </w:t>
            </w:r>
          </w:p>
        </w:tc>
      </w:tr>
      <w:tr>
        <w:trPr/>
        <w:tc>
          <w:tcPr>
            <w:tcW w:w="1108" w:type="dxa"/>
            <w:tcBorders/>
            <w:vAlign w:val="center"/>
          </w:tcPr>
          <w:p>
            <w:pPr>
              <w:pStyle w:val="TableContents"/>
              <w:bidi w:val="0"/>
              <w:spacing w:before="0" w:after="283"/>
              <w:jc w:val="left"/>
              <w:rPr>
                <w:sz w:val="20"/>
              </w:rPr>
            </w:pPr>
            <w:r>
              <w:rPr>
                <w:sz w:val="20"/>
              </w:rPr>
              <w:t>Section 4.1</w:t>
            </w:r>
          </w:p>
        </w:tc>
        <w:tc>
          <w:tcPr>
            <w:tcW w:w="4716" w:type="dxa"/>
            <w:tcBorders/>
            <w:vAlign w:val="center"/>
          </w:tcPr>
          <w:p>
            <w:pPr>
              <w:pStyle w:val="TableContents"/>
              <w:bidi w:val="0"/>
              <w:spacing w:before="0" w:after="283"/>
              <w:jc w:val="left"/>
              <w:rPr>
                <w:sz w:val="20"/>
              </w:rPr>
            </w:pPr>
            <w:r>
              <w:rPr>
                <w:sz w:val="20"/>
              </w:rPr>
              <w:t>Payment of Principal and Interest</w:t>
            </w:r>
          </w:p>
        </w:tc>
        <w:tc>
          <w:tcPr>
            <w:tcW w:w="530" w:type="dxa"/>
            <w:tcBorders/>
            <w:vAlign w:val="center"/>
          </w:tcPr>
          <w:p>
            <w:pPr>
              <w:pStyle w:val="TableContents"/>
              <w:bidi w:val="0"/>
              <w:spacing w:before="0" w:after="283"/>
              <w:jc w:val="right"/>
              <w:rPr>
                <w:sz w:val="20"/>
              </w:rPr>
            </w:pPr>
            <w:r>
              <w:rPr>
                <w:sz w:val="20"/>
              </w:rPr>
              <w:t>19</w:t>
            </w:r>
          </w:p>
        </w:tc>
      </w:tr>
      <w:tr>
        <w:trPr/>
        <w:tc>
          <w:tcPr>
            <w:tcW w:w="1108" w:type="dxa"/>
            <w:tcBorders/>
            <w:vAlign w:val="center"/>
          </w:tcPr>
          <w:p>
            <w:pPr>
              <w:pStyle w:val="TableContents"/>
              <w:bidi w:val="0"/>
              <w:spacing w:before="0" w:after="283"/>
              <w:jc w:val="left"/>
              <w:rPr>
                <w:sz w:val="20"/>
              </w:rPr>
            </w:pPr>
            <w:r>
              <w:rPr>
                <w:sz w:val="20"/>
              </w:rPr>
              <w:t>Section 4.2</w:t>
            </w:r>
          </w:p>
        </w:tc>
        <w:tc>
          <w:tcPr>
            <w:tcW w:w="4716" w:type="dxa"/>
            <w:tcBorders/>
            <w:vAlign w:val="center"/>
          </w:tcPr>
          <w:p>
            <w:pPr>
              <w:pStyle w:val="TableContents"/>
              <w:bidi w:val="0"/>
              <w:spacing w:before="0" w:after="283"/>
              <w:jc w:val="left"/>
              <w:rPr>
                <w:sz w:val="20"/>
              </w:rPr>
            </w:pPr>
            <w:r>
              <w:rPr>
                <w:sz w:val="20"/>
              </w:rPr>
              <w:t>Maintenance of Office or Agency</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sz w:val="20"/>
              </w:rPr>
            </w:pPr>
            <w:r>
              <w:rPr>
                <w:sz w:val="20"/>
              </w:rPr>
              <w:t>Section 4.3</w:t>
            </w:r>
          </w:p>
        </w:tc>
        <w:tc>
          <w:tcPr>
            <w:tcW w:w="4716" w:type="dxa"/>
            <w:tcBorders/>
            <w:vAlign w:val="center"/>
          </w:tcPr>
          <w:p>
            <w:pPr>
              <w:pStyle w:val="TableContents"/>
              <w:bidi w:val="0"/>
              <w:spacing w:before="0" w:after="283"/>
              <w:jc w:val="left"/>
              <w:rPr>
                <w:sz w:val="20"/>
              </w:rPr>
            </w:pPr>
            <w:r>
              <w:rPr>
                <w:sz w:val="20"/>
              </w:rPr>
              <w:t>Reports</w:t>
            </w:r>
          </w:p>
        </w:tc>
        <w:tc>
          <w:tcPr>
            <w:tcW w:w="530" w:type="dxa"/>
            <w:tcBorders/>
            <w:vAlign w:val="center"/>
          </w:tcPr>
          <w:p>
            <w:pPr>
              <w:pStyle w:val="TableContents"/>
              <w:bidi w:val="0"/>
              <w:spacing w:before="0" w:after="283"/>
              <w:jc w:val="right"/>
              <w:rPr>
                <w:sz w:val="20"/>
              </w:rPr>
            </w:pPr>
            <w:r>
              <w:rPr>
                <w:sz w:val="20"/>
              </w:rPr>
              <w:t>20</w:t>
            </w:r>
          </w:p>
        </w:tc>
      </w:tr>
      <w:tr>
        <w:trPr/>
        <w:tc>
          <w:tcPr>
            <w:tcW w:w="1108" w:type="dxa"/>
            <w:tcBorders/>
            <w:vAlign w:val="center"/>
          </w:tcPr>
          <w:p>
            <w:pPr>
              <w:pStyle w:val="TableContents"/>
              <w:bidi w:val="0"/>
              <w:spacing w:before="0" w:after="283"/>
              <w:jc w:val="left"/>
              <w:rPr>
                <w:sz w:val="20"/>
              </w:rPr>
            </w:pPr>
            <w:r>
              <w:rPr>
                <w:sz w:val="20"/>
              </w:rPr>
              <w:t>Section 4.4</w:t>
            </w:r>
          </w:p>
        </w:tc>
        <w:tc>
          <w:tcPr>
            <w:tcW w:w="4716" w:type="dxa"/>
            <w:tcBorders/>
            <w:vAlign w:val="center"/>
          </w:tcPr>
          <w:p>
            <w:pPr>
              <w:pStyle w:val="TableContents"/>
              <w:bidi w:val="0"/>
              <w:spacing w:before="0" w:after="283"/>
              <w:jc w:val="left"/>
              <w:rPr>
                <w:sz w:val="20"/>
              </w:rPr>
            </w:pPr>
            <w:r>
              <w:rPr>
                <w:sz w:val="20"/>
              </w:rPr>
              <w:t>Compliance Certificate</w:t>
            </w:r>
          </w:p>
        </w:tc>
        <w:tc>
          <w:tcPr>
            <w:tcW w:w="530" w:type="dxa"/>
            <w:tcBorders/>
            <w:vAlign w:val="center"/>
          </w:tcPr>
          <w:p>
            <w:pPr>
              <w:pStyle w:val="TableContents"/>
              <w:bidi w:val="0"/>
              <w:spacing w:before="0" w:after="283"/>
              <w:jc w:val="right"/>
              <w:rPr>
                <w:sz w:val="20"/>
              </w:rPr>
            </w:pPr>
            <w:r>
              <w:rPr>
                <w:sz w:val="20"/>
              </w:rPr>
              <w:t>21</w:t>
            </w:r>
          </w:p>
        </w:tc>
      </w:tr>
      <w:tr>
        <w:trPr/>
        <w:tc>
          <w:tcPr>
            <w:tcW w:w="1108" w:type="dxa"/>
            <w:tcBorders/>
            <w:vAlign w:val="center"/>
          </w:tcPr>
          <w:p>
            <w:pPr>
              <w:pStyle w:val="TableContents"/>
              <w:bidi w:val="0"/>
              <w:spacing w:before="0" w:after="283"/>
              <w:jc w:val="left"/>
              <w:rPr>
                <w:sz w:val="20"/>
              </w:rPr>
            </w:pPr>
            <w:r>
              <w:rPr>
                <w:sz w:val="20"/>
              </w:rPr>
              <w:t>Section 4.5</w:t>
            </w:r>
          </w:p>
        </w:tc>
        <w:tc>
          <w:tcPr>
            <w:tcW w:w="4716" w:type="dxa"/>
            <w:tcBorders/>
            <w:vAlign w:val="center"/>
          </w:tcPr>
          <w:p>
            <w:pPr>
              <w:pStyle w:val="TableContents"/>
              <w:bidi w:val="0"/>
              <w:spacing w:before="0" w:after="283"/>
              <w:jc w:val="left"/>
              <w:rPr>
                <w:sz w:val="20"/>
              </w:rPr>
            </w:pPr>
            <w:r>
              <w:rPr>
                <w:sz w:val="20"/>
              </w:rPr>
              <w:t>Taxes</w:t>
            </w:r>
          </w:p>
        </w:tc>
        <w:tc>
          <w:tcPr>
            <w:tcW w:w="530" w:type="dxa"/>
            <w:tcBorders/>
            <w:vAlign w:val="center"/>
          </w:tcPr>
          <w:p>
            <w:pPr>
              <w:pStyle w:val="TableContents"/>
              <w:bidi w:val="0"/>
              <w:spacing w:before="0" w:after="283"/>
              <w:jc w:val="right"/>
              <w:rPr>
                <w:sz w:val="20"/>
              </w:rPr>
            </w:pPr>
            <w:r>
              <w:rPr>
                <w:sz w:val="20"/>
              </w:rPr>
              <w:t>21</w:t>
            </w:r>
          </w:p>
        </w:tc>
      </w:tr>
      <w:tr>
        <w:trPr/>
        <w:tc>
          <w:tcPr>
            <w:tcW w:w="1108" w:type="dxa"/>
            <w:tcBorders/>
            <w:vAlign w:val="center"/>
          </w:tcPr>
          <w:p>
            <w:pPr>
              <w:pStyle w:val="TableContents"/>
              <w:bidi w:val="0"/>
              <w:spacing w:before="0" w:after="283"/>
              <w:jc w:val="left"/>
              <w:rPr>
                <w:sz w:val="20"/>
              </w:rPr>
            </w:pPr>
            <w:r>
              <w:rPr>
                <w:sz w:val="20"/>
              </w:rPr>
              <w:t>Section 4.6</w:t>
            </w:r>
          </w:p>
        </w:tc>
        <w:tc>
          <w:tcPr>
            <w:tcW w:w="4716" w:type="dxa"/>
            <w:tcBorders/>
            <w:vAlign w:val="center"/>
          </w:tcPr>
          <w:p>
            <w:pPr>
              <w:pStyle w:val="TableContents"/>
              <w:bidi w:val="0"/>
              <w:spacing w:before="0" w:after="283"/>
              <w:jc w:val="left"/>
              <w:rPr>
                <w:sz w:val="20"/>
              </w:rPr>
            </w:pPr>
            <w:r>
              <w:rPr>
                <w:sz w:val="20"/>
              </w:rPr>
              <w:t>Stay, Extension and Usury Laws</w:t>
            </w:r>
          </w:p>
        </w:tc>
        <w:tc>
          <w:tcPr>
            <w:tcW w:w="530" w:type="dxa"/>
            <w:tcBorders/>
            <w:vAlign w:val="center"/>
          </w:tcPr>
          <w:p>
            <w:pPr>
              <w:pStyle w:val="TableContents"/>
              <w:bidi w:val="0"/>
              <w:spacing w:before="0" w:after="283"/>
              <w:jc w:val="right"/>
              <w:rPr>
                <w:sz w:val="20"/>
              </w:rPr>
            </w:pPr>
            <w:r>
              <w:rPr>
                <w:sz w:val="20"/>
              </w:rPr>
              <w:t>21</w:t>
            </w:r>
          </w:p>
        </w:tc>
      </w:tr>
      <w:tr>
        <w:trPr/>
        <w:tc>
          <w:tcPr>
            <w:tcW w:w="1108" w:type="dxa"/>
            <w:tcBorders/>
            <w:vAlign w:val="center"/>
          </w:tcPr>
          <w:p>
            <w:pPr>
              <w:pStyle w:val="TableContents"/>
              <w:bidi w:val="0"/>
              <w:spacing w:before="0" w:after="283"/>
              <w:jc w:val="left"/>
              <w:rPr>
                <w:sz w:val="20"/>
              </w:rPr>
            </w:pPr>
            <w:r>
              <w:rPr>
                <w:sz w:val="20"/>
              </w:rPr>
              <w:t>Section 4.7</w:t>
            </w:r>
          </w:p>
        </w:tc>
        <w:tc>
          <w:tcPr>
            <w:tcW w:w="4716" w:type="dxa"/>
            <w:tcBorders/>
            <w:vAlign w:val="center"/>
          </w:tcPr>
          <w:p>
            <w:pPr>
              <w:pStyle w:val="TableContents"/>
              <w:bidi w:val="0"/>
              <w:spacing w:before="0" w:after="283"/>
              <w:jc w:val="left"/>
              <w:rPr>
                <w:sz w:val="20"/>
              </w:rPr>
            </w:pPr>
            <w:r>
              <w:rPr>
                <w:sz w:val="20"/>
              </w:rPr>
              <w:t>Corporate Existence</w:t>
            </w:r>
          </w:p>
        </w:tc>
        <w:tc>
          <w:tcPr>
            <w:tcW w:w="530" w:type="dxa"/>
            <w:tcBorders/>
            <w:vAlign w:val="center"/>
          </w:tcPr>
          <w:p>
            <w:pPr>
              <w:pStyle w:val="TableContents"/>
              <w:bidi w:val="0"/>
              <w:spacing w:before="0" w:after="283"/>
              <w:jc w:val="right"/>
              <w:rPr>
                <w:sz w:val="20"/>
              </w:rPr>
            </w:pPr>
            <w:r>
              <w:rPr>
                <w:sz w:val="20"/>
              </w:rPr>
              <w:t>21</w:t>
            </w:r>
          </w:p>
        </w:tc>
      </w:tr>
    </w:tbl>
    <w:p>
      <w:pPr>
        <w:pStyle w:val="TextBody"/>
        <w:bidi w:val="0"/>
        <w:spacing w:before="0" w:after="283"/>
        <w:jc w:val="left"/>
        <w:rPr/>
      </w:pPr>
      <w:r>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9255" w:type="dxa"/>
        <w:jc w:val="left"/>
        <w:tblInd w:w="0" w:type="dxa"/>
        <w:tblLayout w:type="fixed"/>
        <w:tblCellMar>
          <w:top w:w="0" w:type="dxa"/>
          <w:left w:w="0" w:type="dxa"/>
          <w:bottom w:w="0" w:type="dxa"/>
          <w:right w:w="0" w:type="dxa"/>
        </w:tblCellMar>
      </w:tblPr>
      <w:tblGrid>
        <w:gridCol w:w="1055"/>
        <w:gridCol w:w="7955"/>
        <w:gridCol w:w="245"/>
      </w:tblGrid>
      <w:tr>
        <w:trPr/>
        <w:tc>
          <w:tcPr>
            <w:tcW w:w="9010" w:type="dxa"/>
            <w:gridSpan w:val="2"/>
            <w:tcBorders/>
            <w:vAlign w:val="center"/>
          </w:tcPr>
          <w:p>
            <w:pPr>
              <w:pStyle w:val="TableContents"/>
              <w:bidi w:val="0"/>
              <w:spacing w:before="0" w:after="283"/>
              <w:jc w:val="left"/>
              <w:rPr/>
            </w:pPr>
            <w:r>
              <w:rPr>
                <w:sz w:val="20"/>
              </w:rPr>
              <w:t>ARTICLE V. SUCCESSORS</w:t>
            </w:r>
            <w:r>
              <w:rPr/>
              <w:t xml:space="preserve"> </w:t>
            </w:r>
          </w:p>
        </w:tc>
        <w:tc>
          <w:tcPr>
            <w:tcW w:w="245" w:type="dxa"/>
            <w:tcBorders/>
            <w:vAlign w:val="center"/>
          </w:tcPr>
          <w:p>
            <w:pPr>
              <w:pStyle w:val="TableContents"/>
              <w:bidi w:val="0"/>
              <w:spacing w:before="0" w:after="283"/>
              <w:jc w:val="right"/>
              <w:rPr>
                <w:sz w:val="20"/>
              </w:rPr>
            </w:pPr>
            <w:r>
              <w:rPr>
                <w:sz w:val="20"/>
              </w:rPr>
              <w:t>22</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5.1</w:t>
            </w:r>
          </w:p>
        </w:tc>
        <w:tc>
          <w:tcPr>
            <w:tcW w:w="7955" w:type="dxa"/>
            <w:tcBorders/>
            <w:vAlign w:val="center"/>
          </w:tcPr>
          <w:p>
            <w:pPr>
              <w:pStyle w:val="TableContents"/>
              <w:bidi w:val="0"/>
              <w:spacing w:before="0" w:after="283"/>
              <w:jc w:val="left"/>
              <w:rPr>
                <w:sz w:val="20"/>
              </w:rPr>
            </w:pPr>
            <w:r>
              <w:rPr>
                <w:sz w:val="20"/>
              </w:rPr>
              <w:t>Merger, Consolidation, or Sale of Assets</w:t>
            </w:r>
          </w:p>
        </w:tc>
        <w:tc>
          <w:tcPr>
            <w:tcW w:w="245" w:type="dxa"/>
            <w:tcBorders/>
            <w:vAlign w:val="center"/>
          </w:tcPr>
          <w:p>
            <w:pPr>
              <w:pStyle w:val="TableContents"/>
              <w:bidi w:val="0"/>
              <w:spacing w:before="0" w:after="283"/>
              <w:jc w:val="right"/>
              <w:rPr>
                <w:sz w:val="20"/>
              </w:rPr>
            </w:pPr>
            <w:r>
              <w:rPr>
                <w:sz w:val="20"/>
              </w:rPr>
              <w:t>22</w:t>
            </w:r>
          </w:p>
        </w:tc>
      </w:tr>
      <w:tr>
        <w:trPr/>
        <w:tc>
          <w:tcPr>
            <w:tcW w:w="1055" w:type="dxa"/>
            <w:tcBorders/>
            <w:vAlign w:val="center"/>
          </w:tcPr>
          <w:p>
            <w:pPr>
              <w:pStyle w:val="TableContents"/>
              <w:bidi w:val="0"/>
              <w:spacing w:before="0" w:after="283"/>
              <w:jc w:val="left"/>
              <w:rPr>
                <w:sz w:val="20"/>
              </w:rPr>
            </w:pPr>
            <w:r>
              <w:rPr>
                <w:sz w:val="20"/>
              </w:rPr>
              <w:t>Section 5.2</w:t>
            </w:r>
          </w:p>
        </w:tc>
        <w:tc>
          <w:tcPr>
            <w:tcW w:w="7955" w:type="dxa"/>
            <w:tcBorders/>
            <w:vAlign w:val="center"/>
          </w:tcPr>
          <w:p>
            <w:pPr>
              <w:pStyle w:val="TableContents"/>
              <w:bidi w:val="0"/>
              <w:spacing w:before="0" w:after="283"/>
              <w:jc w:val="left"/>
              <w:rPr>
                <w:sz w:val="20"/>
              </w:rPr>
            </w:pPr>
            <w:r>
              <w:rPr>
                <w:sz w:val="20"/>
              </w:rPr>
              <w:t>Successor Corporation Substituted</w:t>
            </w:r>
          </w:p>
        </w:tc>
        <w:tc>
          <w:tcPr>
            <w:tcW w:w="24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 DEFAULTS AND REMEDIES</w:t>
            </w:r>
            <w:r>
              <w:rPr/>
              <w:t xml:space="preserve"> </w:t>
            </w:r>
          </w:p>
        </w:tc>
        <w:tc>
          <w:tcPr>
            <w:tcW w:w="24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6.1</w:t>
            </w:r>
          </w:p>
        </w:tc>
        <w:tc>
          <w:tcPr>
            <w:tcW w:w="7955" w:type="dxa"/>
            <w:tcBorders/>
            <w:vAlign w:val="center"/>
          </w:tcPr>
          <w:p>
            <w:pPr>
              <w:pStyle w:val="TableContents"/>
              <w:bidi w:val="0"/>
              <w:spacing w:before="0" w:after="283"/>
              <w:jc w:val="left"/>
              <w:rPr>
                <w:sz w:val="20"/>
              </w:rPr>
            </w:pPr>
            <w:r>
              <w:rPr>
                <w:sz w:val="20"/>
              </w:rPr>
              <w:t>Events of Default</w:t>
            </w:r>
          </w:p>
        </w:tc>
        <w:tc>
          <w:tcPr>
            <w:tcW w:w="245" w:type="dxa"/>
            <w:tcBorders/>
            <w:vAlign w:val="center"/>
          </w:tcPr>
          <w:p>
            <w:pPr>
              <w:pStyle w:val="TableContents"/>
              <w:bidi w:val="0"/>
              <w:spacing w:before="0" w:after="283"/>
              <w:jc w:val="right"/>
              <w:rPr>
                <w:sz w:val="20"/>
              </w:rPr>
            </w:pPr>
            <w:r>
              <w:rPr>
                <w:sz w:val="20"/>
              </w:rPr>
              <w:t>23</w:t>
            </w:r>
          </w:p>
        </w:tc>
      </w:tr>
      <w:tr>
        <w:trPr/>
        <w:tc>
          <w:tcPr>
            <w:tcW w:w="1055" w:type="dxa"/>
            <w:tcBorders/>
            <w:vAlign w:val="center"/>
          </w:tcPr>
          <w:p>
            <w:pPr>
              <w:pStyle w:val="TableContents"/>
              <w:bidi w:val="0"/>
              <w:spacing w:before="0" w:after="283"/>
              <w:jc w:val="left"/>
              <w:rPr>
                <w:sz w:val="20"/>
              </w:rPr>
            </w:pPr>
            <w:r>
              <w:rPr>
                <w:sz w:val="20"/>
              </w:rPr>
              <w:t>Section 6.2</w:t>
            </w:r>
          </w:p>
        </w:tc>
        <w:tc>
          <w:tcPr>
            <w:tcW w:w="7955" w:type="dxa"/>
            <w:tcBorders/>
            <w:vAlign w:val="center"/>
          </w:tcPr>
          <w:p>
            <w:pPr>
              <w:pStyle w:val="TableContents"/>
              <w:bidi w:val="0"/>
              <w:spacing w:before="0" w:after="283"/>
              <w:jc w:val="left"/>
              <w:rPr>
                <w:sz w:val="20"/>
              </w:rPr>
            </w:pPr>
            <w:r>
              <w:rPr>
                <w:sz w:val="20"/>
              </w:rPr>
              <w:t>Acceleration</w:t>
            </w:r>
          </w:p>
        </w:tc>
        <w:tc>
          <w:tcPr>
            <w:tcW w:w="245" w:type="dxa"/>
            <w:tcBorders/>
            <w:vAlign w:val="center"/>
          </w:tcPr>
          <w:p>
            <w:pPr>
              <w:pStyle w:val="TableContents"/>
              <w:bidi w:val="0"/>
              <w:spacing w:before="0" w:after="283"/>
              <w:jc w:val="right"/>
              <w:rPr>
                <w:sz w:val="20"/>
              </w:rPr>
            </w:pPr>
            <w:r>
              <w:rPr>
                <w:sz w:val="20"/>
              </w:rPr>
              <w:t>24</w:t>
            </w:r>
          </w:p>
        </w:tc>
      </w:tr>
      <w:tr>
        <w:trPr/>
        <w:tc>
          <w:tcPr>
            <w:tcW w:w="1055" w:type="dxa"/>
            <w:tcBorders/>
            <w:vAlign w:val="center"/>
          </w:tcPr>
          <w:p>
            <w:pPr>
              <w:pStyle w:val="TableContents"/>
              <w:bidi w:val="0"/>
              <w:spacing w:before="0" w:after="283"/>
              <w:jc w:val="left"/>
              <w:rPr>
                <w:sz w:val="20"/>
              </w:rPr>
            </w:pPr>
            <w:r>
              <w:rPr>
                <w:sz w:val="20"/>
              </w:rPr>
              <w:t>Section 6.3</w:t>
            </w:r>
          </w:p>
        </w:tc>
        <w:tc>
          <w:tcPr>
            <w:tcW w:w="7955" w:type="dxa"/>
            <w:tcBorders/>
            <w:vAlign w:val="center"/>
          </w:tcPr>
          <w:p>
            <w:pPr>
              <w:pStyle w:val="TableContents"/>
              <w:bidi w:val="0"/>
              <w:spacing w:before="0" w:after="283"/>
              <w:jc w:val="left"/>
              <w:rPr>
                <w:sz w:val="20"/>
              </w:rPr>
            </w:pPr>
            <w:r>
              <w:rPr>
                <w:sz w:val="20"/>
              </w:rPr>
              <w:t>Other Remedies</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6.4</w:t>
            </w:r>
          </w:p>
        </w:tc>
        <w:tc>
          <w:tcPr>
            <w:tcW w:w="7955" w:type="dxa"/>
            <w:tcBorders/>
            <w:vAlign w:val="center"/>
          </w:tcPr>
          <w:p>
            <w:pPr>
              <w:pStyle w:val="TableContents"/>
              <w:bidi w:val="0"/>
              <w:spacing w:before="0" w:after="283"/>
              <w:jc w:val="left"/>
              <w:rPr>
                <w:sz w:val="20"/>
              </w:rPr>
            </w:pPr>
            <w:r>
              <w:rPr>
                <w:sz w:val="20"/>
              </w:rPr>
              <w:t>Waiver of Past Defaults</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6.5</w:t>
            </w:r>
          </w:p>
        </w:tc>
        <w:tc>
          <w:tcPr>
            <w:tcW w:w="7955" w:type="dxa"/>
            <w:tcBorders/>
            <w:vAlign w:val="center"/>
          </w:tcPr>
          <w:p>
            <w:pPr>
              <w:pStyle w:val="TableContents"/>
              <w:bidi w:val="0"/>
              <w:spacing w:before="0" w:after="283"/>
              <w:jc w:val="left"/>
              <w:rPr>
                <w:sz w:val="20"/>
              </w:rPr>
            </w:pPr>
            <w:r>
              <w:rPr>
                <w:sz w:val="20"/>
              </w:rPr>
              <w:t>Control by Majority</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6.6</w:t>
            </w:r>
          </w:p>
        </w:tc>
        <w:tc>
          <w:tcPr>
            <w:tcW w:w="7955" w:type="dxa"/>
            <w:tcBorders/>
            <w:vAlign w:val="center"/>
          </w:tcPr>
          <w:p>
            <w:pPr>
              <w:pStyle w:val="TableContents"/>
              <w:bidi w:val="0"/>
              <w:spacing w:before="0" w:after="283"/>
              <w:jc w:val="left"/>
              <w:rPr>
                <w:sz w:val="20"/>
              </w:rPr>
            </w:pPr>
            <w:r>
              <w:rPr>
                <w:sz w:val="20"/>
              </w:rPr>
              <w:t>Limitation on Suits</w:t>
            </w:r>
          </w:p>
        </w:tc>
        <w:tc>
          <w:tcPr>
            <w:tcW w:w="245" w:type="dxa"/>
            <w:tcBorders/>
            <w:vAlign w:val="center"/>
          </w:tcPr>
          <w:p>
            <w:pPr>
              <w:pStyle w:val="TableContents"/>
              <w:bidi w:val="0"/>
              <w:spacing w:before="0" w:after="283"/>
              <w:jc w:val="right"/>
              <w:rPr>
                <w:sz w:val="20"/>
              </w:rPr>
            </w:pPr>
            <w:r>
              <w:rPr>
                <w:sz w:val="20"/>
              </w:rPr>
              <w:t>25</w:t>
            </w:r>
          </w:p>
        </w:tc>
      </w:tr>
      <w:tr>
        <w:trPr/>
        <w:tc>
          <w:tcPr>
            <w:tcW w:w="1055" w:type="dxa"/>
            <w:tcBorders/>
            <w:vAlign w:val="center"/>
          </w:tcPr>
          <w:p>
            <w:pPr>
              <w:pStyle w:val="TableContents"/>
              <w:bidi w:val="0"/>
              <w:spacing w:before="0" w:after="283"/>
              <w:jc w:val="left"/>
              <w:rPr>
                <w:sz w:val="20"/>
              </w:rPr>
            </w:pPr>
            <w:r>
              <w:rPr>
                <w:sz w:val="20"/>
              </w:rPr>
              <w:t>Section 6.7</w:t>
            </w:r>
          </w:p>
        </w:tc>
        <w:tc>
          <w:tcPr>
            <w:tcW w:w="7955" w:type="dxa"/>
            <w:tcBorders/>
            <w:vAlign w:val="center"/>
          </w:tcPr>
          <w:p>
            <w:pPr>
              <w:pStyle w:val="TableContents"/>
              <w:bidi w:val="0"/>
              <w:spacing w:before="0" w:after="283"/>
              <w:jc w:val="left"/>
              <w:rPr>
                <w:sz w:val="20"/>
              </w:rPr>
            </w:pPr>
            <w:r>
              <w:rPr>
                <w:sz w:val="20"/>
              </w:rPr>
              <w:t>Rights of Holders of Security to Receive Payment</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6.8</w:t>
            </w:r>
          </w:p>
        </w:tc>
        <w:tc>
          <w:tcPr>
            <w:tcW w:w="7955" w:type="dxa"/>
            <w:tcBorders/>
            <w:vAlign w:val="center"/>
          </w:tcPr>
          <w:p>
            <w:pPr>
              <w:pStyle w:val="TableContents"/>
              <w:bidi w:val="0"/>
              <w:spacing w:before="0" w:after="283"/>
              <w:jc w:val="left"/>
              <w:rPr>
                <w:sz w:val="20"/>
              </w:rPr>
            </w:pPr>
            <w:r>
              <w:rPr>
                <w:sz w:val="20"/>
              </w:rPr>
              <w:t>Collection Suit by Trustee</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6.9</w:t>
            </w:r>
          </w:p>
        </w:tc>
        <w:tc>
          <w:tcPr>
            <w:tcW w:w="7955" w:type="dxa"/>
            <w:tcBorders/>
            <w:vAlign w:val="center"/>
          </w:tcPr>
          <w:p>
            <w:pPr>
              <w:pStyle w:val="TableContents"/>
              <w:bidi w:val="0"/>
              <w:spacing w:before="0" w:after="283"/>
              <w:jc w:val="left"/>
              <w:rPr>
                <w:sz w:val="20"/>
              </w:rPr>
            </w:pPr>
            <w:r>
              <w:rPr>
                <w:sz w:val="20"/>
              </w:rPr>
              <w:t>Trustee May File Proofs of Claim</w:t>
            </w:r>
          </w:p>
        </w:tc>
        <w:tc>
          <w:tcPr>
            <w:tcW w:w="245" w:type="dxa"/>
            <w:tcBorders/>
            <w:vAlign w:val="center"/>
          </w:tcPr>
          <w:p>
            <w:pPr>
              <w:pStyle w:val="TableContents"/>
              <w:bidi w:val="0"/>
              <w:spacing w:before="0" w:after="283"/>
              <w:jc w:val="right"/>
              <w:rPr>
                <w:sz w:val="20"/>
              </w:rPr>
            </w:pPr>
            <w:r>
              <w:rPr>
                <w:sz w:val="20"/>
              </w:rPr>
              <w:t>26</w:t>
            </w:r>
          </w:p>
        </w:tc>
      </w:tr>
      <w:tr>
        <w:trPr/>
        <w:tc>
          <w:tcPr>
            <w:tcW w:w="1055" w:type="dxa"/>
            <w:tcBorders/>
            <w:vAlign w:val="center"/>
          </w:tcPr>
          <w:p>
            <w:pPr>
              <w:pStyle w:val="TableContents"/>
              <w:bidi w:val="0"/>
              <w:spacing w:before="0" w:after="283"/>
              <w:jc w:val="left"/>
              <w:rPr>
                <w:sz w:val="20"/>
              </w:rPr>
            </w:pPr>
            <w:r>
              <w:rPr>
                <w:sz w:val="20"/>
              </w:rPr>
              <w:t>Section 6.10</w:t>
            </w:r>
          </w:p>
        </w:tc>
        <w:tc>
          <w:tcPr>
            <w:tcW w:w="7955" w:type="dxa"/>
            <w:tcBorders/>
            <w:vAlign w:val="center"/>
          </w:tcPr>
          <w:p>
            <w:pPr>
              <w:pStyle w:val="TableContents"/>
              <w:bidi w:val="0"/>
              <w:spacing w:before="0" w:after="283"/>
              <w:jc w:val="left"/>
              <w:rPr>
                <w:sz w:val="20"/>
              </w:rPr>
            </w:pPr>
            <w:r>
              <w:rPr>
                <w:sz w:val="20"/>
              </w:rPr>
              <w:t>Priorities</w:t>
            </w:r>
          </w:p>
        </w:tc>
        <w:tc>
          <w:tcPr>
            <w:tcW w:w="245" w:type="dxa"/>
            <w:tcBorders/>
            <w:vAlign w:val="center"/>
          </w:tcPr>
          <w:p>
            <w:pPr>
              <w:pStyle w:val="TableContents"/>
              <w:bidi w:val="0"/>
              <w:spacing w:before="0" w:after="283"/>
              <w:jc w:val="right"/>
              <w:rPr>
                <w:sz w:val="20"/>
              </w:rPr>
            </w:pPr>
            <w:r>
              <w:rPr>
                <w:sz w:val="20"/>
              </w:rPr>
              <w:t>27</w:t>
            </w:r>
          </w:p>
        </w:tc>
      </w:tr>
      <w:tr>
        <w:trPr/>
        <w:tc>
          <w:tcPr>
            <w:tcW w:w="1055" w:type="dxa"/>
            <w:tcBorders/>
            <w:vAlign w:val="center"/>
          </w:tcPr>
          <w:p>
            <w:pPr>
              <w:pStyle w:val="TableContents"/>
              <w:bidi w:val="0"/>
              <w:spacing w:before="0" w:after="283"/>
              <w:jc w:val="left"/>
              <w:rPr>
                <w:sz w:val="20"/>
              </w:rPr>
            </w:pPr>
            <w:r>
              <w:rPr>
                <w:sz w:val="20"/>
              </w:rPr>
              <w:t>Section 6.11</w:t>
            </w:r>
          </w:p>
        </w:tc>
        <w:tc>
          <w:tcPr>
            <w:tcW w:w="7955" w:type="dxa"/>
            <w:tcBorders/>
            <w:vAlign w:val="center"/>
          </w:tcPr>
          <w:p>
            <w:pPr>
              <w:pStyle w:val="TableContents"/>
              <w:bidi w:val="0"/>
              <w:spacing w:before="0" w:after="283"/>
              <w:jc w:val="left"/>
              <w:rPr>
                <w:sz w:val="20"/>
              </w:rPr>
            </w:pPr>
            <w:r>
              <w:rPr>
                <w:sz w:val="20"/>
              </w:rPr>
              <w:t>Undertaking for Costs</w:t>
            </w:r>
          </w:p>
        </w:tc>
        <w:tc>
          <w:tcPr>
            <w:tcW w:w="245" w:type="dxa"/>
            <w:tcBorders/>
            <w:vAlign w:val="center"/>
          </w:tcPr>
          <w:p>
            <w:pPr>
              <w:pStyle w:val="TableContents"/>
              <w:bidi w:val="0"/>
              <w:spacing w:before="0" w:after="283"/>
              <w:jc w:val="right"/>
              <w:rPr>
                <w:sz w:val="20"/>
              </w:rPr>
            </w:pPr>
            <w:r>
              <w:rPr>
                <w:sz w:val="20"/>
              </w:rPr>
              <w:t>27</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VII. TRUSTEE</w:t>
            </w:r>
            <w:r>
              <w:rPr/>
              <w:t xml:space="preserve"> </w:t>
            </w:r>
          </w:p>
        </w:tc>
        <w:tc>
          <w:tcPr>
            <w:tcW w:w="245" w:type="dxa"/>
            <w:tcBorders/>
            <w:vAlign w:val="center"/>
          </w:tcPr>
          <w:p>
            <w:pPr>
              <w:pStyle w:val="TableContents"/>
              <w:bidi w:val="0"/>
              <w:spacing w:before="0" w:after="283"/>
              <w:jc w:val="right"/>
              <w:rPr>
                <w:sz w:val="20"/>
              </w:rPr>
            </w:pPr>
            <w:r>
              <w:rPr>
                <w:sz w:val="20"/>
              </w:rPr>
              <w:t>28</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7.1</w:t>
            </w:r>
          </w:p>
        </w:tc>
        <w:tc>
          <w:tcPr>
            <w:tcW w:w="7955" w:type="dxa"/>
            <w:tcBorders/>
            <w:vAlign w:val="center"/>
          </w:tcPr>
          <w:p>
            <w:pPr>
              <w:pStyle w:val="TableContents"/>
              <w:bidi w:val="0"/>
              <w:spacing w:before="0" w:after="283"/>
              <w:jc w:val="left"/>
              <w:rPr>
                <w:sz w:val="20"/>
              </w:rPr>
            </w:pPr>
            <w:r>
              <w:rPr>
                <w:sz w:val="20"/>
              </w:rPr>
              <w:t>Duties of Trustee</w:t>
            </w:r>
          </w:p>
        </w:tc>
        <w:tc>
          <w:tcPr>
            <w:tcW w:w="245" w:type="dxa"/>
            <w:tcBorders/>
            <w:vAlign w:val="center"/>
          </w:tcPr>
          <w:p>
            <w:pPr>
              <w:pStyle w:val="TableContents"/>
              <w:bidi w:val="0"/>
              <w:spacing w:before="0" w:after="283"/>
              <w:jc w:val="right"/>
              <w:rPr>
                <w:sz w:val="20"/>
              </w:rPr>
            </w:pPr>
            <w:r>
              <w:rPr>
                <w:sz w:val="20"/>
              </w:rPr>
              <w:t>28</w:t>
            </w:r>
          </w:p>
        </w:tc>
      </w:tr>
      <w:tr>
        <w:trPr/>
        <w:tc>
          <w:tcPr>
            <w:tcW w:w="1055" w:type="dxa"/>
            <w:tcBorders/>
            <w:vAlign w:val="center"/>
          </w:tcPr>
          <w:p>
            <w:pPr>
              <w:pStyle w:val="TableContents"/>
              <w:bidi w:val="0"/>
              <w:spacing w:before="0" w:after="283"/>
              <w:jc w:val="left"/>
              <w:rPr>
                <w:sz w:val="20"/>
              </w:rPr>
            </w:pPr>
            <w:r>
              <w:rPr>
                <w:sz w:val="20"/>
              </w:rPr>
              <w:t>Section 7.2</w:t>
            </w:r>
          </w:p>
        </w:tc>
        <w:tc>
          <w:tcPr>
            <w:tcW w:w="7955" w:type="dxa"/>
            <w:tcBorders/>
            <w:vAlign w:val="center"/>
          </w:tcPr>
          <w:p>
            <w:pPr>
              <w:pStyle w:val="TableContents"/>
              <w:bidi w:val="0"/>
              <w:spacing w:before="0" w:after="283"/>
              <w:jc w:val="left"/>
              <w:rPr>
                <w:sz w:val="20"/>
              </w:rPr>
            </w:pPr>
            <w:r>
              <w:rPr>
                <w:sz w:val="20"/>
              </w:rPr>
              <w:t>Rights of Trustee</w:t>
            </w:r>
          </w:p>
        </w:tc>
        <w:tc>
          <w:tcPr>
            <w:tcW w:w="245" w:type="dxa"/>
            <w:tcBorders/>
            <w:vAlign w:val="center"/>
          </w:tcPr>
          <w:p>
            <w:pPr>
              <w:pStyle w:val="TableContents"/>
              <w:bidi w:val="0"/>
              <w:spacing w:before="0" w:after="283"/>
              <w:jc w:val="right"/>
              <w:rPr>
                <w:sz w:val="20"/>
              </w:rPr>
            </w:pPr>
            <w:r>
              <w:rPr>
                <w:sz w:val="20"/>
              </w:rPr>
              <w:t>29</w:t>
            </w:r>
          </w:p>
        </w:tc>
      </w:tr>
      <w:tr>
        <w:trPr/>
        <w:tc>
          <w:tcPr>
            <w:tcW w:w="1055" w:type="dxa"/>
            <w:tcBorders/>
            <w:vAlign w:val="center"/>
          </w:tcPr>
          <w:p>
            <w:pPr>
              <w:pStyle w:val="TableContents"/>
              <w:bidi w:val="0"/>
              <w:spacing w:before="0" w:after="283"/>
              <w:jc w:val="left"/>
              <w:rPr>
                <w:sz w:val="20"/>
              </w:rPr>
            </w:pPr>
            <w:r>
              <w:rPr>
                <w:sz w:val="20"/>
              </w:rPr>
              <w:t>Section 7.3</w:t>
            </w:r>
          </w:p>
        </w:tc>
        <w:tc>
          <w:tcPr>
            <w:tcW w:w="7955" w:type="dxa"/>
            <w:tcBorders/>
            <w:vAlign w:val="center"/>
          </w:tcPr>
          <w:p>
            <w:pPr>
              <w:pStyle w:val="TableContents"/>
              <w:bidi w:val="0"/>
              <w:spacing w:before="0" w:after="283"/>
              <w:jc w:val="left"/>
              <w:rPr>
                <w:sz w:val="20"/>
              </w:rPr>
            </w:pPr>
            <w:r>
              <w:rPr>
                <w:sz w:val="20"/>
              </w:rPr>
              <w:t>Individual Rights of Trustee</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7.4</w:t>
            </w:r>
          </w:p>
        </w:tc>
        <w:tc>
          <w:tcPr>
            <w:tcW w:w="7955" w:type="dxa"/>
            <w:tcBorders/>
            <w:vAlign w:val="center"/>
          </w:tcPr>
          <w:p>
            <w:pPr>
              <w:pStyle w:val="TableContents"/>
              <w:bidi w:val="0"/>
              <w:spacing w:before="0" w:after="283"/>
              <w:jc w:val="left"/>
              <w:rPr>
                <w:sz w:val="20"/>
              </w:rPr>
            </w:pPr>
            <w:r>
              <w:rPr>
                <w:sz w:val="20"/>
              </w:rPr>
              <w:t>Trustee’s Disclaimer</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7.5</w:t>
            </w:r>
          </w:p>
        </w:tc>
        <w:tc>
          <w:tcPr>
            <w:tcW w:w="7955" w:type="dxa"/>
            <w:tcBorders/>
            <w:vAlign w:val="center"/>
          </w:tcPr>
          <w:p>
            <w:pPr>
              <w:pStyle w:val="TableContents"/>
              <w:bidi w:val="0"/>
              <w:spacing w:before="0" w:after="283"/>
              <w:jc w:val="left"/>
              <w:rPr>
                <w:sz w:val="20"/>
              </w:rPr>
            </w:pPr>
            <w:r>
              <w:rPr>
                <w:sz w:val="20"/>
              </w:rPr>
              <w:t>Notice of Defaults</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7.6</w:t>
            </w:r>
          </w:p>
        </w:tc>
        <w:tc>
          <w:tcPr>
            <w:tcW w:w="7955" w:type="dxa"/>
            <w:tcBorders/>
            <w:vAlign w:val="center"/>
          </w:tcPr>
          <w:p>
            <w:pPr>
              <w:pStyle w:val="TableContents"/>
              <w:bidi w:val="0"/>
              <w:spacing w:before="0" w:after="283"/>
              <w:jc w:val="left"/>
              <w:rPr>
                <w:sz w:val="20"/>
              </w:rPr>
            </w:pPr>
            <w:r>
              <w:rPr>
                <w:sz w:val="20"/>
              </w:rPr>
              <w:t>Reports by Trustee to Holders</w:t>
            </w:r>
          </w:p>
        </w:tc>
        <w:tc>
          <w:tcPr>
            <w:tcW w:w="245" w:type="dxa"/>
            <w:tcBorders/>
            <w:vAlign w:val="center"/>
          </w:tcPr>
          <w:p>
            <w:pPr>
              <w:pStyle w:val="TableContents"/>
              <w:bidi w:val="0"/>
              <w:spacing w:before="0" w:after="283"/>
              <w:jc w:val="right"/>
              <w:rPr>
                <w:sz w:val="20"/>
              </w:rPr>
            </w:pPr>
            <w:r>
              <w:rPr>
                <w:sz w:val="20"/>
              </w:rPr>
              <w:t>31</w:t>
            </w:r>
          </w:p>
        </w:tc>
      </w:tr>
      <w:tr>
        <w:trPr/>
        <w:tc>
          <w:tcPr>
            <w:tcW w:w="1055" w:type="dxa"/>
            <w:tcBorders/>
            <w:vAlign w:val="center"/>
          </w:tcPr>
          <w:p>
            <w:pPr>
              <w:pStyle w:val="TableContents"/>
              <w:bidi w:val="0"/>
              <w:spacing w:before="0" w:after="283"/>
              <w:jc w:val="left"/>
              <w:rPr>
                <w:sz w:val="20"/>
              </w:rPr>
            </w:pPr>
            <w:r>
              <w:rPr>
                <w:sz w:val="20"/>
              </w:rPr>
              <w:t>Section 7.7</w:t>
            </w:r>
          </w:p>
        </w:tc>
        <w:tc>
          <w:tcPr>
            <w:tcW w:w="7955" w:type="dxa"/>
            <w:tcBorders/>
            <w:vAlign w:val="center"/>
          </w:tcPr>
          <w:p>
            <w:pPr>
              <w:pStyle w:val="TableContents"/>
              <w:bidi w:val="0"/>
              <w:spacing w:before="0" w:after="283"/>
              <w:jc w:val="left"/>
              <w:rPr>
                <w:sz w:val="20"/>
              </w:rPr>
            </w:pPr>
            <w:r>
              <w:rPr>
                <w:sz w:val="20"/>
              </w:rPr>
              <w:t>Compensation and Indemnity</w:t>
            </w:r>
          </w:p>
        </w:tc>
        <w:tc>
          <w:tcPr>
            <w:tcW w:w="245" w:type="dxa"/>
            <w:tcBorders/>
            <w:vAlign w:val="center"/>
          </w:tcPr>
          <w:p>
            <w:pPr>
              <w:pStyle w:val="TableContents"/>
              <w:bidi w:val="0"/>
              <w:spacing w:before="0" w:after="283"/>
              <w:jc w:val="right"/>
              <w:rPr>
                <w:sz w:val="20"/>
              </w:rPr>
            </w:pPr>
            <w:r>
              <w:rPr>
                <w:sz w:val="20"/>
              </w:rPr>
              <w:t>32</w:t>
            </w:r>
          </w:p>
        </w:tc>
      </w:tr>
      <w:tr>
        <w:trPr/>
        <w:tc>
          <w:tcPr>
            <w:tcW w:w="1055" w:type="dxa"/>
            <w:tcBorders/>
            <w:vAlign w:val="center"/>
          </w:tcPr>
          <w:p>
            <w:pPr>
              <w:pStyle w:val="TableContents"/>
              <w:bidi w:val="0"/>
              <w:spacing w:before="0" w:after="283"/>
              <w:jc w:val="left"/>
              <w:rPr>
                <w:sz w:val="20"/>
              </w:rPr>
            </w:pPr>
            <w:r>
              <w:rPr>
                <w:sz w:val="20"/>
              </w:rPr>
              <w:t>Section 7.8</w:t>
            </w:r>
          </w:p>
        </w:tc>
        <w:tc>
          <w:tcPr>
            <w:tcW w:w="7955" w:type="dxa"/>
            <w:tcBorders/>
            <w:vAlign w:val="center"/>
          </w:tcPr>
          <w:p>
            <w:pPr>
              <w:pStyle w:val="TableContents"/>
              <w:bidi w:val="0"/>
              <w:spacing w:before="0" w:after="283"/>
              <w:jc w:val="left"/>
              <w:rPr>
                <w:sz w:val="20"/>
              </w:rPr>
            </w:pPr>
            <w:r>
              <w:rPr>
                <w:sz w:val="20"/>
              </w:rPr>
              <w:t>Replacement of Trustee</w:t>
            </w:r>
          </w:p>
        </w:tc>
        <w:tc>
          <w:tcPr>
            <w:tcW w:w="245" w:type="dxa"/>
            <w:tcBorders/>
            <w:vAlign w:val="center"/>
          </w:tcPr>
          <w:p>
            <w:pPr>
              <w:pStyle w:val="TableContents"/>
              <w:bidi w:val="0"/>
              <w:spacing w:before="0" w:after="283"/>
              <w:jc w:val="right"/>
              <w:rPr>
                <w:sz w:val="20"/>
              </w:rPr>
            </w:pPr>
            <w:r>
              <w:rPr>
                <w:sz w:val="20"/>
              </w:rPr>
              <w:t>32</w:t>
            </w:r>
          </w:p>
        </w:tc>
      </w:tr>
      <w:tr>
        <w:trPr/>
        <w:tc>
          <w:tcPr>
            <w:tcW w:w="1055" w:type="dxa"/>
            <w:tcBorders/>
            <w:vAlign w:val="center"/>
          </w:tcPr>
          <w:p>
            <w:pPr>
              <w:pStyle w:val="TableContents"/>
              <w:bidi w:val="0"/>
              <w:spacing w:before="0" w:after="283"/>
              <w:jc w:val="left"/>
              <w:rPr>
                <w:sz w:val="20"/>
              </w:rPr>
            </w:pPr>
            <w:r>
              <w:rPr>
                <w:sz w:val="20"/>
              </w:rPr>
              <w:t>Section 7.9</w:t>
            </w:r>
          </w:p>
        </w:tc>
        <w:tc>
          <w:tcPr>
            <w:tcW w:w="7955" w:type="dxa"/>
            <w:tcBorders/>
            <w:vAlign w:val="center"/>
          </w:tcPr>
          <w:p>
            <w:pPr>
              <w:pStyle w:val="TableContents"/>
              <w:bidi w:val="0"/>
              <w:spacing w:before="0" w:after="283"/>
              <w:jc w:val="left"/>
              <w:rPr>
                <w:sz w:val="20"/>
              </w:rPr>
            </w:pPr>
            <w:r>
              <w:rPr>
                <w:sz w:val="20"/>
              </w:rPr>
              <w:t>Successor Trustee by Merger, etc.</w:t>
            </w:r>
          </w:p>
        </w:tc>
        <w:tc>
          <w:tcPr>
            <w:tcW w:w="245" w:type="dxa"/>
            <w:tcBorders/>
            <w:vAlign w:val="center"/>
          </w:tcPr>
          <w:p>
            <w:pPr>
              <w:pStyle w:val="TableContents"/>
              <w:bidi w:val="0"/>
              <w:spacing w:before="0" w:after="283"/>
              <w:jc w:val="right"/>
              <w:rPr>
                <w:sz w:val="20"/>
              </w:rPr>
            </w:pPr>
            <w:r>
              <w:rPr>
                <w:sz w:val="20"/>
              </w:rPr>
              <w:t>33</w:t>
            </w:r>
          </w:p>
        </w:tc>
      </w:tr>
      <w:tr>
        <w:trPr/>
        <w:tc>
          <w:tcPr>
            <w:tcW w:w="1055" w:type="dxa"/>
            <w:tcBorders/>
            <w:vAlign w:val="center"/>
          </w:tcPr>
          <w:p>
            <w:pPr>
              <w:pStyle w:val="TableContents"/>
              <w:bidi w:val="0"/>
              <w:spacing w:before="0" w:after="283"/>
              <w:jc w:val="left"/>
              <w:rPr>
                <w:sz w:val="20"/>
              </w:rPr>
            </w:pPr>
            <w:r>
              <w:rPr>
                <w:sz w:val="20"/>
              </w:rPr>
              <w:t>Section 7.10</w:t>
            </w:r>
          </w:p>
        </w:tc>
        <w:tc>
          <w:tcPr>
            <w:tcW w:w="7955" w:type="dxa"/>
            <w:tcBorders/>
            <w:vAlign w:val="center"/>
          </w:tcPr>
          <w:p>
            <w:pPr>
              <w:pStyle w:val="TableContents"/>
              <w:bidi w:val="0"/>
              <w:spacing w:before="0" w:after="283"/>
              <w:jc w:val="left"/>
              <w:rPr>
                <w:sz w:val="20"/>
              </w:rPr>
            </w:pPr>
            <w:r>
              <w:rPr>
                <w:sz w:val="20"/>
              </w:rPr>
              <w:t>Eligibility; Disqualification</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7.11</w:t>
            </w:r>
          </w:p>
        </w:tc>
        <w:tc>
          <w:tcPr>
            <w:tcW w:w="7955" w:type="dxa"/>
            <w:tcBorders/>
            <w:vAlign w:val="center"/>
          </w:tcPr>
          <w:p>
            <w:pPr>
              <w:pStyle w:val="TableContents"/>
              <w:bidi w:val="0"/>
              <w:spacing w:before="0" w:after="283"/>
              <w:jc w:val="left"/>
              <w:rPr>
                <w:sz w:val="20"/>
              </w:rPr>
            </w:pPr>
            <w:r>
              <w:rPr>
                <w:sz w:val="20"/>
              </w:rPr>
              <w:t>Preferential Collection of Claims Against Company</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VIII. LEGAL DEFEASANCE AND COVENANT DEFEASANCE</w:t>
            </w:r>
            <w:r>
              <w:rPr/>
              <w:t xml:space="preserve"> </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8.1</w:t>
            </w:r>
          </w:p>
        </w:tc>
        <w:tc>
          <w:tcPr>
            <w:tcW w:w="7955" w:type="dxa"/>
            <w:tcBorders/>
            <w:vAlign w:val="center"/>
          </w:tcPr>
          <w:p>
            <w:pPr>
              <w:pStyle w:val="TableContents"/>
              <w:bidi w:val="0"/>
              <w:spacing w:before="0" w:after="283"/>
              <w:jc w:val="left"/>
              <w:rPr>
                <w:sz w:val="20"/>
              </w:rPr>
            </w:pPr>
            <w:r>
              <w:rPr>
                <w:sz w:val="20"/>
              </w:rPr>
              <w:t>Option to Effect Legal Defeasance or Covenant Defeasance</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8.2</w:t>
            </w:r>
          </w:p>
        </w:tc>
        <w:tc>
          <w:tcPr>
            <w:tcW w:w="7955" w:type="dxa"/>
            <w:tcBorders/>
            <w:vAlign w:val="center"/>
          </w:tcPr>
          <w:p>
            <w:pPr>
              <w:pStyle w:val="TableContents"/>
              <w:bidi w:val="0"/>
              <w:spacing w:before="0" w:after="283"/>
              <w:jc w:val="left"/>
              <w:rPr>
                <w:sz w:val="20"/>
              </w:rPr>
            </w:pPr>
            <w:r>
              <w:rPr>
                <w:sz w:val="20"/>
              </w:rPr>
              <w:t>Legal Defeasance and Discharge</w:t>
            </w:r>
          </w:p>
        </w:tc>
        <w:tc>
          <w:tcPr>
            <w:tcW w:w="245" w:type="dxa"/>
            <w:tcBorders/>
            <w:vAlign w:val="center"/>
          </w:tcPr>
          <w:p>
            <w:pPr>
              <w:pStyle w:val="TableContents"/>
              <w:bidi w:val="0"/>
              <w:spacing w:before="0" w:after="283"/>
              <w:jc w:val="right"/>
              <w:rPr>
                <w:sz w:val="20"/>
              </w:rPr>
            </w:pPr>
            <w:r>
              <w:rPr>
                <w:sz w:val="20"/>
              </w:rPr>
              <w:t>34</w:t>
            </w:r>
          </w:p>
        </w:tc>
      </w:tr>
      <w:tr>
        <w:trPr/>
        <w:tc>
          <w:tcPr>
            <w:tcW w:w="1055" w:type="dxa"/>
            <w:tcBorders/>
            <w:vAlign w:val="center"/>
          </w:tcPr>
          <w:p>
            <w:pPr>
              <w:pStyle w:val="TableContents"/>
              <w:bidi w:val="0"/>
              <w:spacing w:before="0" w:after="283"/>
              <w:jc w:val="left"/>
              <w:rPr>
                <w:sz w:val="20"/>
              </w:rPr>
            </w:pPr>
            <w:r>
              <w:rPr>
                <w:sz w:val="20"/>
              </w:rPr>
              <w:t>Section 8.3</w:t>
            </w:r>
          </w:p>
        </w:tc>
        <w:tc>
          <w:tcPr>
            <w:tcW w:w="7955" w:type="dxa"/>
            <w:tcBorders/>
            <w:vAlign w:val="center"/>
          </w:tcPr>
          <w:p>
            <w:pPr>
              <w:pStyle w:val="TableContents"/>
              <w:bidi w:val="0"/>
              <w:spacing w:before="0" w:after="283"/>
              <w:jc w:val="left"/>
              <w:rPr>
                <w:sz w:val="20"/>
              </w:rPr>
            </w:pPr>
            <w:r>
              <w:rPr>
                <w:sz w:val="20"/>
              </w:rPr>
              <w:t>Covenant Defeasance</w:t>
            </w:r>
          </w:p>
        </w:tc>
        <w:tc>
          <w:tcPr>
            <w:tcW w:w="245" w:type="dxa"/>
            <w:tcBorders/>
            <w:vAlign w:val="center"/>
          </w:tcPr>
          <w:p>
            <w:pPr>
              <w:pStyle w:val="TableContents"/>
              <w:bidi w:val="0"/>
              <w:spacing w:before="0" w:after="283"/>
              <w:jc w:val="right"/>
              <w:rPr>
                <w:sz w:val="20"/>
              </w:rPr>
            </w:pPr>
            <w:r>
              <w:rPr>
                <w:sz w:val="20"/>
              </w:rPr>
              <w:t>35</w:t>
            </w:r>
          </w:p>
        </w:tc>
      </w:tr>
      <w:tr>
        <w:trPr/>
        <w:tc>
          <w:tcPr>
            <w:tcW w:w="1055" w:type="dxa"/>
            <w:tcBorders/>
            <w:vAlign w:val="center"/>
          </w:tcPr>
          <w:p>
            <w:pPr>
              <w:pStyle w:val="TableContents"/>
              <w:bidi w:val="0"/>
              <w:spacing w:before="0" w:after="283"/>
              <w:jc w:val="left"/>
              <w:rPr>
                <w:sz w:val="20"/>
              </w:rPr>
            </w:pPr>
            <w:r>
              <w:rPr>
                <w:sz w:val="20"/>
              </w:rPr>
              <w:t>Section 8.4</w:t>
            </w:r>
          </w:p>
        </w:tc>
        <w:tc>
          <w:tcPr>
            <w:tcW w:w="7955" w:type="dxa"/>
            <w:tcBorders/>
            <w:vAlign w:val="center"/>
          </w:tcPr>
          <w:p>
            <w:pPr>
              <w:pStyle w:val="TableContents"/>
              <w:bidi w:val="0"/>
              <w:spacing w:before="0" w:after="283"/>
              <w:jc w:val="left"/>
              <w:rPr>
                <w:sz w:val="20"/>
              </w:rPr>
            </w:pPr>
            <w:r>
              <w:rPr>
                <w:sz w:val="20"/>
              </w:rPr>
              <w:t>Conditions to Legal or Covenant Defeasance</w:t>
            </w:r>
          </w:p>
        </w:tc>
        <w:tc>
          <w:tcPr>
            <w:tcW w:w="245" w:type="dxa"/>
            <w:tcBorders/>
            <w:vAlign w:val="center"/>
          </w:tcPr>
          <w:p>
            <w:pPr>
              <w:pStyle w:val="TableContents"/>
              <w:bidi w:val="0"/>
              <w:spacing w:before="0" w:after="283"/>
              <w:jc w:val="right"/>
              <w:rPr>
                <w:sz w:val="20"/>
              </w:rPr>
            </w:pPr>
            <w:r>
              <w:rPr>
                <w:sz w:val="20"/>
              </w:rPr>
              <w:t>35</w:t>
            </w:r>
          </w:p>
        </w:tc>
      </w:tr>
      <w:tr>
        <w:trPr/>
        <w:tc>
          <w:tcPr>
            <w:tcW w:w="1055" w:type="dxa"/>
            <w:tcBorders/>
            <w:vAlign w:val="center"/>
          </w:tcPr>
          <w:p>
            <w:pPr>
              <w:pStyle w:val="TableContents"/>
              <w:bidi w:val="0"/>
              <w:spacing w:before="0" w:after="283"/>
              <w:jc w:val="left"/>
              <w:rPr>
                <w:sz w:val="20"/>
              </w:rPr>
            </w:pPr>
            <w:r>
              <w:rPr>
                <w:sz w:val="20"/>
              </w:rPr>
              <w:t>Section 8.5</w:t>
            </w:r>
          </w:p>
        </w:tc>
        <w:tc>
          <w:tcPr>
            <w:tcW w:w="7955" w:type="dxa"/>
            <w:tcBorders/>
            <w:vAlign w:val="center"/>
          </w:tcPr>
          <w:p>
            <w:pPr>
              <w:pStyle w:val="TableContents"/>
              <w:bidi w:val="0"/>
              <w:spacing w:before="0" w:after="283"/>
              <w:jc w:val="left"/>
              <w:rPr>
                <w:sz w:val="20"/>
              </w:rPr>
            </w:pPr>
            <w:r>
              <w:rPr>
                <w:sz w:val="20"/>
              </w:rPr>
              <w:t>Deposited Money and Government Securities to be Held in Trust; Other Miscellaneous Provisions</w:t>
            </w:r>
          </w:p>
        </w:tc>
        <w:tc>
          <w:tcPr>
            <w:tcW w:w="245" w:type="dxa"/>
            <w:tcBorders/>
            <w:vAlign w:val="center"/>
          </w:tcPr>
          <w:p>
            <w:pPr>
              <w:pStyle w:val="TableContents"/>
              <w:bidi w:val="0"/>
              <w:spacing w:before="0" w:after="283"/>
              <w:jc w:val="right"/>
              <w:rPr>
                <w:sz w:val="20"/>
              </w:rPr>
            </w:pPr>
            <w:r>
              <w:rPr>
                <w:sz w:val="20"/>
              </w:rPr>
              <w:t>36</w:t>
            </w:r>
          </w:p>
        </w:tc>
      </w:tr>
      <w:tr>
        <w:trPr/>
        <w:tc>
          <w:tcPr>
            <w:tcW w:w="1055" w:type="dxa"/>
            <w:tcBorders/>
            <w:vAlign w:val="center"/>
          </w:tcPr>
          <w:p>
            <w:pPr>
              <w:pStyle w:val="TableContents"/>
              <w:bidi w:val="0"/>
              <w:spacing w:before="0" w:after="283"/>
              <w:jc w:val="left"/>
              <w:rPr>
                <w:sz w:val="20"/>
              </w:rPr>
            </w:pPr>
            <w:r>
              <w:rPr>
                <w:sz w:val="20"/>
              </w:rPr>
              <w:t>Section 8.6</w:t>
            </w:r>
          </w:p>
        </w:tc>
        <w:tc>
          <w:tcPr>
            <w:tcW w:w="7955" w:type="dxa"/>
            <w:tcBorders/>
            <w:vAlign w:val="center"/>
          </w:tcPr>
          <w:p>
            <w:pPr>
              <w:pStyle w:val="TableContents"/>
              <w:bidi w:val="0"/>
              <w:spacing w:before="0" w:after="283"/>
              <w:jc w:val="left"/>
              <w:rPr>
                <w:sz w:val="20"/>
              </w:rPr>
            </w:pPr>
            <w:r>
              <w:rPr>
                <w:sz w:val="20"/>
              </w:rPr>
              <w:t>Repayment to Company</w:t>
            </w:r>
          </w:p>
        </w:tc>
        <w:tc>
          <w:tcPr>
            <w:tcW w:w="245" w:type="dxa"/>
            <w:tcBorders/>
            <w:vAlign w:val="center"/>
          </w:tcPr>
          <w:p>
            <w:pPr>
              <w:pStyle w:val="TableContents"/>
              <w:bidi w:val="0"/>
              <w:spacing w:before="0" w:after="283"/>
              <w:jc w:val="right"/>
              <w:rPr>
                <w:sz w:val="20"/>
              </w:rPr>
            </w:pPr>
            <w:r>
              <w:rPr>
                <w:sz w:val="20"/>
              </w:rPr>
              <w:t>37</w:t>
            </w:r>
          </w:p>
        </w:tc>
      </w:tr>
      <w:tr>
        <w:trPr/>
        <w:tc>
          <w:tcPr>
            <w:tcW w:w="1055" w:type="dxa"/>
            <w:tcBorders/>
            <w:vAlign w:val="center"/>
          </w:tcPr>
          <w:p>
            <w:pPr>
              <w:pStyle w:val="TableContents"/>
              <w:bidi w:val="0"/>
              <w:spacing w:before="0" w:after="283"/>
              <w:jc w:val="left"/>
              <w:rPr>
                <w:sz w:val="20"/>
              </w:rPr>
            </w:pPr>
            <w:r>
              <w:rPr>
                <w:sz w:val="20"/>
              </w:rPr>
              <w:t>Section 8.7</w:t>
            </w:r>
          </w:p>
        </w:tc>
        <w:tc>
          <w:tcPr>
            <w:tcW w:w="7955" w:type="dxa"/>
            <w:tcBorders/>
            <w:vAlign w:val="center"/>
          </w:tcPr>
          <w:p>
            <w:pPr>
              <w:pStyle w:val="TableContents"/>
              <w:bidi w:val="0"/>
              <w:spacing w:before="0" w:after="283"/>
              <w:jc w:val="left"/>
              <w:rPr>
                <w:sz w:val="20"/>
              </w:rPr>
            </w:pPr>
            <w:r>
              <w:rPr>
                <w:sz w:val="20"/>
              </w:rPr>
              <w:t>Reinstatement</w:t>
            </w:r>
          </w:p>
        </w:tc>
        <w:tc>
          <w:tcPr>
            <w:tcW w:w="245" w:type="dxa"/>
            <w:tcBorders/>
            <w:vAlign w:val="center"/>
          </w:tcPr>
          <w:p>
            <w:pPr>
              <w:pStyle w:val="TableContents"/>
              <w:bidi w:val="0"/>
              <w:spacing w:before="0" w:after="283"/>
              <w:jc w:val="right"/>
              <w:rPr>
                <w:sz w:val="20"/>
              </w:rPr>
            </w:pPr>
            <w:r>
              <w:rPr>
                <w:sz w:val="20"/>
              </w:rPr>
              <w:t>37</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9010" w:type="dxa"/>
            <w:gridSpan w:val="2"/>
            <w:tcBorders/>
            <w:vAlign w:val="center"/>
          </w:tcPr>
          <w:p>
            <w:pPr>
              <w:pStyle w:val="TableContents"/>
              <w:bidi w:val="0"/>
              <w:spacing w:before="0" w:after="283"/>
              <w:jc w:val="left"/>
              <w:rPr/>
            </w:pPr>
            <w:r>
              <w:rPr>
                <w:sz w:val="20"/>
              </w:rPr>
              <w:t>ARTICLE IX. AMENDMENTS AND WAIVERS</w:t>
            </w:r>
            <w:r>
              <w:rPr/>
              <w:t xml:space="preserve"> </w:t>
            </w:r>
          </w:p>
        </w:tc>
        <w:tc>
          <w:tcPr>
            <w:tcW w:w="245" w:type="dxa"/>
            <w:tcBorders/>
            <w:vAlign w:val="center"/>
          </w:tcPr>
          <w:p>
            <w:pPr>
              <w:pStyle w:val="TableContents"/>
              <w:bidi w:val="0"/>
              <w:spacing w:before="0" w:after="283"/>
              <w:jc w:val="right"/>
              <w:rPr>
                <w:sz w:val="20"/>
              </w:rPr>
            </w:pPr>
            <w:r>
              <w:rPr>
                <w:sz w:val="20"/>
              </w:rPr>
              <w:t>38</w:t>
            </w:r>
          </w:p>
        </w:tc>
      </w:tr>
      <w:tr>
        <w:trPr/>
        <w:tc>
          <w:tcPr>
            <w:tcW w:w="1055" w:type="dxa"/>
            <w:tcBorders/>
            <w:vAlign w:val="center"/>
          </w:tcPr>
          <w:p>
            <w:pPr>
              <w:pStyle w:val="TableContents"/>
              <w:bidi w:val="0"/>
              <w:spacing w:before="0" w:after="283"/>
              <w:jc w:val="left"/>
              <w:rPr/>
            </w:pPr>
            <w:r>
              <w:rPr/>
              <w:t> </w:t>
            </w:r>
          </w:p>
        </w:tc>
        <w:tc>
          <w:tcPr>
            <w:tcW w:w="795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055" w:type="dxa"/>
            <w:tcBorders/>
            <w:vAlign w:val="center"/>
          </w:tcPr>
          <w:p>
            <w:pPr>
              <w:pStyle w:val="TableContents"/>
              <w:bidi w:val="0"/>
              <w:spacing w:before="0" w:after="283"/>
              <w:jc w:val="left"/>
              <w:rPr>
                <w:sz w:val="20"/>
              </w:rPr>
            </w:pPr>
            <w:r>
              <w:rPr>
                <w:sz w:val="20"/>
              </w:rPr>
              <w:t>Section 9.1</w:t>
            </w:r>
          </w:p>
        </w:tc>
        <w:tc>
          <w:tcPr>
            <w:tcW w:w="7955" w:type="dxa"/>
            <w:tcBorders/>
            <w:vAlign w:val="center"/>
          </w:tcPr>
          <w:p>
            <w:pPr>
              <w:pStyle w:val="TableContents"/>
              <w:bidi w:val="0"/>
              <w:spacing w:before="0" w:after="283"/>
              <w:jc w:val="left"/>
              <w:rPr>
                <w:sz w:val="20"/>
              </w:rPr>
            </w:pPr>
            <w:r>
              <w:rPr>
                <w:sz w:val="20"/>
              </w:rPr>
              <w:t>Without Consent of Holders</w:t>
            </w:r>
          </w:p>
        </w:tc>
        <w:tc>
          <w:tcPr>
            <w:tcW w:w="245" w:type="dxa"/>
            <w:tcBorders/>
            <w:vAlign w:val="center"/>
          </w:tcPr>
          <w:p>
            <w:pPr>
              <w:pStyle w:val="TableContents"/>
              <w:bidi w:val="0"/>
              <w:spacing w:before="0" w:after="283"/>
              <w:jc w:val="right"/>
              <w:rPr>
                <w:sz w:val="20"/>
              </w:rPr>
            </w:pPr>
            <w:r>
              <w:rPr>
                <w:sz w:val="20"/>
              </w:rPr>
              <w:t>38</w:t>
            </w:r>
          </w:p>
        </w:tc>
      </w:tr>
      <w:tr>
        <w:trPr/>
        <w:tc>
          <w:tcPr>
            <w:tcW w:w="1055" w:type="dxa"/>
            <w:tcBorders/>
            <w:vAlign w:val="center"/>
          </w:tcPr>
          <w:p>
            <w:pPr>
              <w:pStyle w:val="TableContents"/>
              <w:bidi w:val="0"/>
              <w:spacing w:before="0" w:after="283"/>
              <w:jc w:val="left"/>
              <w:rPr>
                <w:sz w:val="20"/>
              </w:rPr>
            </w:pPr>
            <w:r>
              <w:rPr>
                <w:sz w:val="20"/>
              </w:rPr>
              <w:t>Section 9.2</w:t>
            </w:r>
          </w:p>
        </w:tc>
        <w:tc>
          <w:tcPr>
            <w:tcW w:w="7955" w:type="dxa"/>
            <w:tcBorders/>
            <w:vAlign w:val="center"/>
          </w:tcPr>
          <w:p>
            <w:pPr>
              <w:pStyle w:val="TableContents"/>
              <w:bidi w:val="0"/>
              <w:spacing w:before="0" w:after="283"/>
              <w:jc w:val="left"/>
              <w:rPr>
                <w:sz w:val="20"/>
              </w:rPr>
            </w:pPr>
            <w:r>
              <w:rPr>
                <w:sz w:val="20"/>
              </w:rPr>
              <w:t>With Consent of Holders</w:t>
            </w:r>
          </w:p>
        </w:tc>
        <w:tc>
          <w:tcPr>
            <w:tcW w:w="245" w:type="dxa"/>
            <w:tcBorders/>
            <w:vAlign w:val="center"/>
          </w:tcPr>
          <w:p>
            <w:pPr>
              <w:pStyle w:val="TableContents"/>
              <w:bidi w:val="0"/>
              <w:spacing w:before="0" w:after="283"/>
              <w:jc w:val="right"/>
              <w:rPr>
                <w:sz w:val="20"/>
              </w:rPr>
            </w:pPr>
            <w:r>
              <w:rPr>
                <w:sz w:val="20"/>
              </w:rPr>
              <w:t>39</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8430" w:type="dxa"/>
        <w:jc w:val="left"/>
        <w:tblInd w:w="0" w:type="dxa"/>
        <w:tblLayout w:type="fixed"/>
        <w:tblCellMar>
          <w:top w:w="0" w:type="dxa"/>
          <w:left w:w="0" w:type="dxa"/>
          <w:bottom w:w="0" w:type="dxa"/>
          <w:right w:w="0" w:type="dxa"/>
        </w:tblCellMar>
      </w:tblPr>
      <w:tblGrid>
        <w:gridCol w:w="1160"/>
        <w:gridCol w:w="7025"/>
        <w:gridCol w:w="245"/>
      </w:tblGrid>
      <w:tr>
        <w:trPr/>
        <w:tc>
          <w:tcPr>
            <w:tcW w:w="1160" w:type="dxa"/>
            <w:tcBorders/>
            <w:vAlign w:val="center"/>
          </w:tcPr>
          <w:p>
            <w:pPr>
              <w:pStyle w:val="TableContents"/>
              <w:bidi w:val="0"/>
              <w:spacing w:before="0" w:after="283"/>
              <w:jc w:val="left"/>
              <w:rPr>
                <w:sz w:val="20"/>
              </w:rPr>
            </w:pPr>
            <w:r>
              <w:rPr>
                <w:sz w:val="20"/>
              </w:rPr>
              <w:t>Section 9.3</w:t>
            </w:r>
          </w:p>
        </w:tc>
        <w:tc>
          <w:tcPr>
            <w:tcW w:w="7025" w:type="dxa"/>
            <w:tcBorders/>
            <w:vAlign w:val="center"/>
          </w:tcPr>
          <w:p>
            <w:pPr>
              <w:pStyle w:val="TableContents"/>
              <w:bidi w:val="0"/>
              <w:spacing w:before="0" w:after="283"/>
              <w:jc w:val="left"/>
              <w:rPr>
                <w:sz w:val="20"/>
              </w:rPr>
            </w:pPr>
            <w:r>
              <w:rPr>
                <w:sz w:val="20"/>
              </w:rPr>
              <w:t>Limitations</w:t>
            </w:r>
          </w:p>
        </w:tc>
        <w:tc>
          <w:tcPr>
            <w:tcW w:w="245" w:type="dxa"/>
            <w:tcBorders/>
            <w:vAlign w:val="center"/>
          </w:tcPr>
          <w:p>
            <w:pPr>
              <w:pStyle w:val="TableContents"/>
              <w:bidi w:val="0"/>
              <w:spacing w:before="0" w:after="283"/>
              <w:jc w:val="right"/>
              <w:rPr>
                <w:sz w:val="20"/>
              </w:rPr>
            </w:pPr>
            <w:r>
              <w:rPr>
                <w:sz w:val="20"/>
              </w:rPr>
              <w:t>39</w:t>
            </w:r>
          </w:p>
        </w:tc>
      </w:tr>
      <w:tr>
        <w:trPr/>
        <w:tc>
          <w:tcPr>
            <w:tcW w:w="1160" w:type="dxa"/>
            <w:tcBorders/>
            <w:vAlign w:val="center"/>
          </w:tcPr>
          <w:p>
            <w:pPr>
              <w:pStyle w:val="TableContents"/>
              <w:bidi w:val="0"/>
              <w:spacing w:before="0" w:after="283"/>
              <w:jc w:val="left"/>
              <w:rPr>
                <w:sz w:val="20"/>
              </w:rPr>
            </w:pPr>
            <w:r>
              <w:rPr>
                <w:sz w:val="20"/>
              </w:rPr>
              <w:t>Section 9.4</w:t>
            </w:r>
          </w:p>
        </w:tc>
        <w:tc>
          <w:tcPr>
            <w:tcW w:w="7025" w:type="dxa"/>
            <w:tcBorders/>
            <w:vAlign w:val="center"/>
          </w:tcPr>
          <w:p>
            <w:pPr>
              <w:pStyle w:val="TableContents"/>
              <w:bidi w:val="0"/>
              <w:spacing w:before="0" w:after="283"/>
              <w:jc w:val="left"/>
              <w:rPr>
                <w:sz w:val="20"/>
              </w:rPr>
            </w:pPr>
            <w:r>
              <w:rPr>
                <w:sz w:val="20"/>
              </w:rPr>
              <w:t>Compliance with Trust Indenture Act</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9.5</w:t>
            </w:r>
          </w:p>
        </w:tc>
        <w:tc>
          <w:tcPr>
            <w:tcW w:w="7025" w:type="dxa"/>
            <w:tcBorders/>
            <w:vAlign w:val="center"/>
          </w:tcPr>
          <w:p>
            <w:pPr>
              <w:pStyle w:val="TableContents"/>
              <w:bidi w:val="0"/>
              <w:spacing w:before="0" w:after="283"/>
              <w:jc w:val="left"/>
              <w:rPr>
                <w:sz w:val="20"/>
              </w:rPr>
            </w:pPr>
            <w:r>
              <w:rPr>
                <w:sz w:val="20"/>
              </w:rPr>
              <w:t>Revocation and Effect of Consents</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9.6</w:t>
            </w:r>
          </w:p>
        </w:tc>
        <w:tc>
          <w:tcPr>
            <w:tcW w:w="7025" w:type="dxa"/>
            <w:tcBorders/>
            <w:vAlign w:val="center"/>
          </w:tcPr>
          <w:p>
            <w:pPr>
              <w:pStyle w:val="TableContents"/>
              <w:bidi w:val="0"/>
              <w:spacing w:before="0" w:after="283"/>
              <w:jc w:val="left"/>
              <w:rPr>
                <w:sz w:val="20"/>
              </w:rPr>
            </w:pPr>
            <w:r>
              <w:rPr>
                <w:sz w:val="20"/>
              </w:rPr>
              <w:t>Notation on or Exchange of Securities</w:t>
            </w:r>
          </w:p>
        </w:tc>
        <w:tc>
          <w:tcPr>
            <w:tcW w:w="245" w:type="dxa"/>
            <w:tcBorders/>
            <w:vAlign w:val="center"/>
          </w:tcPr>
          <w:p>
            <w:pPr>
              <w:pStyle w:val="TableContents"/>
              <w:bidi w:val="0"/>
              <w:spacing w:before="0" w:after="283"/>
              <w:jc w:val="right"/>
              <w:rPr>
                <w:sz w:val="20"/>
              </w:rPr>
            </w:pPr>
            <w:r>
              <w:rPr>
                <w:sz w:val="20"/>
              </w:rPr>
              <w:t>40</w:t>
            </w:r>
          </w:p>
        </w:tc>
      </w:tr>
      <w:tr>
        <w:trPr/>
        <w:tc>
          <w:tcPr>
            <w:tcW w:w="1160" w:type="dxa"/>
            <w:tcBorders/>
            <w:vAlign w:val="center"/>
          </w:tcPr>
          <w:p>
            <w:pPr>
              <w:pStyle w:val="TableContents"/>
              <w:bidi w:val="0"/>
              <w:spacing w:before="0" w:after="283"/>
              <w:jc w:val="left"/>
              <w:rPr>
                <w:sz w:val="20"/>
              </w:rPr>
            </w:pPr>
            <w:r>
              <w:rPr>
                <w:sz w:val="20"/>
              </w:rPr>
              <w:t>Section 9.7</w:t>
            </w:r>
          </w:p>
        </w:tc>
        <w:tc>
          <w:tcPr>
            <w:tcW w:w="7025" w:type="dxa"/>
            <w:tcBorders/>
            <w:vAlign w:val="center"/>
          </w:tcPr>
          <w:p>
            <w:pPr>
              <w:pStyle w:val="TableContents"/>
              <w:bidi w:val="0"/>
              <w:spacing w:before="0" w:after="283"/>
              <w:jc w:val="left"/>
              <w:rPr>
                <w:sz w:val="20"/>
              </w:rPr>
            </w:pPr>
            <w:r>
              <w:rPr>
                <w:sz w:val="20"/>
              </w:rPr>
              <w:t>Trustee Protected</w:t>
            </w:r>
          </w:p>
        </w:tc>
        <w:tc>
          <w:tcPr>
            <w:tcW w:w="245" w:type="dxa"/>
            <w:tcBorders/>
            <w:vAlign w:val="center"/>
          </w:tcPr>
          <w:p>
            <w:pPr>
              <w:pStyle w:val="TableContents"/>
              <w:bidi w:val="0"/>
              <w:spacing w:before="0" w:after="283"/>
              <w:jc w:val="right"/>
              <w:rPr>
                <w:sz w:val="20"/>
              </w:rPr>
            </w:pPr>
            <w:r>
              <w:rPr>
                <w:sz w:val="20"/>
              </w:rPr>
              <w:t>41</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 SATISFACTION AND DISCHARGE</w:t>
            </w:r>
            <w:r>
              <w:rPr/>
              <w:t xml:space="preserve"> </w:t>
            </w:r>
          </w:p>
        </w:tc>
        <w:tc>
          <w:tcPr>
            <w:tcW w:w="245" w:type="dxa"/>
            <w:tcBorders/>
            <w:vAlign w:val="center"/>
          </w:tcPr>
          <w:p>
            <w:pPr>
              <w:pStyle w:val="TableContents"/>
              <w:bidi w:val="0"/>
              <w:spacing w:before="0" w:after="283"/>
              <w:jc w:val="right"/>
              <w:rPr>
                <w:sz w:val="20"/>
              </w:rPr>
            </w:pPr>
            <w:r>
              <w:rPr>
                <w:sz w:val="20"/>
              </w:rPr>
              <w:t>41</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10.1</w:t>
            </w:r>
          </w:p>
        </w:tc>
        <w:tc>
          <w:tcPr>
            <w:tcW w:w="7025" w:type="dxa"/>
            <w:tcBorders/>
            <w:vAlign w:val="center"/>
          </w:tcPr>
          <w:p>
            <w:pPr>
              <w:pStyle w:val="TableContents"/>
              <w:bidi w:val="0"/>
              <w:spacing w:before="0" w:after="283"/>
              <w:jc w:val="left"/>
              <w:rPr>
                <w:sz w:val="20"/>
              </w:rPr>
            </w:pPr>
            <w:r>
              <w:rPr>
                <w:sz w:val="20"/>
              </w:rPr>
              <w:t>Satisfaction and Discharge</w:t>
            </w:r>
          </w:p>
        </w:tc>
        <w:tc>
          <w:tcPr>
            <w:tcW w:w="245" w:type="dxa"/>
            <w:tcBorders/>
            <w:vAlign w:val="center"/>
          </w:tcPr>
          <w:p>
            <w:pPr>
              <w:pStyle w:val="TableContents"/>
              <w:bidi w:val="0"/>
              <w:spacing w:before="0" w:after="283"/>
              <w:jc w:val="right"/>
              <w:rPr>
                <w:sz w:val="20"/>
              </w:rPr>
            </w:pPr>
            <w:r>
              <w:rPr>
                <w:sz w:val="20"/>
              </w:rPr>
              <w:t>41</w:t>
            </w:r>
          </w:p>
        </w:tc>
      </w:tr>
      <w:tr>
        <w:trPr/>
        <w:tc>
          <w:tcPr>
            <w:tcW w:w="1160" w:type="dxa"/>
            <w:tcBorders/>
            <w:vAlign w:val="center"/>
          </w:tcPr>
          <w:p>
            <w:pPr>
              <w:pStyle w:val="TableContents"/>
              <w:bidi w:val="0"/>
              <w:spacing w:before="0" w:after="283"/>
              <w:jc w:val="left"/>
              <w:rPr>
                <w:sz w:val="20"/>
              </w:rPr>
            </w:pPr>
            <w:r>
              <w:rPr>
                <w:sz w:val="20"/>
              </w:rPr>
              <w:t>Section 10.2</w:t>
            </w:r>
          </w:p>
        </w:tc>
        <w:tc>
          <w:tcPr>
            <w:tcW w:w="7025" w:type="dxa"/>
            <w:tcBorders/>
            <w:vAlign w:val="center"/>
          </w:tcPr>
          <w:p>
            <w:pPr>
              <w:pStyle w:val="TableContents"/>
              <w:bidi w:val="0"/>
              <w:spacing w:before="0" w:after="283"/>
              <w:jc w:val="left"/>
              <w:rPr>
                <w:sz w:val="20"/>
              </w:rPr>
            </w:pPr>
            <w:r>
              <w:rPr>
                <w:sz w:val="20"/>
              </w:rPr>
              <w:t>Application of Trust Money</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XI. MISCELLANEOUS</w:t>
            </w:r>
            <w:r>
              <w:rPr/>
              <w:t xml:space="preserve"> </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11.1</w:t>
            </w:r>
          </w:p>
        </w:tc>
        <w:tc>
          <w:tcPr>
            <w:tcW w:w="7025" w:type="dxa"/>
            <w:tcBorders/>
            <w:vAlign w:val="center"/>
          </w:tcPr>
          <w:p>
            <w:pPr>
              <w:pStyle w:val="TableContents"/>
              <w:bidi w:val="0"/>
              <w:spacing w:before="0" w:after="283"/>
              <w:jc w:val="left"/>
              <w:rPr>
                <w:sz w:val="20"/>
              </w:rPr>
            </w:pPr>
            <w:r>
              <w:rPr>
                <w:sz w:val="20"/>
              </w:rPr>
              <w:t>Trust Indenture Act Controls</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sz w:val="20"/>
              </w:rPr>
            </w:pPr>
            <w:r>
              <w:rPr>
                <w:sz w:val="20"/>
              </w:rPr>
              <w:t>Section 11.2</w:t>
            </w:r>
          </w:p>
        </w:tc>
        <w:tc>
          <w:tcPr>
            <w:tcW w:w="7025" w:type="dxa"/>
            <w:tcBorders/>
            <w:vAlign w:val="center"/>
          </w:tcPr>
          <w:p>
            <w:pPr>
              <w:pStyle w:val="TableContents"/>
              <w:bidi w:val="0"/>
              <w:spacing w:before="0" w:after="283"/>
              <w:jc w:val="left"/>
              <w:rPr>
                <w:sz w:val="20"/>
              </w:rPr>
            </w:pPr>
            <w:r>
              <w:rPr>
                <w:sz w:val="20"/>
              </w:rPr>
              <w:t>Notices</w:t>
            </w:r>
          </w:p>
        </w:tc>
        <w:tc>
          <w:tcPr>
            <w:tcW w:w="245" w:type="dxa"/>
            <w:tcBorders/>
            <w:vAlign w:val="center"/>
          </w:tcPr>
          <w:p>
            <w:pPr>
              <w:pStyle w:val="TableContents"/>
              <w:bidi w:val="0"/>
              <w:spacing w:before="0" w:after="283"/>
              <w:jc w:val="right"/>
              <w:rPr>
                <w:sz w:val="20"/>
              </w:rPr>
            </w:pPr>
            <w:r>
              <w:rPr>
                <w:sz w:val="20"/>
              </w:rPr>
              <w:t>42</w:t>
            </w:r>
          </w:p>
        </w:tc>
      </w:tr>
      <w:tr>
        <w:trPr/>
        <w:tc>
          <w:tcPr>
            <w:tcW w:w="1160" w:type="dxa"/>
            <w:tcBorders/>
            <w:vAlign w:val="center"/>
          </w:tcPr>
          <w:p>
            <w:pPr>
              <w:pStyle w:val="TableContents"/>
              <w:bidi w:val="0"/>
              <w:spacing w:before="0" w:after="283"/>
              <w:jc w:val="left"/>
              <w:rPr>
                <w:sz w:val="20"/>
              </w:rPr>
            </w:pPr>
            <w:r>
              <w:rPr>
                <w:sz w:val="20"/>
              </w:rPr>
              <w:t>Section 11.3</w:t>
            </w:r>
          </w:p>
        </w:tc>
        <w:tc>
          <w:tcPr>
            <w:tcW w:w="7025" w:type="dxa"/>
            <w:tcBorders/>
            <w:vAlign w:val="center"/>
          </w:tcPr>
          <w:p>
            <w:pPr>
              <w:pStyle w:val="TableContents"/>
              <w:bidi w:val="0"/>
              <w:spacing w:before="0" w:after="283"/>
              <w:jc w:val="left"/>
              <w:rPr>
                <w:sz w:val="20"/>
              </w:rPr>
            </w:pPr>
            <w:r>
              <w:rPr>
                <w:sz w:val="20"/>
              </w:rPr>
              <w:t>Communication by Holders with Other Holders</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11.4</w:t>
            </w:r>
          </w:p>
        </w:tc>
        <w:tc>
          <w:tcPr>
            <w:tcW w:w="7025" w:type="dxa"/>
            <w:tcBorders/>
            <w:vAlign w:val="center"/>
          </w:tcPr>
          <w:p>
            <w:pPr>
              <w:pStyle w:val="TableContents"/>
              <w:bidi w:val="0"/>
              <w:spacing w:before="0" w:after="283"/>
              <w:jc w:val="left"/>
              <w:rPr>
                <w:sz w:val="20"/>
              </w:rPr>
            </w:pPr>
            <w:r>
              <w:rPr>
                <w:sz w:val="20"/>
              </w:rPr>
              <w:t>Certificate and Opinion as to Conditions Precedent</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11.5</w:t>
            </w:r>
          </w:p>
        </w:tc>
        <w:tc>
          <w:tcPr>
            <w:tcW w:w="7025" w:type="dxa"/>
            <w:tcBorders/>
            <w:vAlign w:val="center"/>
          </w:tcPr>
          <w:p>
            <w:pPr>
              <w:pStyle w:val="TableContents"/>
              <w:bidi w:val="0"/>
              <w:spacing w:before="0" w:after="283"/>
              <w:jc w:val="left"/>
              <w:rPr>
                <w:sz w:val="20"/>
              </w:rPr>
            </w:pPr>
            <w:r>
              <w:rPr>
                <w:sz w:val="20"/>
              </w:rPr>
              <w:t>Statements Required in Certificate or Opinion</w:t>
            </w:r>
          </w:p>
        </w:tc>
        <w:tc>
          <w:tcPr>
            <w:tcW w:w="245" w:type="dxa"/>
            <w:tcBorders/>
            <w:vAlign w:val="center"/>
          </w:tcPr>
          <w:p>
            <w:pPr>
              <w:pStyle w:val="TableContents"/>
              <w:bidi w:val="0"/>
              <w:spacing w:before="0" w:after="283"/>
              <w:jc w:val="right"/>
              <w:rPr>
                <w:sz w:val="20"/>
              </w:rPr>
            </w:pPr>
            <w:r>
              <w:rPr>
                <w:sz w:val="20"/>
              </w:rPr>
              <w:t>43</w:t>
            </w:r>
          </w:p>
        </w:tc>
      </w:tr>
      <w:tr>
        <w:trPr/>
        <w:tc>
          <w:tcPr>
            <w:tcW w:w="1160" w:type="dxa"/>
            <w:tcBorders/>
            <w:vAlign w:val="center"/>
          </w:tcPr>
          <w:p>
            <w:pPr>
              <w:pStyle w:val="TableContents"/>
              <w:bidi w:val="0"/>
              <w:spacing w:before="0" w:after="283"/>
              <w:jc w:val="left"/>
              <w:rPr>
                <w:sz w:val="20"/>
              </w:rPr>
            </w:pPr>
            <w:r>
              <w:rPr>
                <w:sz w:val="20"/>
              </w:rPr>
              <w:t>Section 11.6</w:t>
            </w:r>
          </w:p>
        </w:tc>
        <w:tc>
          <w:tcPr>
            <w:tcW w:w="7025" w:type="dxa"/>
            <w:tcBorders/>
            <w:vAlign w:val="center"/>
          </w:tcPr>
          <w:p>
            <w:pPr>
              <w:pStyle w:val="TableContents"/>
              <w:bidi w:val="0"/>
              <w:spacing w:before="0" w:after="283"/>
              <w:jc w:val="left"/>
              <w:rPr>
                <w:sz w:val="20"/>
              </w:rPr>
            </w:pPr>
            <w:r>
              <w:rPr>
                <w:sz w:val="20"/>
              </w:rPr>
              <w:t>Rules by Trustee and Agents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11.7</w:t>
            </w:r>
          </w:p>
        </w:tc>
        <w:tc>
          <w:tcPr>
            <w:tcW w:w="7025" w:type="dxa"/>
            <w:tcBorders/>
            <w:vAlign w:val="center"/>
          </w:tcPr>
          <w:p>
            <w:pPr>
              <w:pStyle w:val="TableContents"/>
              <w:bidi w:val="0"/>
              <w:spacing w:before="0" w:after="283"/>
              <w:jc w:val="left"/>
              <w:rPr>
                <w:sz w:val="20"/>
              </w:rPr>
            </w:pPr>
            <w:r>
              <w:rPr>
                <w:sz w:val="20"/>
              </w:rPr>
              <w:t>Legal Holidays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11.8</w:t>
            </w:r>
          </w:p>
        </w:tc>
        <w:tc>
          <w:tcPr>
            <w:tcW w:w="7025" w:type="dxa"/>
            <w:tcBorders/>
            <w:vAlign w:val="center"/>
          </w:tcPr>
          <w:p>
            <w:pPr>
              <w:pStyle w:val="TableContents"/>
              <w:bidi w:val="0"/>
              <w:spacing w:before="0" w:after="283"/>
              <w:jc w:val="left"/>
              <w:rPr>
                <w:sz w:val="20"/>
              </w:rPr>
            </w:pPr>
            <w:r>
              <w:rPr>
                <w:sz w:val="20"/>
              </w:rPr>
              <w:t>No Recourse Against Others</w:t>
            </w:r>
          </w:p>
        </w:tc>
        <w:tc>
          <w:tcPr>
            <w:tcW w:w="245" w:type="dxa"/>
            <w:tcBorders/>
            <w:vAlign w:val="center"/>
          </w:tcPr>
          <w:p>
            <w:pPr>
              <w:pStyle w:val="TableContents"/>
              <w:bidi w:val="0"/>
              <w:spacing w:before="0" w:after="283"/>
              <w:jc w:val="right"/>
              <w:rPr>
                <w:sz w:val="20"/>
              </w:rPr>
            </w:pPr>
            <w:r>
              <w:rPr>
                <w:sz w:val="20"/>
              </w:rPr>
              <w:t>44</w:t>
            </w:r>
          </w:p>
        </w:tc>
      </w:tr>
      <w:tr>
        <w:trPr/>
        <w:tc>
          <w:tcPr>
            <w:tcW w:w="1160" w:type="dxa"/>
            <w:tcBorders/>
            <w:vAlign w:val="center"/>
          </w:tcPr>
          <w:p>
            <w:pPr>
              <w:pStyle w:val="TableContents"/>
              <w:bidi w:val="0"/>
              <w:spacing w:before="0" w:after="283"/>
              <w:jc w:val="left"/>
              <w:rPr>
                <w:sz w:val="20"/>
              </w:rPr>
            </w:pPr>
            <w:r>
              <w:rPr>
                <w:sz w:val="20"/>
              </w:rPr>
              <w:t>Section 11.9</w:t>
            </w:r>
          </w:p>
        </w:tc>
        <w:tc>
          <w:tcPr>
            <w:tcW w:w="7025" w:type="dxa"/>
            <w:tcBorders/>
            <w:vAlign w:val="center"/>
          </w:tcPr>
          <w:p>
            <w:pPr>
              <w:pStyle w:val="TableContents"/>
              <w:bidi w:val="0"/>
              <w:spacing w:before="0" w:after="283"/>
              <w:jc w:val="left"/>
              <w:rPr>
                <w:sz w:val="20"/>
              </w:rPr>
            </w:pPr>
            <w:r>
              <w:rPr>
                <w:sz w:val="20"/>
              </w:rPr>
              <w:t>Counterparts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11.10</w:t>
            </w:r>
          </w:p>
        </w:tc>
        <w:tc>
          <w:tcPr>
            <w:tcW w:w="7025" w:type="dxa"/>
            <w:tcBorders/>
            <w:vAlign w:val="center"/>
          </w:tcPr>
          <w:p>
            <w:pPr>
              <w:pStyle w:val="TableContents"/>
              <w:bidi w:val="0"/>
              <w:spacing w:before="0" w:after="283"/>
              <w:jc w:val="left"/>
              <w:rPr>
                <w:sz w:val="20"/>
              </w:rPr>
            </w:pPr>
            <w:r>
              <w:rPr>
                <w:sz w:val="20"/>
              </w:rPr>
              <w:t>Governing Laws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11.11</w:t>
            </w:r>
          </w:p>
        </w:tc>
        <w:tc>
          <w:tcPr>
            <w:tcW w:w="7025" w:type="dxa"/>
            <w:tcBorders/>
            <w:vAlign w:val="center"/>
          </w:tcPr>
          <w:p>
            <w:pPr>
              <w:pStyle w:val="TableContents"/>
              <w:bidi w:val="0"/>
              <w:spacing w:before="0" w:after="283"/>
              <w:jc w:val="left"/>
              <w:rPr>
                <w:sz w:val="20"/>
              </w:rPr>
            </w:pPr>
            <w:r>
              <w:rPr>
                <w:sz w:val="20"/>
              </w:rPr>
              <w:t>No Adverse Interpretation of Other Agreements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11.12</w:t>
            </w:r>
          </w:p>
        </w:tc>
        <w:tc>
          <w:tcPr>
            <w:tcW w:w="7025" w:type="dxa"/>
            <w:tcBorders/>
            <w:vAlign w:val="center"/>
          </w:tcPr>
          <w:p>
            <w:pPr>
              <w:pStyle w:val="TableContents"/>
              <w:bidi w:val="0"/>
              <w:spacing w:before="0" w:after="283"/>
              <w:jc w:val="left"/>
              <w:rPr>
                <w:sz w:val="20"/>
              </w:rPr>
            </w:pPr>
            <w:r>
              <w:rPr>
                <w:sz w:val="20"/>
              </w:rPr>
              <w:t>Successors</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11.13</w:t>
            </w:r>
          </w:p>
        </w:tc>
        <w:tc>
          <w:tcPr>
            <w:tcW w:w="7025" w:type="dxa"/>
            <w:tcBorders/>
            <w:vAlign w:val="center"/>
          </w:tcPr>
          <w:p>
            <w:pPr>
              <w:pStyle w:val="TableContents"/>
              <w:bidi w:val="0"/>
              <w:spacing w:before="0" w:after="283"/>
              <w:jc w:val="left"/>
              <w:rPr>
                <w:sz w:val="20"/>
              </w:rPr>
            </w:pPr>
            <w:r>
              <w:rPr>
                <w:sz w:val="20"/>
              </w:rPr>
              <w:t>Severability</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sz w:val="20"/>
              </w:rPr>
            </w:pPr>
            <w:r>
              <w:rPr>
                <w:sz w:val="20"/>
              </w:rPr>
              <w:t>Section 11.14</w:t>
            </w:r>
          </w:p>
        </w:tc>
        <w:tc>
          <w:tcPr>
            <w:tcW w:w="7025" w:type="dxa"/>
            <w:tcBorders/>
            <w:vAlign w:val="center"/>
          </w:tcPr>
          <w:p>
            <w:pPr>
              <w:pStyle w:val="TableContents"/>
              <w:bidi w:val="0"/>
              <w:spacing w:before="0" w:after="283"/>
              <w:jc w:val="left"/>
              <w:rPr>
                <w:sz w:val="20"/>
              </w:rPr>
            </w:pPr>
            <w:r>
              <w:rPr>
                <w:sz w:val="20"/>
              </w:rPr>
              <w:t>Table of Contents, Headings, Etc.</w:t>
            </w:r>
          </w:p>
        </w:tc>
        <w:tc>
          <w:tcPr>
            <w:tcW w:w="245" w:type="dxa"/>
            <w:tcBorders/>
            <w:vAlign w:val="center"/>
          </w:tcPr>
          <w:p>
            <w:pPr>
              <w:pStyle w:val="TableContents"/>
              <w:bidi w:val="0"/>
              <w:spacing w:before="0" w:after="283"/>
              <w:jc w:val="right"/>
              <w:rPr>
                <w:sz w:val="20"/>
              </w:rPr>
            </w:pPr>
            <w:r>
              <w:rPr>
                <w:sz w:val="20"/>
              </w:rPr>
              <w:t>45</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8185" w:type="dxa"/>
            <w:gridSpan w:val="2"/>
            <w:tcBorders/>
            <w:vAlign w:val="center"/>
          </w:tcPr>
          <w:p>
            <w:pPr>
              <w:pStyle w:val="TableContents"/>
              <w:bidi w:val="0"/>
              <w:spacing w:before="0" w:after="283"/>
              <w:jc w:val="left"/>
              <w:rPr/>
            </w:pPr>
            <w:r>
              <w:rPr>
                <w:sz w:val="20"/>
              </w:rPr>
              <w:t>ARTICLE XII. SINKING FUNDS</w:t>
            </w:r>
            <w:r>
              <w:rPr/>
              <w:t xml:space="preserve"> </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pPr>
            <w:r>
              <w:rPr/>
              <w:t> </w:t>
            </w:r>
          </w:p>
        </w:tc>
        <w:tc>
          <w:tcPr>
            <w:tcW w:w="702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right"/>
              <w:rPr/>
            </w:pPr>
            <w:r>
              <w:rPr/>
              <w:t> </w:t>
            </w:r>
          </w:p>
        </w:tc>
      </w:tr>
      <w:tr>
        <w:trPr/>
        <w:tc>
          <w:tcPr>
            <w:tcW w:w="1160" w:type="dxa"/>
            <w:tcBorders/>
            <w:vAlign w:val="center"/>
          </w:tcPr>
          <w:p>
            <w:pPr>
              <w:pStyle w:val="TableContents"/>
              <w:bidi w:val="0"/>
              <w:spacing w:before="0" w:after="283"/>
              <w:jc w:val="left"/>
              <w:rPr>
                <w:sz w:val="20"/>
              </w:rPr>
            </w:pPr>
            <w:r>
              <w:rPr>
                <w:sz w:val="20"/>
              </w:rPr>
              <w:t>Section 12.1</w:t>
            </w:r>
          </w:p>
        </w:tc>
        <w:tc>
          <w:tcPr>
            <w:tcW w:w="7025" w:type="dxa"/>
            <w:tcBorders/>
            <w:vAlign w:val="center"/>
          </w:tcPr>
          <w:p>
            <w:pPr>
              <w:pStyle w:val="TableContents"/>
              <w:bidi w:val="0"/>
              <w:spacing w:before="0" w:after="283"/>
              <w:jc w:val="left"/>
              <w:rPr>
                <w:sz w:val="20"/>
              </w:rPr>
            </w:pPr>
            <w:r>
              <w:rPr>
                <w:sz w:val="20"/>
              </w:rPr>
              <w:t>Applicability of Article</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sz w:val="20"/>
              </w:rPr>
            </w:pPr>
            <w:r>
              <w:rPr>
                <w:sz w:val="20"/>
              </w:rPr>
              <w:t>Section 12.2</w:t>
            </w:r>
          </w:p>
        </w:tc>
        <w:tc>
          <w:tcPr>
            <w:tcW w:w="7025" w:type="dxa"/>
            <w:tcBorders/>
            <w:vAlign w:val="center"/>
          </w:tcPr>
          <w:p>
            <w:pPr>
              <w:pStyle w:val="TableContents"/>
              <w:bidi w:val="0"/>
              <w:spacing w:before="0" w:after="283"/>
              <w:jc w:val="left"/>
              <w:rPr>
                <w:sz w:val="20"/>
              </w:rPr>
            </w:pPr>
            <w:r>
              <w:rPr>
                <w:sz w:val="20"/>
              </w:rPr>
              <w:t>Satisfaction of Sinking Fund Payments with Securities</w:t>
            </w:r>
          </w:p>
        </w:tc>
        <w:tc>
          <w:tcPr>
            <w:tcW w:w="245" w:type="dxa"/>
            <w:tcBorders/>
            <w:vAlign w:val="center"/>
          </w:tcPr>
          <w:p>
            <w:pPr>
              <w:pStyle w:val="TableContents"/>
              <w:bidi w:val="0"/>
              <w:spacing w:before="0" w:after="283"/>
              <w:jc w:val="right"/>
              <w:rPr>
                <w:sz w:val="20"/>
              </w:rPr>
            </w:pPr>
            <w:r>
              <w:rPr>
                <w:sz w:val="20"/>
              </w:rPr>
              <w:t>46</w:t>
            </w:r>
          </w:p>
        </w:tc>
      </w:tr>
      <w:tr>
        <w:trPr/>
        <w:tc>
          <w:tcPr>
            <w:tcW w:w="1160" w:type="dxa"/>
            <w:tcBorders/>
            <w:vAlign w:val="center"/>
          </w:tcPr>
          <w:p>
            <w:pPr>
              <w:pStyle w:val="TableContents"/>
              <w:bidi w:val="0"/>
              <w:spacing w:before="0" w:after="283"/>
              <w:jc w:val="left"/>
              <w:rPr>
                <w:sz w:val="20"/>
              </w:rPr>
            </w:pPr>
            <w:r>
              <w:rPr>
                <w:sz w:val="20"/>
              </w:rPr>
              <w:t>Section 12.3</w:t>
            </w:r>
          </w:p>
        </w:tc>
        <w:tc>
          <w:tcPr>
            <w:tcW w:w="7025" w:type="dxa"/>
            <w:tcBorders/>
            <w:vAlign w:val="center"/>
          </w:tcPr>
          <w:p>
            <w:pPr>
              <w:pStyle w:val="TableContents"/>
              <w:bidi w:val="0"/>
              <w:spacing w:before="0" w:after="283"/>
              <w:jc w:val="left"/>
              <w:rPr>
                <w:sz w:val="20"/>
              </w:rPr>
            </w:pPr>
            <w:r>
              <w:rPr>
                <w:sz w:val="20"/>
              </w:rPr>
              <w:t>Redemption of Securities for Sinking Fund</w:t>
            </w:r>
          </w:p>
        </w:tc>
        <w:tc>
          <w:tcPr>
            <w:tcW w:w="245" w:type="dxa"/>
            <w:tcBorders/>
            <w:vAlign w:val="center"/>
          </w:tcPr>
          <w:p>
            <w:pPr>
              <w:pStyle w:val="TableContents"/>
              <w:bidi w:val="0"/>
              <w:spacing w:before="0" w:after="283"/>
              <w:jc w:val="right"/>
              <w:rPr>
                <w:sz w:val="20"/>
              </w:rPr>
            </w:pPr>
            <w:r>
              <w:rPr>
                <w:sz w:val="20"/>
              </w:rPr>
              <w:t>47</w:t>
            </w:r>
          </w:p>
        </w:tc>
      </w:tr>
      <w:tr>
        <w:trPr/>
        <w:tc>
          <w:tcPr>
            <w:tcW w:w="1160" w:type="dxa"/>
            <w:tcBorders/>
            <w:vAlign w:val="center"/>
          </w:tcPr>
          <w:p>
            <w:pPr>
              <w:pStyle w:val="TableContents"/>
              <w:bidi w:val="0"/>
              <w:spacing w:before="0" w:after="283"/>
              <w:jc w:val="left"/>
              <w:rPr>
                <w:sz w:val="20"/>
              </w:rPr>
            </w:pPr>
            <w:r>
              <w:rPr>
                <w:sz w:val="20"/>
              </w:rPr>
              <w:t>Section 12.4</w:t>
            </w:r>
          </w:p>
        </w:tc>
        <w:tc>
          <w:tcPr>
            <w:tcW w:w="7025" w:type="dxa"/>
            <w:tcBorders/>
            <w:vAlign w:val="center"/>
          </w:tcPr>
          <w:p>
            <w:pPr>
              <w:pStyle w:val="TableContents"/>
              <w:bidi w:val="0"/>
              <w:spacing w:before="0" w:after="283"/>
              <w:jc w:val="left"/>
              <w:rPr>
                <w:sz w:val="20"/>
              </w:rPr>
            </w:pPr>
            <w:r>
              <w:rPr>
                <w:sz w:val="20"/>
              </w:rPr>
              <w:t>Compliance with Applicable Anti-Terrorism and Anti-Money Laundering Regulations</w:t>
            </w:r>
          </w:p>
        </w:tc>
        <w:tc>
          <w:tcPr>
            <w:tcW w:w="245" w:type="dxa"/>
            <w:tcBorders/>
            <w:vAlign w:val="center"/>
          </w:tcPr>
          <w:p>
            <w:pPr>
              <w:pStyle w:val="TableContents"/>
              <w:bidi w:val="0"/>
              <w:spacing w:before="0" w:after="283"/>
              <w:jc w:val="right"/>
              <w:rPr>
                <w:sz w:val="20"/>
              </w:rPr>
            </w:pPr>
            <w:r>
              <w:rPr>
                <w:sz w:val="20"/>
              </w:rPr>
              <w:t>47</w:t>
            </w:r>
          </w:p>
        </w:tc>
      </w:tr>
    </w:tbl>
    <w:p>
      <w:pPr>
        <w:pStyle w:val="TextBody"/>
        <w:bidi w:val="0"/>
        <w:spacing w:before="0" w:after="0"/>
        <w:ind w:left="0" w:right="0" w:hanging="0"/>
        <w:jc w:val="center"/>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iii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CLEARWAY ENERGY,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Reconciliation and tie between Trust Indenture Act of 1939 and</w:t>
        <w:br/>
        <w:t>Indenture, dated as of ,</w:t>
      </w:r>
    </w:p>
    <w:p>
      <w:pPr>
        <w:pStyle w:val="TextBody"/>
        <w:bidi w:val="0"/>
        <w:spacing w:before="0" w:after="0"/>
        <w:ind w:left="0" w:right="0" w:hanging="0"/>
        <w:jc w:val="left"/>
        <w:rPr>
          <w:caps w:val="false"/>
          <w:smallCaps w:val="false"/>
        </w:rPr>
      </w:pPr>
      <w:r>
        <w:rPr>
          <w:caps w:val="false"/>
          <w:smallCaps w:val="false"/>
        </w:rPr>
        <w:t> </w:t>
      </w:r>
    </w:p>
    <w:tbl>
      <w:tblPr>
        <w:tblW w:w="2230" w:type="dxa"/>
        <w:jc w:val="left"/>
        <w:tblInd w:w="0" w:type="dxa"/>
        <w:tblLayout w:type="fixed"/>
        <w:tblCellMar>
          <w:top w:w="0" w:type="dxa"/>
          <w:left w:w="0" w:type="dxa"/>
          <w:bottom w:w="0" w:type="dxa"/>
          <w:right w:w="0" w:type="dxa"/>
        </w:tblCellMar>
      </w:tblPr>
      <w:tblGrid>
        <w:gridCol w:w="890"/>
        <w:gridCol w:w="60"/>
        <w:gridCol w:w="1280"/>
      </w:tblGrid>
      <w:tr>
        <w:trPr/>
        <w:tc>
          <w:tcPr>
            <w:tcW w:w="890" w:type="dxa"/>
            <w:tcBorders/>
            <w:shd w:fill="CCEEFF" w:val="clear"/>
            <w:vAlign w:val="center"/>
          </w:tcPr>
          <w:p>
            <w:pPr>
              <w:pStyle w:val="TableContents"/>
              <w:bidi w:val="0"/>
              <w:spacing w:before="0" w:after="283"/>
              <w:jc w:val="left"/>
              <w:rPr>
                <w:sz w:val="20"/>
              </w:rPr>
            </w:pPr>
            <w:r>
              <w:rPr>
                <w:sz w:val="20"/>
              </w:rPr>
              <w:t>§310(a)(1)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7.10</w:t>
            </w:r>
          </w:p>
        </w:tc>
      </w:tr>
      <w:tr>
        <w:trPr/>
        <w:tc>
          <w:tcPr>
            <w:tcW w:w="890" w:type="dxa"/>
            <w:tcBorders/>
            <w:shd w:fill="FFFFFF" w:val="clear"/>
            <w:vAlign w:val="center"/>
          </w:tcPr>
          <w:p>
            <w:pPr>
              <w:pStyle w:val="TableContents"/>
              <w:bidi w:val="0"/>
              <w:spacing w:before="0" w:after="283"/>
              <w:jc w:val="left"/>
              <w:rPr>
                <w:sz w:val="20"/>
              </w:rPr>
            </w:pPr>
            <w:r>
              <w:rPr>
                <w:sz w:val="20"/>
              </w:rPr>
              <w:t>(a)(2)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7.10</w:t>
            </w:r>
          </w:p>
        </w:tc>
      </w:tr>
      <w:tr>
        <w:trPr/>
        <w:tc>
          <w:tcPr>
            <w:tcW w:w="890" w:type="dxa"/>
            <w:tcBorders/>
            <w:shd w:fill="CCEEFF" w:val="clear"/>
            <w:vAlign w:val="center"/>
          </w:tcPr>
          <w:p>
            <w:pPr>
              <w:pStyle w:val="TableContents"/>
              <w:bidi w:val="0"/>
              <w:spacing w:before="0" w:after="283"/>
              <w:jc w:val="left"/>
              <w:rPr>
                <w:sz w:val="20"/>
              </w:rPr>
            </w:pPr>
            <w:r>
              <w:rPr>
                <w:sz w:val="20"/>
              </w:rPr>
              <w:t>(a)(3)</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Not Applicable</w:t>
            </w:r>
          </w:p>
        </w:tc>
      </w:tr>
      <w:tr>
        <w:trPr/>
        <w:tc>
          <w:tcPr>
            <w:tcW w:w="890" w:type="dxa"/>
            <w:tcBorders/>
            <w:shd w:fill="FFFFFF" w:val="clear"/>
            <w:vAlign w:val="center"/>
          </w:tcPr>
          <w:p>
            <w:pPr>
              <w:pStyle w:val="TableContents"/>
              <w:bidi w:val="0"/>
              <w:spacing w:before="0" w:after="283"/>
              <w:jc w:val="left"/>
              <w:rPr>
                <w:sz w:val="20"/>
              </w:rPr>
            </w:pPr>
            <w:r>
              <w:rPr>
                <w:sz w:val="20"/>
              </w:rPr>
              <w:t>(a)(4)</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Not Applicable</w:t>
            </w:r>
          </w:p>
        </w:tc>
      </w:tr>
      <w:tr>
        <w:trPr/>
        <w:tc>
          <w:tcPr>
            <w:tcW w:w="890" w:type="dxa"/>
            <w:tcBorders/>
            <w:shd w:fill="CCEEFF" w:val="clear"/>
            <w:vAlign w:val="center"/>
          </w:tcPr>
          <w:p>
            <w:pPr>
              <w:pStyle w:val="TableContents"/>
              <w:bidi w:val="0"/>
              <w:spacing w:before="0" w:after="283"/>
              <w:jc w:val="left"/>
              <w:rPr>
                <w:sz w:val="20"/>
              </w:rPr>
            </w:pPr>
            <w:r>
              <w:rPr>
                <w:sz w:val="20"/>
              </w:rPr>
              <w:t>(a)(5)</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7.10</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7.10</w:t>
            </w:r>
          </w:p>
        </w:tc>
      </w:tr>
      <w:tr>
        <w:trPr/>
        <w:tc>
          <w:tcPr>
            <w:tcW w:w="890" w:type="dxa"/>
            <w:tcBorders/>
            <w:shd w:fill="CCEEFF" w:val="clear"/>
            <w:vAlign w:val="center"/>
          </w:tcPr>
          <w:p>
            <w:pPr>
              <w:pStyle w:val="TableContents"/>
              <w:bidi w:val="0"/>
              <w:spacing w:before="0" w:after="283"/>
              <w:jc w:val="left"/>
              <w:rPr>
                <w:sz w:val="20"/>
              </w:rPr>
            </w:pPr>
            <w:r>
              <w:rPr>
                <w:sz w:val="20"/>
              </w:rPr>
              <w:t>§ 311(a)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7.11</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7.11</w:t>
            </w:r>
          </w:p>
        </w:tc>
      </w:tr>
      <w:tr>
        <w:trPr/>
        <w:tc>
          <w:tcPr>
            <w:tcW w:w="890" w:type="dxa"/>
            <w:tcBorders/>
            <w:shd w:fill="CCEEFF" w:val="clear"/>
            <w:vAlign w:val="center"/>
          </w:tcPr>
          <w:p>
            <w:pPr>
              <w:pStyle w:val="TableContents"/>
              <w:bidi w:val="0"/>
              <w:spacing w:before="0" w:after="283"/>
              <w:jc w:val="left"/>
              <w:rPr>
                <w:sz w:val="20"/>
              </w:rPr>
            </w:pPr>
            <w:r>
              <w:rPr>
                <w:sz w:val="20"/>
              </w:rPr>
              <w:t>§ 312(a)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2.6</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Not Applicable</w:t>
            </w:r>
          </w:p>
        </w:tc>
      </w:tr>
      <w:tr>
        <w:trPr/>
        <w:tc>
          <w:tcPr>
            <w:tcW w:w="890" w:type="dxa"/>
            <w:tcBorders/>
            <w:shd w:fill="CCEEFF" w:val="clear"/>
            <w:vAlign w:val="center"/>
          </w:tcPr>
          <w:p>
            <w:pPr>
              <w:pStyle w:val="TableContents"/>
              <w:bidi w:val="0"/>
              <w:spacing w:before="0" w:after="283"/>
              <w:jc w:val="left"/>
              <w:rPr>
                <w:sz w:val="20"/>
              </w:rPr>
            </w:pPr>
            <w:r>
              <w:rPr>
                <w:sz w:val="20"/>
              </w:rPr>
              <w:t>(c)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Not Applicable</w:t>
            </w:r>
          </w:p>
        </w:tc>
      </w:tr>
      <w:tr>
        <w:trPr/>
        <w:tc>
          <w:tcPr>
            <w:tcW w:w="890" w:type="dxa"/>
            <w:tcBorders/>
            <w:shd w:fill="FFFFFF" w:val="clear"/>
            <w:vAlign w:val="center"/>
          </w:tcPr>
          <w:p>
            <w:pPr>
              <w:pStyle w:val="TableContents"/>
              <w:bidi w:val="0"/>
              <w:spacing w:before="0" w:after="283"/>
              <w:jc w:val="left"/>
              <w:rPr>
                <w:sz w:val="20"/>
              </w:rPr>
            </w:pPr>
            <w:r>
              <w:rPr>
                <w:sz w:val="20"/>
              </w:rPr>
              <w:t>§313(a)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7.6</w:t>
            </w:r>
          </w:p>
        </w:tc>
      </w:tr>
      <w:tr>
        <w:trPr/>
        <w:tc>
          <w:tcPr>
            <w:tcW w:w="890" w:type="dxa"/>
            <w:tcBorders/>
            <w:shd w:fill="CCEEFF" w:val="clear"/>
            <w:vAlign w:val="center"/>
          </w:tcPr>
          <w:p>
            <w:pPr>
              <w:pStyle w:val="TableContents"/>
              <w:bidi w:val="0"/>
              <w:spacing w:before="0" w:after="283"/>
              <w:jc w:val="left"/>
              <w:rPr>
                <w:sz w:val="20"/>
              </w:rPr>
            </w:pPr>
            <w:r>
              <w:rPr>
                <w:sz w:val="20"/>
              </w:rPr>
              <w:t>(b)(1)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7.6</w:t>
            </w:r>
          </w:p>
        </w:tc>
      </w:tr>
      <w:tr>
        <w:trPr/>
        <w:tc>
          <w:tcPr>
            <w:tcW w:w="890" w:type="dxa"/>
            <w:tcBorders/>
            <w:shd w:fill="FFFFFF" w:val="clear"/>
            <w:vAlign w:val="center"/>
          </w:tcPr>
          <w:p>
            <w:pPr>
              <w:pStyle w:val="TableContents"/>
              <w:bidi w:val="0"/>
              <w:spacing w:before="0" w:after="283"/>
              <w:jc w:val="left"/>
              <w:rPr>
                <w:sz w:val="20"/>
              </w:rPr>
            </w:pPr>
            <w:r>
              <w:rPr>
                <w:sz w:val="20"/>
              </w:rPr>
              <w:t>(b)(2)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7.6</w:t>
            </w:r>
          </w:p>
        </w:tc>
      </w:tr>
      <w:tr>
        <w:trPr/>
        <w:tc>
          <w:tcPr>
            <w:tcW w:w="890" w:type="dxa"/>
            <w:tcBorders/>
            <w:shd w:fill="CCEEFF" w:val="clear"/>
            <w:vAlign w:val="center"/>
          </w:tcPr>
          <w:p>
            <w:pPr>
              <w:pStyle w:val="TableContents"/>
              <w:bidi w:val="0"/>
              <w:spacing w:before="0" w:after="283"/>
              <w:jc w:val="left"/>
              <w:rPr>
                <w:sz w:val="20"/>
              </w:rPr>
            </w:pPr>
            <w:r>
              <w:rPr>
                <w:sz w:val="20"/>
              </w:rPr>
              <w:t>(c)(1)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7.6</w:t>
            </w:r>
          </w:p>
        </w:tc>
      </w:tr>
      <w:tr>
        <w:trPr/>
        <w:tc>
          <w:tcPr>
            <w:tcW w:w="890" w:type="dxa"/>
            <w:tcBorders/>
            <w:shd w:fill="FFFFFF" w:val="clear"/>
            <w:vAlign w:val="center"/>
          </w:tcPr>
          <w:p>
            <w:pPr>
              <w:pStyle w:val="TableContents"/>
              <w:bidi w:val="0"/>
              <w:spacing w:before="0" w:after="283"/>
              <w:jc w:val="left"/>
              <w:rPr>
                <w:sz w:val="20"/>
              </w:rPr>
            </w:pPr>
            <w:r>
              <w:rPr>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7.6</w:t>
            </w:r>
          </w:p>
        </w:tc>
      </w:tr>
      <w:tr>
        <w:trPr/>
        <w:tc>
          <w:tcPr>
            <w:tcW w:w="890" w:type="dxa"/>
            <w:tcBorders/>
            <w:shd w:fill="CCEEFF" w:val="clear"/>
            <w:vAlign w:val="center"/>
          </w:tcPr>
          <w:p>
            <w:pPr>
              <w:pStyle w:val="TableContents"/>
              <w:bidi w:val="0"/>
              <w:spacing w:before="0" w:after="283"/>
              <w:jc w:val="left"/>
              <w:rPr>
                <w:sz w:val="20"/>
              </w:rPr>
            </w:pPr>
            <w:r>
              <w:rPr>
                <w:sz w:val="20"/>
              </w:rPr>
              <w:t>§ 314(a)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4.3, 11.5</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Not Applicable</w:t>
            </w:r>
          </w:p>
        </w:tc>
      </w:tr>
      <w:tr>
        <w:trPr/>
        <w:tc>
          <w:tcPr>
            <w:tcW w:w="890" w:type="dxa"/>
            <w:tcBorders/>
            <w:shd w:fill="CCEEFF" w:val="clear"/>
            <w:vAlign w:val="center"/>
          </w:tcPr>
          <w:p>
            <w:pPr>
              <w:pStyle w:val="TableContents"/>
              <w:bidi w:val="0"/>
              <w:spacing w:before="0" w:after="283"/>
              <w:jc w:val="left"/>
              <w:rPr>
                <w:sz w:val="20"/>
              </w:rPr>
            </w:pPr>
            <w:r>
              <w:rPr>
                <w:sz w:val="20"/>
              </w:rPr>
              <w:t>(c)(1)</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11.4</w:t>
            </w:r>
          </w:p>
        </w:tc>
      </w:tr>
      <w:tr>
        <w:trPr/>
        <w:tc>
          <w:tcPr>
            <w:tcW w:w="890" w:type="dxa"/>
            <w:tcBorders/>
            <w:shd w:fill="FFFFFF" w:val="clear"/>
            <w:vAlign w:val="center"/>
          </w:tcPr>
          <w:p>
            <w:pPr>
              <w:pStyle w:val="TableContents"/>
              <w:bidi w:val="0"/>
              <w:spacing w:before="0" w:after="283"/>
              <w:jc w:val="left"/>
              <w:rPr>
                <w:sz w:val="20"/>
              </w:rPr>
            </w:pPr>
            <w:r>
              <w:rPr>
                <w:sz w:val="20"/>
              </w:rPr>
              <w:t>(c)(2)</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11.4</w:t>
            </w:r>
          </w:p>
        </w:tc>
      </w:tr>
      <w:tr>
        <w:trPr/>
        <w:tc>
          <w:tcPr>
            <w:tcW w:w="890" w:type="dxa"/>
            <w:tcBorders/>
            <w:shd w:fill="CCEEFF" w:val="clear"/>
            <w:vAlign w:val="center"/>
          </w:tcPr>
          <w:p>
            <w:pPr>
              <w:pStyle w:val="TableContents"/>
              <w:bidi w:val="0"/>
              <w:spacing w:before="0" w:after="283"/>
              <w:jc w:val="left"/>
              <w:rPr>
                <w:sz w:val="20"/>
              </w:rPr>
            </w:pPr>
            <w:r>
              <w:rPr>
                <w:sz w:val="20"/>
              </w:rPr>
              <w:t>(c)(3)</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Not Applicable</w:t>
            </w:r>
          </w:p>
        </w:tc>
      </w:tr>
      <w:tr>
        <w:trPr/>
        <w:tc>
          <w:tcPr>
            <w:tcW w:w="890" w:type="dxa"/>
            <w:tcBorders/>
            <w:shd w:fill="FFFFFF" w:val="clear"/>
            <w:vAlign w:val="center"/>
          </w:tcPr>
          <w:p>
            <w:pPr>
              <w:pStyle w:val="TableContents"/>
              <w:bidi w:val="0"/>
              <w:spacing w:before="0" w:after="283"/>
              <w:jc w:val="left"/>
              <w:rPr>
                <w:sz w:val="20"/>
              </w:rPr>
            </w:pPr>
            <w:r>
              <w:rPr>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Not Applicable</w:t>
            </w:r>
          </w:p>
        </w:tc>
      </w:tr>
      <w:tr>
        <w:trPr/>
        <w:tc>
          <w:tcPr>
            <w:tcW w:w="890" w:type="dxa"/>
            <w:tcBorders/>
            <w:shd w:fill="CCEEFF" w:val="clear"/>
            <w:vAlign w:val="center"/>
          </w:tcPr>
          <w:p>
            <w:pPr>
              <w:pStyle w:val="TableContents"/>
              <w:bidi w:val="0"/>
              <w:spacing w:before="0" w:after="283"/>
              <w:jc w:val="left"/>
              <w:rPr>
                <w:sz w:val="20"/>
              </w:rPr>
            </w:pPr>
            <w:r>
              <w:rPr>
                <w:sz w:val="20"/>
              </w:rPr>
              <w:t>(e)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11.5</w:t>
            </w:r>
          </w:p>
        </w:tc>
      </w:tr>
      <w:tr>
        <w:trPr/>
        <w:tc>
          <w:tcPr>
            <w:tcW w:w="890" w:type="dxa"/>
            <w:tcBorders/>
            <w:shd w:fill="FFFFFF" w:val="clear"/>
            <w:vAlign w:val="center"/>
          </w:tcPr>
          <w:p>
            <w:pPr>
              <w:pStyle w:val="TableContents"/>
              <w:bidi w:val="0"/>
              <w:spacing w:before="0" w:after="283"/>
              <w:jc w:val="left"/>
              <w:rPr>
                <w:sz w:val="20"/>
              </w:rPr>
            </w:pPr>
            <w:r>
              <w:rPr>
                <w:sz w:val="20"/>
              </w:rPr>
              <w:t>(f)</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Not Applicable</w:t>
            </w:r>
          </w:p>
        </w:tc>
      </w:tr>
      <w:tr>
        <w:trPr/>
        <w:tc>
          <w:tcPr>
            <w:tcW w:w="890" w:type="dxa"/>
            <w:tcBorders/>
            <w:shd w:fill="CCEEFF" w:val="clear"/>
            <w:vAlign w:val="center"/>
          </w:tcPr>
          <w:p>
            <w:pPr>
              <w:pStyle w:val="TableContents"/>
              <w:bidi w:val="0"/>
              <w:spacing w:before="0" w:after="283"/>
              <w:jc w:val="left"/>
              <w:rPr>
                <w:sz w:val="20"/>
              </w:rPr>
            </w:pPr>
            <w:r>
              <w:rPr>
                <w:sz w:val="20"/>
              </w:rPr>
              <w:t>§ 315(a)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7.1</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7.5</w:t>
            </w:r>
          </w:p>
        </w:tc>
      </w:tr>
      <w:tr>
        <w:trPr/>
        <w:tc>
          <w:tcPr>
            <w:tcW w:w="890" w:type="dxa"/>
            <w:tcBorders/>
            <w:shd w:fill="CCEEFF" w:val="clear"/>
            <w:vAlign w:val="center"/>
          </w:tcPr>
          <w:p>
            <w:pPr>
              <w:pStyle w:val="TableContents"/>
              <w:bidi w:val="0"/>
              <w:spacing w:before="0" w:after="283"/>
              <w:jc w:val="left"/>
              <w:rPr>
                <w:sz w:val="20"/>
              </w:rPr>
            </w:pPr>
            <w:r>
              <w:rPr>
                <w:sz w:val="20"/>
              </w:rPr>
              <w:t>(c)</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7.1</w:t>
            </w:r>
          </w:p>
        </w:tc>
      </w:tr>
      <w:tr>
        <w:trPr/>
        <w:tc>
          <w:tcPr>
            <w:tcW w:w="890" w:type="dxa"/>
            <w:tcBorders/>
            <w:shd w:fill="FFFFFF" w:val="clear"/>
            <w:vAlign w:val="center"/>
          </w:tcPr>
          <w:p>
            <w:pPr>
              <w:pStyle w:val="TableContents"/>
              <w:bidi w:val="0"/>
              <w:spacing w:before="0" w:after="283"/>
              <w:jc w:val="left"/>
              <w:rPr>
                <w:sz w:val="20"/>
              </w:rPr>
            </w:pPr>
            <w:r>
              <w:rPr>
                <w:sz w:val="20"/>
              </w:rPr>
              <w:t>(d)</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7.1</w:t>
            </w:r>
          </w:p>
        </w:tc>
      </w:tr>
      <w:tr>
        <w:trPr/>
        <w:tc>
          <w:tcPr>
            <w:tcW w:w="890" w:type="dxa"/>
            <w:tcBorders/>
            <w:shd w:fill="CCEEFF" w:val="clear"/>
            <w:vAlign w:val="center"/>
          </w:tcPr>
          <w:p>
            <w:pPr>
              <w:pStyle w:val="TableContents"/>
              <w:bidi w:val="0"/>
              <w:spacing w:before="0" w:after="283"/>
              <w:jc w:val="left"/>
              <w:rPr>
                <w:sz w:val="20"/>
              </w:rPr>
            </w:pPr>
            <w:r>
              <w:rPr>
                <w:sz w:val="20"/>
              </w:rPr>
              <w:t>(e)</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6.11</w:t>
            </w:r>
          </w:p>
        </w:tc>
      </w:tr>
      <w:tr>
        <w:trPr/>
        <w:tc>
          <w:tcPr>
            <w:tcW w:w="890" w:type="dxa"/>
            <w:tcBorders/>
            <w:shd w:fill="FFFFFF" w:val="clear"/>
            <w:vAlign w:val="center"/>
          </w:tcPr>
          <w:p>
            <w:pPr>
              <w:pStyle w:val="TableContents"/>
              <w:bidi w:val="0"/>
              <w:spacing w:before="0" w:after="283"/>
              <w:jc w:val="left"/>
              <w:rPr>
                <w:sz w:val="20"/>
              </w:rPr>
            </w:pPr>
            <w:r>
              <w:rPr>
                <w:sz w:val="20"/>
              </w:rPr>
              <w:t>§316(a)</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2.10</w:t>
            </w:r>
          </w:p>
        </w:tc>
      </w:tr>
      <w:tr>
        <w:trPr/>
        <w:tc>
          <w:tcPr>
            <w:tcW w:w="890" w:type="dxa"/>
            <w:tcBorders/>
            <w:shd w:fill="CCEEFF" w:val="clear"/>
            <w:vAlign w:val="center"/>
          </w:tcPr>
          <w:p>
            <w:pPr>
              <w:pStyle w:val="TableContents"/>
              <w:bidi w:val="0"/>
              <w:spacing w:before="0" w:after="283"/>
              <w:jc w:val="left"/>
              <w:rPr>
                <w:sz w:val="20"/>
              </w:rPr>
            </w:pPr>
            <w:r>
              <w:rPr>
                <w:sz w:val="20"/>
              </w:rPr>
              <w:t>(a)(1)(A)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6.5</w:t>
            </w:r>
          </w:p>
        </w:tc>
      </w:tr>
      <w:tr>
        <w:trPr/>
        <w:tc>
          <w:tcPr>
            <w:tcW w:w="890" w:type="dxa"/>
            <w:tcBorders/>
            <w:shd w:fill="FFFFFF" w:val="clear"/>
            <w:vAlign w:val="center"/>
          </w:tcPr>
          <w:p>
            <w:pPr>
              <w:pStyle w:val="TableContents"/>
              <w:bidi w:val="0"/>
              <w:spacing w:before="0" w:after="283"/>
              <w:jc w:val="left"/>
              <w:rPr>
                <w:sz w:val="20"/>
              </w:rPr>
            </w:pPr>
            <w:r>
              <w:rPr>
                <w:sz w:val="20"/>
              </w:rPr>
              <w:t>(a)(1)(B)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6.4</w:t>
            </w:r>
          </w:p>
        </w:tc>
      </w:tr>
      <w:tr>
        <w:trPr/>
        <w:tc>
          <w:tcPr>
            <w:tcW w:w="890" w:type="dxa"/>
            <w:tcBorders/>
            <w:shd w:fill="CCEEFF" w:val="clear"/>
            <w:vAlign w:val="center"/>
          </w:tcPr>
          <w:p>
            <w:pPr>
              <w:pStyle w:val="TableContents"/>
              <w:bidi w:val="0"/>
              <w:spacing w:before="0" w:after="283"/>
              <w:jc w:val="left"/>
              <w:rPr>
                <w:sz w:val="20"/>
              </w:rPr>
            </w:pPr>
            <w:r>
              <w:rPr>
                <w:sz w:val="20"/>
              </w:rPr>
              <w:t>(b)</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9.3</w:t>
            </w:r>
          </w:p>
        </w:tc>
      </w:tr>
      <w:tr>
        <w:trPr/>
        <w:tc>
          <w:tcPr>
            <w:tcW w:w="890" w:type="dxa"/>
            <w:tcBorders/>
            <w:shd w:fill="FFFFFF" w:val="clear"/>
            <w:vAlign w:val="center"/>
          </w:tcPr>
          <w:p>
            <w:pPr>
              <w:pStyle w:val="TableContents"/>
              <w:bidi w:val="0"/>
              <w:spacing w:before="0" w:after="283"/>
              <w:jc w:val="left"/>
              <w:rPr>
                <w:sz w:val="20"/>
              </w:rPr>
            </w:pPr>
            <w:r>
              <w:rPr>
                <w:sz w:val="20"/>
              </w:rPr>
              <w:t>§317(a)(1)</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6.8</w:t>
            </w:r>
          </w:p>
        </w:tc>
      </w:tr>
      <w:tr>
        <w:trPr/>
        <w:tc>
          <w:tcPr>
            <w:tcW w:w="890" w:type="dxa"/>
            <w:tcBorders/>
            <w:shd w:fill="CCEEFF" w:val="clear"/>
            <w:vAlign w:val="center"/>
          </w:tcPr>
          <w:p>
            <w:pPr>
              <w:pStyle w:val="TableContents"/>
              <w:bidi w:val="0"/>
              <w:spacing w:before="0" w:after="283"/>
              <w:jc w:val="left"/>
              <w:rPr>
                <w:sz w:val="20"/>
              </w:rPr>
            </w:pPr>
            <w:r>
              <w:rPr>
                <w:sz w:val="20"/>
              </w:rPr>
              <w:t>(a)(2)</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6.9</w:t>
            </w:r>
          </w:p>
        </w:tc>
      </w:tr>
      <w:tr>
        <w:trPr/>
        <w:tc>
          <w:tcPr>
            <w:tcW w:w="890" w:type="dxa"/>
            <w:tcBorders/>
            <w:shd w:fill="FFFFFF" w:val="clear"/>
            <w:vAlign w:val="center"/>
          </w:tcPr>
          <w:p>
            <w:pPr>
              <w:pStyle w:val="TableContents"/>
              <w:bidi w:val="0"/>
              <w:spacing w:before="0" w:after="283"/>
              <w:jc w:val="left"/>
              <w:rPr>
                <w:sz w:val="20"/>
              </w:rPr>
            </w:pPr>
            <w:r>
              <w:rPr>
                <w:sz w:val="20"/>
              </w:rPr>
              <w:t>(b)</w:t>
            </w:r>
          </w:p>
        </w:tc>
        <w:tc>
          <w:tcPr>
            <w:tcW w:w="60" w:type="dxa"/>
            <w:tcBorders/>
            <w:shd w:fill="FFFFFF" w:val="clear"/>
            <w:vAlign w:val="center"/>
          </w:tcPr>
          <w:p>
            <w:pPr>
              <w:pStyle w:val="TableContents"/>
              <w:bidi w:val="0"/>
              <w:spacing w:before="0" w:after="283"/>
              <w:jc w:val="left"/>
              <w:rPr/>
            </w:pPr>
            <w:r>
              <w:rPr/>
              <w:t> </w:t>
            </w:r>
          </w:p>
        </w:tc>
        <w:tc>
          <w:tcPr>
            <w:tcW w:w="1280" w:type="dxa"/>
            <w:tcBorders/>
            <w:shd w:fill="FFFFFF" w:val="clear"/>
            <w:vAlign w:val="center"/>
          </w:tcPr>
          <w:p>
            <w:pPr>
              <w:pStyle w:val="TableContents"/>
              <w:bidi w:val="0"/>
              <w:spacing w:before="0" w:after="283"/>
              <w:jc w:val="left"/>
              <w:rPr>
                <w:sz w:val="20"/>
              </w:rPr>
            </w:pPr>
            <w:r>
              <w:rPr>
                <w:sz w:val="20"/>
              </w:rPr>
              <w:t>2.5</w:t>
            </w:r>
          </w:p>
        </w:tc>
      </w:tr>
      <w:tr>
        <w:trPr/>
        <w:tc>
          <w:tcPr>
            <w:tcW w:w="890" w:type="dxa"/>
            <w:tcBorders/>
            <w:shd w:fill="CCEEFF" w:val="clear"/>
            <w:vAlign w:val="center"/>
          </w:tcPr>
          <w:p>
            <w:pPr>
              <w:pStyle w:val="TableContents"/>
              <w:bidi w:val="0"/>
              <w:spacing w:before="0" w:after="283"/>
              <w:jc w:val="left"/>
              <w:rPr>
                <w:sz w:val="20"/>
              </w:rPr>
            </w:pPr>
            <w:r>
              <w:rPr>
                <w:sz w:val="20"/>
              </w:rPr>
              <w:t>§ 318(a)</w:t>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20"/>
              </w:rPr>
            </w:pPr>
            <w:r>
              <w:rPr>
                <w:sz w:val="20"/>
              </w:rPr>
              <w:t>11.1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This reconciliation and tie shall not, for any purpose, be deemed to be part of the Indenture.</w:t>
      </w:r>
    </w:p>
    <w:p>
      <w:pPr>
        <w:pStyle w:val="TextBody"/>
        <w:bidi w:val="0"/>
        <w:spacing w:before="0" w:after="0"/>
        <w:ind w:left="0" w:right="0" w:hanging="0"/>
        <w:jc w:val="left"/>
        <w:rPr>
          <w:caps w:val="false"/>
          <w:smallCaps w:val="false"/>
        </w:rPr>
      </w:pPr>
      <w:r>
        <w:rPr>
          <w:caps w:val="false"/>
          <w:smallCaps w:val="false"/>
        </w:rPr>
        <w:t> </w:t>
      </w:r>
    </w:p>
    <w:tbl>
      <w:tblPr>
        <w:tblW w:w="350" w:type="dxa"/>
        <w:jc w:val="left"/>
        <w:tblInd w:w="0" w:type="dxa"/>
        <w:tblLayout w:type="fixed"/>
        <w:tblCellMar>
          <w:top w:w="0" w:type="dxa"/>
          <w:left w:w="0" w:type="dxa"/>
          <w:bottom w:w="0" w:type="dxa"/>
          <w:right w:w="0" w:type="dxa"/>
        </w:tblCellMar>
      </w:tblPr>
      <w:tblGrid>
        <w:gridCol w:w="75"/>
        <w:gridCol w:w="200"/>
        <w:gridCol w:w="7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center"/>
              <w:rPr/>
            </w:pPr>
            <w:r>
              <w:rPr/>
              <w:t>iv</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Indenture, dated as of _____________, _______, between Clearway Energy, Inc., a Delaware corporation (“Company”), and Delaware Trust Company, as trustee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agrees as follows for the benefit of the other party and for the equal and ratable benefit of the Holders of the Securities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w:t>
      </w:r>
      <w:r>
        <w:rPr>
          <w:rFonts w:ascii="Times New Roman;Times;Serif" w:hAnsi="Times New Roman;Times;Serif"/>
          <w:b w:val="false"/>
          <w:i w:val="false"/>
          <w:caps w:val="false"/>
          <w:smallCaps w:val="false"/>
          <w:sz w:val="20"/>
        </w:rPr>
        <w:br/>
        <w:t>DEFINITIONS AND 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            </w:t>
      </w:r>
      <w:r>
        <w:rPr>
          <w:rFonts w:ascii="Times New Roman;Times;Serif" w:hAnsi="Times New Roman;Times;Serif"/>
          <w:b w:val="false"/>
          <w:i w:val="false"/>
          <w:caps w:val="false"/>
          <w:smallCaps w:val="false"/>
          <w:sz w:val="20"/>
          <w:u w:val="single"/>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Additional Amounts” means any additional amounts which are required hereby or by any Security, under circumstances specified herein or therein, to be paid by the Company in respect of certain taxes imposed on Holders specified herein or therein and which are owing to such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Affiliate”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provided that beneficial ownership of 10% or more of the Voting Stock of a Person will be deemed to be control. For purposes of this definition, the terms “controlling,” “controlled by” and “under common control with” have correlative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Agent” means any Registrar, Paying Agent or Service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Attributable Debt” in respect of a sale and leaseback transaction means, at the time of determination, the present value of the obligation of the lessee for net rental payments during the remaining term of the lease included in such sale and leaseback transaction including any period for which such lease has been extended or may, at the option of the lessor, be extended. Such present value shall be calculated using a discount rate equal to the rate of interest implicit in such transaction, determined in accordance with GAAP; provided, however, that if such sale and leaseback transaction results in a Capital Lease Obligation, the amount of Indebtedness represented thereby will be determined in accordance with the definition of “Capital Lease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of Directors”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with respect to a corporation, the board of directors of the corporation or any committee thereof duly authorized to act on behalf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with respect to a partnership, the Board of Directors of the general partner of the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with respect to a limited liability company, the managing member or members or any controlling committee of managing members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with respect to any other person, the board or committee of such person serving a similar function.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Board Resolution”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Business Day” means any day except a Saturday, Sunday or a legal holiday in The City of New York on which banking institutions are authorized or required by law, regulation or executive order to close and any other day expressly provided for as a “Business Day” in a Board Resolution, Officers’ Certificate or supplemental indenture hereto for a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Lease Obligation”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Capital Stock”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corporation,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the case of an association or business entity, any and all shares, interests, participations, rights or other equivalents (however designated) of corporate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partnership or limited liability company, partnership interests (whether general or limited) or membership interests;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means the party named as such above until a successor replaces it and thereafter means the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Company Order” means a written order signed in the name of the Company by two Officers, one of whom must be the Company’s principal executive officer, principal financial officer or principal accounting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Corporate Trust Office” means the office of the Trustee at which at any particular time its corporate trust business shall be principally administered.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Default” means any event that is, or with the passage of time or the giving of notice or both would be,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Depositary”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Discount Security” means any Security that provides for an amount less than the stated principal amount thereof to be due and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Dollars” and “$” means the currency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ECU” means the European Currency Unit as determined by the Commission of the European Union.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EDGAR” means the SEC’s Electronic Data Gathering, Analysis and Retrieval system or any successor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Equity Interests” means Capital Stock and all warrants, options or other rights to acquire Capital Stock (but excluding any debt security that is convertible into, or exchangeable for,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Exchange Act”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Foreign Currency” means any currency or currency unit issued by a government other than the government of The United States of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GAAP”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Global Security” or “Global Securities” means a Security or Securities, as the case may be, in the form established pursuant to Section 2.2 evidencing all or part of a Series of Securities, issued to the Depositary for such Series or its nominee, and registered in the name of such Depositary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Government Securities” means direct obligations of, or obligations guaranteed by, the United States of America, and the payment for which the United States pledges its full faith and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Guarantee”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standard contractual indemnities which do not relate to Indebtedness shall not be considered a Guarantee.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Hedging Obligations” means, with respect to any specified person, the obligations of such person 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currency exchange, interest rate or commodity swap agreements, currency exchange, interest rate or commodity cap agreements and currency exchange, interest rate or commodity collar agreements,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 (iii) agreements or arrangements for commercial or trading activities with respect to the purchase, transmission, distribution, sale, lease or hedge of any energy related commodity 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Holder” or “Securityholder” means a person in whose name a Security is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Indebtedness” means, with respect to any specified person, any indebtedness of such person (excluding accrued expenses and trade payables, except as provided in clause (5) below, and surety bonds), whether or not contingent: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respect of borrowed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evidenced by bonds, notes, debentures or similar instruments or letters of credit (or reimbursement agreements in respect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respect of banker’s acceptances;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representing Capital Lease Obligations or Attributable Debt in respect of sale and leaseback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representing the balance of deferred and unpaid purchase price of any property or services with a scheduled due date more than six months after such property is acquired or such services are completed;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representing the net amount owing under any Hedging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any of the preceding items (other than letters of credit, Attributable Debt and Hedging Obligations) would appear as a liability upon a balance sheet of the specified person prepared in accordance with GAAP.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provided, that the amount of such Indebtedness shall be deemed not to exceed the lesser of the amount secured by such Lien and the value of the person’s property securing such Lien.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means this Indenture as amended or supplemented from time to time and shall include the form and terms of particular Series of Securities established as contemplated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interest” with respect to any Discount Security which by its terms bears interest only after Maturity, means interest payable after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Lien” means, with respect to any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mortgage, deed of trust, deed to secure debt, lien (statutory or otherwise), pledge, hypothecation, encumbrance, restriction, collateral assignment, charge or security interest in, on or of such asset;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interest of a vendor or a lessor under any conditional sale agreement, capital lease or title retention agreement (or any financing lease having substantially the same economic effect as any of the foregoing) relating to such asset;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Equity Interests or debt securities, any purchase option, call or similar right of a third party with respect to such Equity Interests or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Maturity,” when used with respect to any Security or installment of principal thereof, means the date on which the principal of such Security or such installment of principal becomes due and payable as therein or herein provided, whether at the Stated Maturity or by declaration of acceleration, call for redemption, notice of option to elect repayment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w:t>
      </w:r>
      <w:r>
        <w:rPr>
          <w:rFonts w:ascii="Times New Roman;Times;Serif" w:hAnsi="Times New Roman;Times;Serif"/>
          <w:b w:val="false"/>
          <w:i w:val="false"/>
          <w:caps w:val="false"/>
          <w:smallCaps w:val="false"/>
          <w:sz w:val="20"/>
        </w:rPr>
        <w:t xml:space="preserve"> means, with respect to any person, the Chairman of the Board of Directors, the Chief Executive Officer, the President, the Chief Operating Officer, the Chief Financial Officer, the Chief Accounting Officer, the Treasurer, any Assistant Treasurer, the Secretary, the Controller, Assistant Secretary or any Vice President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Officers’ Certificate”</w:t>
      </w:r>
      <w:r>
        <w:rPr>
          <w:rFonts w:ascii="Times New Roman;Times;Serif" w:hAnsi="Times New Roman;Times;Serif"/>
          <w:b w:val="false"/>
          <w:i w:val="false"/>
          <w:caps w:val="false"/>
          <w:smallCaps w:val="false"/>
          <w:sz w:val="20"/>
        </w:rPr>
        <w:t xml:space="preserve"> means a certificate signed on behalf of the Company by two Officers of the Company, one of whom must be the principal executive officer, the principal financial officer, the treasurer or the principal accounting officer of the Company, that meets the requirements of Section 11.5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Opinion of Counsel”</w:t>
      </w:r>
      <w:r>
        <w:rPr>
          <w:rFonts w:ascii="Times New Roman;Times;Serif" w:hAnsi="Times New Roman;Times;Serif"/>
          <w:b w:val="false"/>
          <w:i w:val="false"/>
          <w:caps w:val="false"/>
          <w:smallCaps w:val="false"/>
          <w:sz w:val="20"/>
        </w:rPr>
        <w:t xml:space="preserve"> means an opinion from legal counsel who is reasonably acceptable to the Trustee, that meets the requirements of Section 11.5 hereof. The counsel may be an employee of or counsel to the Company, any Subsidiary of the Company or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person” means any individual, corporation, partnership, joint venture, association, joint-stock company, trust, unincorporated organization, limited liability company or government or other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principal” of a Security means the principal of the Security plus, when appropriate, the premium, if any, on, and any Additional Amounts in respect of,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caps w:val="false"/>
          <w:smallCaps w:val="false"/>
          <w:sz w:val="20"/>
        </w:rPr>
        <w:t>Responsible Officer”</w:t>
      </w:r>
      <w:r>
        <w:rPr>
          <w:rFonts w:ascii="Times New Roman;Times;Serif" w:hAnsi="Times New Roman;Times;Serif"/>
          <w:b w:val="false"/>
          <w:i w:val="false"/>
          <w:caps w:val="false"/>
          <w:smallCaps w:val="false"/>
          <w:sz w:val="20"/>
        </w:rPr>
        <w:t xml:space="preserve"> means, when used with respect to the Trustee,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knowledge of and familiarity with the particular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 means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Securities” means the debentures, notes or other debt instruments of the Company of any Series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Series” or “Series of Securities” means each series of debentures, notes or other debt instruments of the Company created pursuant to Sections 2.1 and 2.2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Stated Maturity” means, with respect to any installment of interest or principal on any series of Indebtedness, the date on which the payment of interest or principal was scheduled to be paid in the documentation governing such Indebtedness as of the date of the indenture, and will not include any contingent obligations to repay, redeem or repurchase any such interest or principal prior to the date originally scheduled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Subsidiary” means, with respect to any specified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any partnership (a) the sole general partner or the managing general partner of which is such person or a Subsidiary of such person or (b) the only general partners of which are that person or one or more Subsidiaries of that person (or any combination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TIA” means the Trust Indenture Act of 1939 (15 U.S. Code §§ 77aaa-77bbbb) as in effect on the date of this Indenture; provided, however, that in the event the Trust Indenture Act of 1939 is amended after such date, “TIA” means, to the extent required by any such amendment, the Trust Indenture Act as so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Trustee” means the person named as the “Trustee” in the first paragraph of this instrument until a successor Trustee shall have become such pursuant to the applicable provisions of this Indenture, and thereafter “Trustee” shall mean each person who is then a Trustee hereunder, and if at any time there is more than one such person, “Trustee” as used with respect to the Securities of any Series shall mean the Trustee with respect to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Voting Stock” of any person as of any date means the Capital Stock of such person that is at the time entitled to vote in the election of the Board of Directors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            </w:t>
      </w:r>
      <w:r>
        <w:rPr>
          <w:rFonts w:ascii="Times New Roman;Times;Serif" w:hAnsi="Times New Roman;Times;Serif"/>
          <w:b w:val="false"/>
          <w:i w:val="false"/>
          <w:caps w:val="false"/>
          <w:smallCaps w:val="false"/>
          <w:sz w:val="20"/>
          <w:u w:val="single"/>
        </w:rPr>
        <w:t>Other Definitions.</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2930"/>
        <w:gridCol w:w="60"/>
        <w:gridCol w:w="1205"/>
      </w:tblGrid>
      <w:tr>
        <w:trPr/>
        <w:tc>
          <w:tcPr>
            <w:tcW w:w="2930" w:type="dxa"/>
            <w:tcBorders>
              <w:bottom w:val="single" w:sz="8" w:space="0" w:color="000000"/>
            </w:tcBorders>
            <w:vAlign w:val="center"/>
          </w:tcPr>
          <w:p>
            <w:pPr>
              <w:pStyle w:val="TableContents"/>
              <w:bidi w:val="0"/>
              <w:spacing w:before="0" w:after="283"/>
              <w:jc w:val="both"/>
              <w:rPr>
                <w:b/>
                <w:sz w:val="20"/>
              </w:rPr>
            </w:pPr>
            <w:r>
              <w:rPr>
                <w:b/>
                <w:sz w:val="20"/>
              </w:rPr>
              <w:t>TERM</w:t>
            </w:r>
          </w:p>
        </w:tc>
        <w:tc>
          <w:tcPr>
            <w:tcW w:w="60" w:type="dxa"/>
            <w:tcBorders/>
            <w:tcMar>
              <w:bottom w:w="0" w:type="dxa"/>
            </w:tcMar>
            <w:vAlign w:val="center"/>
          </w:tcPr>
          <w:p>
            <w:pPr>
              <w:pStyle w:val="TableContents"/>
              <w:bidi w:val="0"/>
              <w:spacing w:before="0" w:after="283"/>
              <w:jc w:val="left"/>
              <w:rPr/>
            </w:pPr>
            <w:r>
              <w:rPr/>
              <w:t> </w:t>
            </w:r>
          </w:p>
        </w:tc>
        <w:tc>
          <w:tcPr>
            <w:tcW w:w="1205" w:type="dxa"/>
            <w:tcBorders>
              <w:bottom w:val="single" w:sz="8" w:space="0" w:color="000000"/>
            </w:tcBorders>
            <w:vAlign w:val="center"/>
          </w:tcPr>
          <w:p>
            <w:pPr>
              <w:pStyle w:val="TableContents"/>
              <w:bidi w:val="0"/>
              <w:spacing w:before="0" w:after="283"/>
              <w:jc w:val="center"/>
              <w:rPr>
                <w:b/>
                <w:sz w:val="20"/>
              </w:rPr>
            </w:pPr>
            <w:r>
              <w:rPr>
                <w:b/>
                <w:sz w:val="20"/>
              </w:rPr>
              <w:t xml:space="preserve">DEFINED IN </w:t>
              <w:br/>
              <w:t>SECTION</w:t>
            </w:r>
          </w:p>
        </w:tc>
      </w:tr>
      <w:tr>
        <w:trPr/>
        <w:tc>
          <w:tcPr>
            <w:tcW w:w="2930" w:type="dxa"/>
            <w:tcBorders/>
            <w:shd w:fill="CCEEFF" w:val="clear"/>
            <w:tcMar>
              <w:bottom w:w="0" w:type="dxa"/>
            </w:tcMar>
            <w:vAlign w:val="center"/>
          </w:tcPr>
          <w:p>
            <w:pPr>
              <w:pStyle w:val="TableContents"/>
              <w:bidi w:val="0"/>
              <w:spacing w:before="0" w:after="283"/>
              <w:jc w:val="both"/>
              <w:rPr/>
            </w:pPr>
            <w:r>
              <w:rPr/>
              <w:t>“</w:t>
            </w:r>
            <w:r>
              <w:rPr>
                <w:sz w:val="20"/>
              </w:rPr>
              <w:t>Bankruptcy Law”</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FFFFFF" w:val="clear"/>
            <w:tcMar>
              <w:bottom w:w="0" w:type="dxa"/>
            </w:tcMar>
            <w:vAlign w:val="center"/>
          </w:tcPr>
          <w:p>
            <w:pPr>
              <w:pStyle w:val="TableContents"/>
              <w:bidi w:val="0"/>
              <w:spacing w:before="0" w:after="283"/>
              <w:jc w:val="both"/>
              <w:rPr/>
            </w:pPr>
            <w:r>
              <w:rPr/>
              <w:t>“</w:t>
            </w:r>
            <w:r>
              <w:rPr>
                <w:sz w:val="20"/>
              </w:rPr>
              <w:t>Custodian”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CCEEFF" w:val="clear"/>
            <w:tcMar>
              <w:bottom w:w="0" w:type="dxa"/>
            </w:tcMar>
            <w:vAlign w:val="center"/>
          </w:tcPr>
          <w:p>
            <w:pPr>
              <w:pStyle w:val="TableContents"/>
              <w:bidi w:val="0"/>
              <w:spacing w:before="0" w:after="283"/>
              <w:jc w:val="both"/>
              <w:rPr/>
            </w:pPr>
            <w:r>
              <w:rPr/>
              <w:t>“</w:t>
            </w:r>
            <w:r>
              <w:rPr>
                <w:sz w:val="20"/>
              </w:rPr>
              <w:t>Event of Default”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6.1</w:t>
            </w:r>
          </w:p>
        </w:tc>
      </w:tr>
      <w:tr>
        <w:trPr/>
        <w:tc>
          <w:tcPr>
            <w:tcW w:w="2930" w:type="dxa"/>
            <w:tcBorders/>
            <w:shd w:fill="FFFFFF" w:val="clear"/>
            <w:tcMar>
              <w:bottom w:w="0" w:type="dxa"/>
            </w:tcMar>
            <w:vAlign w:val="center"/>
          </w:tcPr>
          <w:p>
            <w:pPr>
              <w:pStyle w:val="TableContents"/>
              <w:bidi w:val="0"/>
              <w:spacing w:before="0" w:after="283"/>
              <w:jc w:val="both"/>
              <w:rPr/>
            </w:pPr>
            <w:r>
              <w:rPr/>
              <w:t>“</w:t>
            </w:r>
            <w:r>
              <w:rPr>
                <w:sz w:val="20"/>
              </w:rPr>
              <w:t>Legal Holiday”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11.7</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mandatory sinking fund payment”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12.1</w:t>
            </w:r>
          </w:p>
        </w:tc>
      </w:tr>
      <w:tr>
        <w:trPr/>
        <w:tc>
          <w:tcPr>
            <w:tcW w:w="2930" w:type="dxa"/>
            <w:tcBorders/>
            <w:shd w:fill="FFFFFF" w:val="clear"/>
            <w:tcMar>
              <w:bottom w:w="0" w:type="dxa"/>
            </w:tcMar>
            <w:vAlign w:val="center"/>
          </w:tcPr>
          <w:p>
            <w:pPr>
              <w:pStyle w:val="TableContents"/>
              <w:bidi w:val="0"/>
              <w:spacing w:before="0" w:after="283"/>
              <w:jc w:val="left"/>
              <w:rPr/>
            </w:pPr>
            <w:r>
              <w:rPr/>
              <w:t>“</w:t>
            </w:r>
            <w:r>
              <w:rPr>
                <w:sz w:val="20"/>
              </w:rPr>
              <w:t>optional sinking fund payment”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12.1</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Paying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2.4</w:t>
            </w:r>
          </w:p>
        </w:tc>
      </w:tr>
      <w:tr>
        <w:trPr/>
        <w:tc>
          <w:tcPr>
            <w:tcW w:w="2930" w:type="dxa"/>
            <w:tcBorders/>
            <w:shd w:fill="FFFFFF" w:val="clear"/>
            <w:tcMar>
              <w:bottom w:w="0" w:type="dxa"/>
            </w:tcMar>
            <w:vAlign w:val="center"/>
          </w:tcPr>
          <w:p>
            <w:pPr>
              <w:pStyle w:val="TableContents"/>
              <w:bidi w:val="0"/>
              <w:spacing w:before="0" w:after="283"/>
              <w:jc w:val="left"/>
              <w:rPr/>
            </w:pPr>
            <w:r>
              <w:rPr/>
              <w:t>“</w:t>
            </w:r>
            <w:r>
              <w:rPr>
                <w:sz w:val="20"/>
              </w:rPr>
              <w:t>Registrar”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5" w:type="dxa"/>
            <w:tcBorders/>
            <w:shd w:fill="FFFFFF" w:val="clear"/>
            <w:tcMar>
              <w:bottom w:w="0" w:type="dxa"/>
            </w:tcMar>
            <w:vAlign w:val="center"/>
          </w:tcPr>
          <w:p>
            <w:pPr>
              <w:pStyle w:val="TableContents"/>
              <w:bidi w:val="0"/>
              <w:spacing w:before="0" w:after="283"/>
              <w:jc w:val="left"/>
              <w:rPr>
                <w:sz w:val="20"/>
              </w:rPr>
            </w:pPr>
            <w:r>
              <w:rPr>
                <w:sz w:val="20"/>
              </w:rPr>
              <w:t>2.4</w:t>
            </w:r>
          </w:p>
        </w:tc>
      </w:tr>
      <w:tr>
        <w:trPr/>
        <w:tc>
          <w:tcPr>
            <w:tcW w:w="2930" w:type="dxa"/>
            <w:tcBorders/>
            <w:shd w:fill="CCEEFF" w:val="clear"/>
            <w:tcMar>
              <w:bottom w:w="0" w:type="dxa"/>
            </w:tcMar>
            <w:vAlign w:val="center"/>
          </w:tcPr>
          <w:p>
            <w:pPr>
              <w:pStyle w:val="TableContents"/>
              <w:bidi w:val="0"/>
              <w:spacing w:before="0" w:after="283"/>
              <w:jc w:val="left"/>
              <w:rPr/>
            </w:pPr>
            <w:r>
              <w:rPr/>
              <w:t>“</w:t>
            </w:r>
            <w:r>
              <w:rPr>
                <w:sz w:val="20"/>
              </w:rPr>
              <w:t>Service Agent”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5" w:type="dxa"/>
            <w:tcBorders/>
            <w:shd w:fill="CCEEFF" w:val="clear"/>
            <w:tcMar>
              <w:bottom w:w="0" w:type="dxa"/>
            </w:tcMar>
            <w:vAlign w:val="center"/>
          </w:tcPr>
          <w:p>
            <w:pPr>
              <w:pStyle w:val="TableContents"/>
              <w:bidi w:val="0"/>
              <w:spacing w:before="0" w:after="283"/>
              <w:jc w:val="left"/>
              <w:rPr>
                <w:sz w:val="20"/>
              </w:rPr>
            </w:pPr>
            <w:r>
              <w:rPr>
                <w:sz w:val="20"/>
              </w:rPr>
              <w:t>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1.3            </w:t>
      </w:r>
      <w:r>
        <w:rPr>
          <w:rFonts w:ascii="Times New Roman;Times;Serif" w:hAnsi="Times New Roman;Times;Serif"/>
          <w:b w:val="false"/>
          <w:i w:val="false"/>
          <w:caps w:val="false"/>
          <w:smallCaps w:val="false"/>
          <w:sz w:val="20"/>
          <w:u w:val="single"/>
        </w:rPr>
        <w:t>Incorporation by Reference of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this Indenture refers to a provision of the TIA, the provision is incorporated by reference in and made a part of this Indenture. The following TIA terms used in this Indenture have the following meanings: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Commission” means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securities” means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security holder” means a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to be qualified” means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indenture trustee” or “institutional trustee” means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obligor” on the indenture securities means the Company and any successor obligor upon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terms used in this Indenture that are defined by the TIA, defined by TIA reference to another statute or defined by SEC rule under the TIA and not otherwise defined herein are used herein as so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1.4            </w:t>
      </w:r>
      <w:r>
        <w:rPr>
          <w:rFonts w:ascii="Times New Roman;Times;Serif" w:hAnsi="Times New Roman;Times;Serif"/>
          <w:b w:val="false"/>
          <w:i w:val="false"/>
          <w:caps w:val="false"/>
          <w:smallCaps w:val="false"/>
          <w:sz w:val="20"/>
          <w:u w:val="single"/>
        </w:rPr>
        <w:t>Rules of Construction.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term has the meaning assigned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 accounting term not otherwise defined has the meaning assigned to it in accordance with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references to “generally accepted accounting principles” and “GAAP” shall mean generally accepted accounting principles in effect as of the time when and for the period as to which such accounting principles are to be applied;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“or” is not exclusive;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words in the singular include the plural, and in the plural include the singular;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“including” is not limiting;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provisions apply to successive events and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II.</w:t>
      </w:r>
      <w:r>
        <w:rPr>
          <w:rFonts w:ascii="Times New Roman;Times;Serif" w:hAnsi="Times New Roman;Times;Serif"/>
          <w:b w:val="false"/>
          <w:i w:val="false"/>
          <w:caps w:val="false"/>
          <w:smallCaps w:val="false"/>
          <w:sz w:val="20"/>
        </w:rPr>
        <w:br/>
        <w:t>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            </w:t>
      </w:r>
      <w:r>
        <w:rPr>
          <w:rFonts w:ascii="Times New Roman;Times;Serif" w:hAnsi="Times New Roman;Times;Serif"/>
          <w:b w:val="false"/>
          <w:i w:val="false"/>
          <w:caps w:val="false"/>
          <w:smallCaps w:val="false"/>
          <w:sz w:val="20"/>
          <w:u w:val="single"/>
        </w:rPr>
        <w:t>Issuable in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All Securities of a Series shall be identical except as may be set forth in a Board Resolution, a supplemental indenture or an Officers’ Certificate detailing the adoption of the terms thereof pursuant to the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2.2            </w:t>
      </w:r>
      <w:r>
        <w:rPr>
          <w:rFonts w:ascii="Times New Roman;Times;Serif" w:hAnsi="Times New Roman;Times;Serif"/>
          <w:b w:val="false"/>
          <w:i w:val="false"/>
          <w:caps w:val="false"/>
          <w:smallCaps w:val="false"/>
          <w:sz w:val="20"/>
          <w:u w:val="single"/>
        </w:rPr>
        <w:t>Establishment of Terms of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2.2.21) by or pursuant to a Board Resolution, and set forth or determined in the manner provided in a Board Resolution, supplemental indenture or an Officers’ Certificate pursuant to authority granted under a Board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       </w:t>
      </w:r>
      <w:r>
        <w:rPr>
          <w:rFonts w:ascii="Times New Roman;Times;Serif" w:hAnsi="Times New Roman;Times;Serif"/>
          <w:b w:val="false"/>
          <w:i w:val="false"/>
          <w:caps w:val="false"/>
          <w:smallCaps w:val="false"/>
          <w:sz w:val="20"/>
        </w:rPr>
        <w:t>the title of the Series (which shall distinguish the Securities of that particular Series from the Securities of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       </w:t>
      </w:r>
      <w:r>
        <w:rPr>
          <w:rFonts w:ascii="Times New Roman;Times;Serif" w:hAnsi="Times New Roman;Times;Serif"/>
          <w:b w:val="false"/>
          <w:i w:val="false"/>
          <w:caps w:val="false"/>
          <w:smallCaps w:val="false"/>
          <w:sz w:val="20"/>
        </w:rPr>
        <w:t>the price or prices (expressed as a percentage of the principal amount thereof) at which the Securities of the Series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2.2.3       </w:t>
      </w:r>
      <w:r>
        <w:rPr>
          <w:rFonts w:ascii="Times New Roman;Times;Serif" w:hAnsi="Times New Roman;Times;Serif"/>
          <w:b w:val="false"/>
          <w:i w:val="false"/>
          <w:caps w:val="false"/>
          <w:smallCaps w:val="false"/>
          <w:sz w:val="20"/>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2.2.4       </w:t>
      </w:r>
      <w:r>
        <w:rPr>
          <w:rFonts w:ascii="Times New Roman;Times;Serif" w:hAnsi="Times New Roman;Times;Serif"/>
          <w:b w:val="false"/>
          <w:i w:val="false"/>
          <w:caps w:val="false"/>
          <w:smallCaps w:val="false"/>
          <w:sz w:val="20"/>
        </w:rPr>
        <w:t>the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2.2.5       </w:t>
      </w:r>
      <w:r>
        <w:rPr>
          <w:rFonts w:ascii="Times New Roman;Times;Serif" w:hAnsi="Times New Roman;Times;Serif"/>
          <w:b w:val="false"/>
          <w:i w:val="false"/>
          <w:caps w:val="false"/>
          <w:smallCaps w:val="false"/>
          <w:sz w:val="20"/>
        </w:rPr>
        <w:t>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 provided, however, that the method used to determine such rate or rates at which the Securities of the Series shall bear interest must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2.2.6       </w:t>
      </w:r>
      <w:r>
        <w:rPr>
          <w:rFonts w:ascii="Times New Roman;Times;Serif" w:hAnsi="Times New Roman;Times;Serif"/>
          <w:b w:val="false"/>
          <w:i w:val="false"/>
          <w:caps w:val="false"/>
          <w:smallCaps w:val="false"/>
          <w:sz w:val="20"/>
        </w:rPr>
        <w:t>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served, and the method of such payment, if by wire transfer, mail or other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2.2.7       </w:t>
      </w:r>
      <w:r>
        <w:rPr>
          <w:rFonts w:ascii="Times New Roman;Times;Serif" w:hAnsi="Times New Roman;Times;Serif"/>
          <w:b w:val="false"/>
          <w:i w:val="false"/>
          <w:caps w:val="false"/>
          <w:smallCaps w:val="false"/>
          <w:sz w:val="20"/>
        </w:rPr>
        <w:t>if applicable, the period or periods within which, the price or prices at which and the terms and conditions upon which the Securities of the Series may be redeemed, in whole or in part, at the option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2.2.8       </w:t>
      </w:r>
      <w:r>
        <w:rPr>
          <w:rFonts w:ascii="Times New Roman;Times;Serif" w:hAnsi="Times New Roman;Times;Serif"/>
          <w:b w:val="false"/>
          <w:i w:val="false"/>
          <w:caps w:val="false"/>
          <w:smallCaps w:val="false"/>
          <w:sz w:val="20"/>
        </w:rPr>
        <w:t>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2.2.9       </w:t>
      </w:r>
      <w:r>
        <w:rPr>
          <w:rFonts w:ascii="Times New Roman;Times;Serif" w:hAnsi="Times New Roman;Times;Serif"/>
          <w:b w:val="false"/>
          <w:i w:val="false"/>
          <w:caps w:val="false"/>
          <w:smallCaps w:val="false"/>
          <w:sz w:val="20"/>
        </w:rPr>
        <w:t>the dates, if any, on which and the price or prices at which the Securities of the Series will be repurchased by the Company at the option of the Holders thereof and other detailed terms and provisions of such repurchase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2.2.10     </w:t>
      </w:r>
      <w:r>
        <w:rPr>
          <w:rFonts w:ascii="Times New Roman;Times;Serif" w:hAnsi="Times New Roman;Times;Serif"/>
          <w:b w:val="false"/>
          <w:i w:val="false"/>
          <w:caps w:val="false"/>
          <w:smallCaps w:val="false"/>
          <w:sz w:val="20"/>
        </w:rPr>
        <w:t>if other than denominations of $2,000 and any integral multiple of $1,000 in excess thereof, the denominations in which the Securities of the Series shall be issuable;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2.2.11     </w:t>
      </w:r>
      <w:r>
        <w:rPr>
          <w:rFonts w:ascii="Times New Roman;Times;Serif" w:hAnsi="Times New Roman;Times;Serif"/>
          <w:b w:val="false"/>
          <w:i w:val="false"/>
          <w:caps w:val="false"/>
          <w:smallCaps w:val="false"/>
          <w:sz w:val="20"/>
        </w:rPr>
        <w:t>whether the Securities of the Series are to be issued in whole or in part in the form of one or more Global Securities and, in such case, the Depositary for such Global Security or Global Securities, and the terms and conditions, if any, upon which interests in such Global Security or Global Securities may be exchanged in whole or in part for the individual securities represented thereby in definitive form registered in the name or names of Persons other than such Depositary or a nominee or nominees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2.2.12     </w:t>
      </w:r>
      <w:r>
        <w:rPr>
          <w:rFonts w:ascii="Times New Roman;Times;Serif" w:hAnsi="Times New Roman;Times;Serif"/>
          <w:b w:val="false"/>
          <w:i w:val="false"/>
          <w:caps w:val="false"/>
          <w:smallCaps w:val="false"/>
          <w:sz w:val="20"/>
        </w:rPr>
        <w:t>if other than the principal amount thereof, the portion of the principal amount of the Securities of the Series that shall be payable upon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2.2.13     </w:t>
      </w:r>
      <w:r>
        <w:rPr>
          <w:rFonts w:ascii="Times New Roman;Times;Serif" w:hAnsi="Times New Roman;Times;Serif"/>
          <w:b w:val="false"/>
          <w:i w:val="false"/>
          <w:caps w:val="false"/>
          <w:smallCaps w:val="false"/>
          <w:sz w:val="20"/>
        </w:rPr>
        <w:t>the currency of denomination of the Securities of the Series, which may be Dollars or any Foreign Currency, including, but not limited to, the ECU, and if such currency of denomination is a composite currency other than the ECU, the agency or organization, if any, responsible for overseeing such composite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2.2.14     </w:t>
      </w:r>
      <w:r>
        <w:rPr>
          <w:rFonts w:ascii="Times New Roman;Times;Serif" w:hAnsi="Times New Roman;Times;Serif"/>
          <w:b w:val="false"/>
          <w:i w:val="false"/>
          <w:caps w:val="false"/>
          <w:smallCaps w:val="false"/>
          <w:sz w:val="20"/>
        </w:rPr>
        <w:t>the designation of the currency, currencies or currency units in which payment of the principal of and interest, if any, on the Securities of the Series will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2.2.15     </w:t>
      </w:r>
      <w:r>
        <w:rPr>
          <w:rFonts w:ascii="Times New Roman;Times;Serif" w:hAnsi="Times New Roman;Times;Serif"/>
          <w:b w:val="false"/>
          <w:i w:val="false"/>
          <w:caps w:val="false"/>
          <w:smallCaps w:val="false"/>
          <w:sz w:val="20"/>
        </w:rPr>
        <w:t>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2.2.16     </w:t>
      </w:r>
      <w:r>
        <w:rPr>
          <w:rFonts w:ascii="Times New Roman;Times;Serif" w:hAnsi="Times New Roman;Times;Serif"/>
          <w:b w:val="false"/>
          <w:i w:val="false"/>
          <w:caps w:val="false"/>
          <w:smallCaps w:val="false"/>
          <w:sz w:val="20"/>
        </w:rPr>
        <w:t>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2.2.17     </w:t>
      </w:r>
      <w:r>
        <w:rPr>
          <w:rFonts w:ascii="Times New Roman;Times;Serif" w:hAnsi="Times New Roman;Times;Serif"/>
          <w:b w:val="false"/>
          <w:i w:val="false"/>
          <w:caps w:val="false"/>
          <w:smallCaps w:val="false"/>
          <w:sz w:val="20"/>
        </w:rPr>
        <w:t>the provisions, if any, relating to any security or guarantee provided for the Securities of the Series, and any subordination in right of payment, if any, of the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2.2.18     </w:t>
      </w:r>
      <w:r>
        <w:rPr>
          <w:rFonts w:ascii="Times New Roman;Times;Serif" w:hAnsi="Times New Roman;Times;Serif"/>
          <w:b w:val="false"/>
          <w:i w:val="false"/>
          <w:caps w:val="false"/>
          <w:smallCaps w:val="false"/>
          <w:sz w:val="20"/>
        </w:rPr>
        <w:t>any addition to or change in the Events of Default which applies to any Securities of the Series and any change in the right of the Trustee or the requisite Holders of such Securities to declare the principal amount thereof due and payable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2.2.19     </w:t>
      </w:r>
      <w:r>
        <w:rPr>
          <w:rFonts w:ascii="Times New Roman;Times;Serif" w:hAnsi="Times New Roman;Times;Serif"/>
          <w:b w:val="false"/>
          <w:i w:val="false"/>
          <w:caps w:val="false"/>
          <w:smallCaps w:val="false"/>
          <w:sz w:val="20"/>
        </w:rPr>
        <w:t>any addition to or change in the covenants set forth in Articles IV or V which applies to Securities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2.2.20     </w:t>
      </w:r>
      <w:r>
        <w:rPr>
          <w:rFonts w:ascii="Times New Roman;Times;Serif" w:hAnsi="Times New Roman;Times;Serif"/>
          <w:b w:val="false"/>
          <w:i w:val="false"/>
          <w:caps w:val="false"/>
          <w:smallCaps w:val="false"/>
          <w:sz w:val="20"/>
        </w:rPr>
        <w:t>any other terms of the Securities of the Series (which may modify or delete any provision of this Indenture insofar as it applies to such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2.2.21     </w:t>
      </w:r>
      <w:r>
        <w:rPr>
          <w:rFonts w:ascii="Times New Roman;Times;Serif" w:hAnsi="Times New Roman;Times;Serif"/>
          <w:b w:val="false"/>
          <w:i w:val="false"/>
          <w:caps w:val="false"/>
          <w:smallCaps w:val="false"/>
          <w:sz w:val="20"/>
        </w:rPr>
        <w:t>any depositories, interest rate calculation agents, exchange rate calculation agents or other agents with respect to Securities of such Series if other than those appointed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 and the authorized principal amount of any Series may not be increased to provide for issuances of additional Securities of such Series, unless otherwise provided in such Board Resolution, supplemental indenture or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2.3            </w:t>
      </w:r>
      <w:r>
        <w:rPr>
          <w:rFonts w:ascii="Times New Roman;Times;Serif" w:hAnsi="Times New Roman;Times;Serif"/>
          <w:b w:val="false"/>
          <w:i w:val="false"/>
          <w:caps w:val="false"/>
          <w:smallCaps w:val="false"/>
          <w:sz w:val="20"/>
          <w:u w:val="single"/>
        </w:rPr>
        <w:t>Execution and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Officer shall sign the Securities for the Company by manual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Officer whose signature is on a Security no longer holds that office at the time the Security is authenticated, the Security shall nevertheless be valid.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by the manual signature of the Trustee or an authenticating agent. The signature shall be conclusive evidence that the Security has been authenticated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 unless otherwise provided by a Board Resolution, a supplemental indenture hereto or an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issuance of Securities of any Series, the Trustee shall have received and (subject to Section 7.2) shall be fully protected in relying on: (a) the Board Resolution, supplemental indenture hereto or Officers’ Certificate establishing the form of the Securities of that Series or of Securities within that Series and the terms of the Securities of that Series or of Securities within that Series, (b) an Officers’ Certificate complying with Section 11.4, and (c) an Opinion of Counsel complying with Section 11.4.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the right to decline to authenticate and deliver any Securities of such Series: (a) if the Trustee, being advised by counsel, determines that such action may not be taken lawfully; or (b) if the Trustee in good faith shall determine that such action could expose the Trustee to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Holders, the Company or an Affiliate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2.4            </w:t>
      </w:r>
      <w:r>
        <w:rPr>
          <w:rFonts w:ascii="Times New Roman;Times;Serif" w:hAnsi="Times New Roman;Times;Serif"/>
          <w:b w:val="false"/>
          <w:i w:val="false"/>
          <w:caps w:val="false"/>
          <w:smallCaps w:val="false"/>
          <w:sz w:val="20"/>
          <w:u w:val="single"/>
        </w:rPr>
        <w:t>Registrar and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maintain, with respect to each Series of Securities, at the place or places specified with respect to such Series pursuant to Section 2.2, an office or agency where Securities of such Series may be presented or surrendered for payment (“Paying Agent”), where Securities of such Series may be surrendered for registration of transfer or exchange (“Registrar”) and where notices and demands to or upon the Company in respect of the Securities of such Series and this Indenture may be served (“Service Agent”). The Registrar shall keep a register with respect to each Series of Securities and to their transfer and exchange. The Company will give prompt written notice to the Trustee of the name and address, and any change in the name or address, of each Registrar, Paying Agent or Service Agent. If at any time the Company shall fail to maintain any such required Registrar, Paying Agent or Service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provided, however, that the Trustee shall not serve as an agent or officer for the purpose of service of process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may also from time to time designate one or more co-registrars, additional paying agents or additional service agents and may from time to time rescind such designations;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designation or rescission shall in any manner relieve the Company of its obligations to maintain a Registrar, Paying Agent and Service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service agent. The term “Registrar” includes any co-registrar; the term “Paying Agent” includes any additional paying agent; and the term “Service Agent” includes any additional service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appoints the Trustee as the initial Registrar, Paying Agent and Service Agent for each Series unless another Registrar, Paying Agent or Service Agent, as the case may be, is appointed prior to the time Securities of that Series are first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2.5            </w:t>
      </w:r>
      <w:r>
        <w:rPr>
          <w:rFonts w:ascii="Times New Roman;Times;Serif" w:hAnsi="Times New Roman;Times;Serif"/>
          <w:b w:val="false"/>
          <w:i w:val="false"/>
          <w:caps w:val="false"/>
          <w:smallCaps w:val="false"/>
          <w:sz w:val="20"/>
          <w:u w:val="single"/>
        </w:rPr>
        <w:t>Paying Agent to Hold Money in Trust.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2.6            </w:t>
      </w:r>
      <w:r>
        <w:rPr>
          <w:rFonts w:ascii="Times New Roman;Times;Serif" w:hAnsi="Times New Roman;Times;Serif"/>
          <w:b w:val="false"/>
          <w:i w:val="false"/>
          <w:caps w:val="false"/>
          <w:smallCaps w:val="false"/>
          <w:sz w:val="20"/>
          <w:u w:val="single"/>
        </w:rPr>
        <w:t>Securityholder Lists.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payment date and at such other times as the Trustee may request in writing a list, in such form and as of such date as the Trustee may reasonably require, of the names and addresses of Securityholders of each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2.7            </w:t>
      </w:r>
      <w:r>
        <w:rPr>
          <w:rFonts w:ascii="Times New Roman;Times;Serif" w:hAnsi="Times New Roman;Times;Serif"/>
          <w:b w:val="false"/>
          <w:i w:val="false"/>
          <w:caps w:val="false"/>
          <w:smallCaps w:val="false"/>
          <w:sz w:val="20"/>
          <w:u w:val="single"/>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Securities of a Series are presented to the Registrar or a co-registrar with a request to register a transfer or to exchange them for an equal principal amount of Securities of the same Series, the Registrar shall register the transfer or make the exchange if the requirements set forth in this Indenture and the Board Resolution, supplemental indenture hereto or Officers’ Certificate applicable to such Series of Securities are met with respect to such transfer or exchange.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the Company nor the Registrar shall be required (a) to issue, register the transfer of, or exchange Securities of any Series for the period beginning at the opening of business fifteen days immediately preceding the mailing of a notice of redemption of Securities of that Series selected for redemption and ending at the close of business on the day of such mailing, or (b) to register the transfer of or exchange Securities of any Series selected, called or being called for redemption as a whole or the portion being redeemed of any such Securities selected, called or being called for redemption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neither the Trustee nor the Registrar shall have any obligation or duty to monitor, determine or inquire as to compliance with any restrictions on transfer imposed under this Indenture, any Board Resolution, any supplemental indenture hereto, any Officers’ Certificate, any Securities or under applicable law with respect to any transfer of any interest in any Securities other than to require delivery of such certificates and other documentation or evidence as are expressly required by, and to do so if and when expressly required by the terms of, this Indenture or the Board Resolution, supplemental indenture hereto or Officers’ Certificate applicable to such Series of Securities, and to examine the same to determine substantial compliance as to form with the express requirements hereof or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2.8            </w:t>
      </w:r>
      <w:r>
        <w:rPr>
          <w:rFonts w:ascii="Times New Roman;Times;Serif" w:hAnsi="Times New Roman;Times;Serif"/>
          <w:b w:val="false"/>
          <w:i w:val="false"/>
          <w:caps w:val="false"/>
          <w:smallCaps w:val="false"/>
          <w:sz w:val="20"/>
          <w:u w:val="single"/>
        </w:rPr>
        <w:t>Mutilated, Destroyed, Lost and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mutilated Security is surrendered to the Trustee, the Company shall execute and the Trustee shall authenticate and make available for delivery in exchange therefor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there shall be delivered to the Company and the Trustee (i) evidence to their satisfaction of the destruction, loss or theft of any Security and (ii) such security or indemnity as may be required by them to save each of them and any agent of either of them harmless, then, in the absence of notice to the Company or the Trustee that such Security has been acquired by a bona fide purchaser, the Company shall execute and upon Company Order the Trustee shall authenticate and make available for delivery, in lieu of any such destroyed, lost or stolen Security, a new Security of the same Series and of like tenor and principal amount and bearing a number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such mutilated, destroyed, lost or stolen Security has become or is about to become due and payable, the Company in its discretion may, instead of issuing a new Security, pay such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are exclusive and shall preclude (to the extent lawful) all other rights and remedies with respect to the replacement or payment of mutilated, destroyed, lost or stolen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2.9            </w:t>
      </w:r>
      <w:r>
        <w:rPr>
          <w:rFonts w:ascii="Times New Roman;Times;Serif" w:hAnsi="Times New Roman;Times;Serif"/>
          <w:b w:val="false"/>
          <w:i w:val="false"/>
          <w:caps w:val="false"/>
          <w:smallCaps w:val="false"/>
          <w:sz w:val="20"/>
          <w:u w:val="single"/>
        </w:rPr>
        <w:t>Outstanding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2.10, 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Security is replaced pursuant to Section 2.8, it ceases to be outstanding until the Trustee receives proof satisfactory to it that the replaced Security is held by a bona fide purchaser.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Paying Agent (other than the Company, a Subsidiary of the Company or an Affiliate of the Company) holds on a redemption date or the Maturity of Securities of a Series money sufficient to pay such Securities payable on that date, then on and after that date such Securities of the Series shall cease to be outstanding and interest on such Securities shall cease to accrue.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2.10, a Security does not cease to be outstanding because the Company or an Affiliate of the Company holds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2.10          </w:t>
      </w:r>
      <w:r>
        <w:rPr>
          <w:rFonts w:ascii="Times New Roman;Times;Serif" w:hAnsi="Times New Roman;Times;Serif"/>
          <w:b w:val="false"/>
          <w:i w:val="false"/>
          <w:caps w:val="false"/>
          <w:smallCaps w:val="false"/>
          <w:sz w:val="20"/>
          <w:u w:val="single"/>
        </w:rPr>
        <w:t>Treasury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required principal amount of Securities of a Series have concurred in any request, demand, authorization, direction, notice, consent or waiver Securities of a Series owned by the Company or an Affiliate of the Company shall be disregarded, except that for the purposes of determining whether the Trustee shall be protected in relying on any such request, demand, authorization, direction, notice, consent or waiver only Securities of a Series that the Trustee has received written notice from the Company, certifying that the relevant Securities of such Series are owned by the Company or an Affiliate of the Company shall be so disregarded.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request of the Trustee, the Company shall promptly furnish to the Trustee an Officer’s Certificate listing and identifying all Securities, if any, known by the Company to be owned or held by or for the account of the Company or an Affiliate of the Company, and the Trustee shall be entitled to accept such Officer’s Certificate as conclusive evidence of the facts therein set forth and of the fact that all Securities not listed therein are outstanding for the purpose of any such determination.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2.11          </w:t>
      </w:r>
      <w:r>
        <w:rPr>
          <w:rFonts w:ascii="Times New Roman;Times;Serif" w:hAnsi="Times New Roman;Times;Serif"/>
          <w:b w:val="false"/>
          <w:i w:val="false"/>
          <w:caps w:val="false"/>
          <w:smallCaps w:val="false"/>
          <w:sz w:val="20"/>
          <w:u w:val="single"/>
        </w:rPr>
        <w:t>Temporary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request shall authenticate definitive Securities of the same Series and date of maturity in exchange for temporary Securities. Until so exchanged, temporary securities shall have the same rights under this Indenture as the definitive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2.12          </w:t>
      </w:r>
      <w:r>
        <w:rPr>
          <w:rFonts w:ascii="Times New Roman;Times;Serif" w:hAnsi="Times New Roman;Times;Serif"/>
          <w:b w:val="false"/>
          <w:i w:val="false"/>
          <w:caps w:val="false"/>
          <w:smallCaps w:val="false"/>
          <w:sz w:val="20"/>
          <w:u w:val="single"/>
        </w:rPr>
        <w:t>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at any time may deliver Securities to the Trustee for cancellation. The Registrar and the Paying Agent shall forward to the Trustee any Securities surrendered to them for registration of transfer, exchange or payment. Upon written request of an Officer, the Trustee shall cancel all Securities surrendered for transfer, exchange, payment, replacement or cancellation and deliver such canceled Securities to the Company, unless the Company otherwise directs; provided that the Trustee shall not be required to destroy Securities. The Company may not issue new Securities to replace Securities that it has paid or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2.13          </w:t>
      </w:r>
      <w:r>
        <w:rPr>
          <w:rFonts w:ascii="Times New Roman;Times;Serif" w:hAnsi="Times New Roman;Times;Serif"/>
          <w:b w:val="false"/>
          <w:i w:val="false"/>
          <w:caps w:val="false"/>
          <w:smallCaps w:val="false"/>
          <w:sz w:val="20"/>
          <w:u w:val="single"/>
        </w:rPr>
        <w:t>Defaulted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record date, the Company shall mail to the Trustee and to each Securityholder of the Series a notice that states the record date, the payment date and the amount of interest to be paid. The Company may pay defaulted interest in any other lawful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2.14          </w:t>
      </w:r>
      <w:r>
        <w:rPr>
          <w:rFonts w:ascii="Times New Roman;Times;Serif" w:hAnsi="Times New Roman;Times;Serif"/>
          <w:b w:val="false"/>
          <w:i w:val="false"/>
          <w:caps w:val="false"/>
          <w:smallCaps w:val="false"/>
          <w:sz w:val="20"/>
          <w:u w:val="single"/>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2.14.1     </w:t>
      </w:r>
      <w:r>
        <w:rPr>
          <w:rFonts w:ascii="Times New Roman;Times;Serif" w:hAnsi="Times New Roman;Times;Serif"/>
          <w:b w:val="false"/>
          <w:i w:val="false"/>
          <w:caps w:val="false"/>
          <w:smallCaps w:val="false"/>
          <w:sz w:val="20"/>
          <w:u w:val="single"/>
        </w:rPr>
        <w:t>Terms of Securities</w:t>
      </w:r>
      <w:r>
        <w:rPr>
          <w:rFonts w:ascii="Times New Roman;Times;Serif" w:hAnsi="Times New Roman;Times;Serif"/>
          <w:b w:val="false"/>
          <w:i w:val="false"/>
          <w:caps w:val="false"/>
          <w:smallCaps w:val="false"/>
          <w:sz w:val="20"/>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2.14.2     </w:t>
      </w:r>
      <w:r>
        <w:rPr>
          <w:rFonts w:ascii="Times New Roman;Times;Serif" w:hAnsi="Times New Roman;Times;Serif"/>
          <w:b w:val="false"/>
          <w:i w:val="false"/>
          <w:caps w:val="false"/>
          <w:smallCaps w:val="false"/>
          <w:sz w:val="20"/>
          <w:u w:val="single"/>
        </w:rPr>
        <w:t>Transfer and Exchange</w:t>
      </w:r>
      <w:r>
        <w:rPr>
          <w:rFonts w:ascii="Times New Roman;Times;Serif" w:hAnsi="Times New Roman;Times;Serif"/>
          <w:b w:val="false"/>
          <w:i w:val="false"/>
          <w:caps w:val="false"/>
          <w:smallCaps w:val="false"/>
          <w:sz w:val="20"/>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(ii) the Company executes and delivers to the Trustee an Officers’ Certificate to the effect that such Global Security shall be so exchangeable or (iii) an Event of Default with respect to the Securities represented by such Global Security shall have happened and be continuing.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2.14.3     </w:t>
      </w:r>
      <w:r>
        <w:rPr>
          <w:rFonts w:ascii="Times New Roman;Times;Serif" w:hAnsi="Times New Roman;Times;Serif"/>
          <w:b w:val="false"/>
          <w:i w:val="false"/>
          <w:caps w:val="false"/>
          <w:smallCaps w:val="false"/>
          <w:sz w:val="20"/>
          <w:u w:val="single"/>
        </w:rPr>
        <w:t>Legend</w:t>
      </w:r>
      <w:r>
        <w:rPr>
          <w:rFonts w:ascii="Times New Roman;Times;Serif" w:hAnsi="Times New Roman;Times;Serif"/>
          <w:b w:val="false"/>
          <w:i w:val="false"/>
          <w:caps w:val="false"/>
          <w:smallCaps w:val="false"/>
          <w:sz w:val="20"/>
        </w:rPr>
        <w:t>. Any Global Security issued hereunder shall bear a legend in substantially the following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2.14.4     </w:t>
      </w:r>
      <w:r>
        <w:rPr>
          <w:rFonts w:ascii="Times New Roman;Times;Serif" w:hAnsi="Times New Roman;Times;Serif"/>
          <w:b w:val="false"/>
          <w:i w:val="false"/>
          <w:caps w:val="false"/>
          <w:smallCaps w:val="false"/>
          <w:sz w:val="20"/>
          <w:u w:val="single"/>
        </w:rPr>
        <w:t>Acts of Holders</w:t>
      </w:r>
      <w:r>
        <w:rPr>
          <w:rFonts w:ascii="Times New Roman;Times;Serif" w:hAnsi="Times New Roman;Times;Serif"/>
          <w:b w:val="false"/>
          <w:i w:val="false"/>
          <w:caps w:val="false"/>
          <w:smallCaps w:val="false"/>
          <w:sz w:val="20"/>
        </w:rPr>
        <w:t>. The Depositary, as a Holder, may appoint agents and otherwise authorize participants to give or take any request, demand, authorization, direction, notice, consent, waiver or other action which a Holder is entitled to give or take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2.14.5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Notwithstanding the other provisions of this Indenture, unless otherwise specified as contemplated by Section 2.2, payment of the principal of and interest, if any, on any Global Security shall be made to the Holder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2.14.6     </w:t>
      </w:r>
      <w:r>
        <w:rPr>
          <w:rFonts w:ascii="Times New Roman;Times;Serif" w:hAnsi="Times New Roman;Times;Serif"/>
          <w:b w:val="false"/>
          <w:i w:val="false"/>
          <w:caps w:val="false"/>
          <w:smallCaps w:val="false"/>
          <w:sz w:val="20"/>
          <w:u w:val="single"/>
        </w:rPr>
        <w:t>Consents, Declaration and Directions</w:t>
      </w:r>
      <w:r>
        <w:rPr>
          <w:rFonts w:ascii="Times New Roman;Times;Serif" w:hAnsi="Times New Roman;Times;Serif"/>
          <w:b w:val="false"/>
          <w:i w:val="false"/>
          <w:caps w:val="false"/>
          <w:smallCaps w:val="false"/>
          <w:sz w:val="20"/>
        </w:rPr>
        <w:t>. Except as provided in Section 2.14.5, the Company, the Trustee and any Agent shall treat a person as the Holder of such principal amount of outstanding Securities of such Series represented by a Global Security as shall be specified in a written statement of the Depositary with respect to such Global Security, for purposes of obtaining any consents, declarations, waivers or directions required to be given by the Holders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2.14.7     </w:t>
      </w:r>
      <w:r>
        <w:rPr>
          <w:rFonts w:ascii="Times New Roman;Times;Serif" w:hAnsi="Times New Roman;Times;Serif"/>
          <w:b w:val="false"/>
          <w:i w:val="false"/>
          <w:caps w:val="false"/>
          <w:smallCaps w:val="false"/>
          <w:sz w:val="20"/>
          <w:u w:val="single"/>
        </w:rPr>
        <w:t>General Provisions for Book-Entry Securities</w:t>
      </w:r>
      <w:r>
        <w:rPr>
          <w:rFonts w:ascii="Times New Roman;Times;Serif" w:hAnsi="Times New Roman;Times;Serif"/>
          <w:b w:val="false"/>
          <w:i w:val="false"/>
          <w:caps w:val="false"/>
          <w:smallCaps w:val="false"/>
          <w:sz w:val="20"/>
        </w:rPr>
        <w:t>. Members of, or participants in, the Depositary (“Participants”) shall have no rights under this Indenture with respect to any Global Security held on their behalf by the Depositary, or the Trustee as its custodian, or under the Global Security, and the Depositary may be treated by the Company, the Trustee and any agent of the Company or the Trustee as the absolute owner of the Global Security for all purposes whatsoever. Notwithstanding the foregoing, nothing herein shall prevent the Company, the Trustee or any agent of the Company or the Trustee from giving effect to any written certification, proxy or other authorization furnished by the Depositary or impair, as between the Depositary and Participants, the operation of customary practices governing the exercise of the rights of a Holder of any Global Security. All notices and communications to be given to the Holders and all payments to be made to Holders in respect of the Global Securities shall be given or made only to or upon the order of the registered Holders (which shall be the Depositary or its nominee). The rights of beneficial owners in any Global Security shall be exercised only through the Depositary, subject to its applicable rules and procedures. The Trustee, Registrar, Paying Agent and Service Agent may each rely and shall be fully protected in relying upon information furnished by the Depositary with respect to its agent members and other members, participants and any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2.15          </w:t>
      </w:r>
      <w:r>
        <w:rPr>
          <w:rFonts w:ascii="Times New Roman;Times;Serif" w:hAnsi="Times New Roman;Times;Serif"/>
          <w:b w:val="false"/>
          <w:i w:val="false"/>
          <w:caps w:val="false"/>
          <w:smallCaps w:val="false"/>
          <w:sz w:val="20"/>
          <w:u w:val="single"/>
        </w:rPr>
        <w:t>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III.</w:t>
      </w:r>
      <w:r>
        <w:rPr>
          <w:rFonts w:ascii="Times New Roman;Times;Serif" w:hAnsi="Times New Roman;Times;Serif"/>
          <w:b w:val="false"/>
          <w:i w:val="false"/>
          <w:caps w:val="false"/>
          <w:smallCaps w:val="false"/>
          <w:sz w:val="20"/>
          <w:u w:val="single"/>
        </w:rPr>
        <w:br/>
        <w:t>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3.1            </w:t>
      </w:r>
      <w:r>
        <w:rPr>
          <w:rFonts w:ascii="Times New Roman;Times;Serif" w:hAnsi="Times New Roman;Times;Serif"/>
          <w:b w:val="false"/>
          <w:i w:val="false"/>
          <w:caps w:val="false"/>
          <w:smallCaps w:val="false"/>
          <w:sz w:val="20"/>
          <w:u w:val="single"/>
        </w:rPr>
        <w:t>Notice to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of the redemption date and the principal amount of Series of Securities to be redeemed. The Company shall give the notice at least 10 days, but not more than 60 days, before the redemption date (or such shorter notice as may be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3.2            </w:t>
      </w:r>
      <w:r>
        <w:rPr>
          <w:rFonts w:ascii="Times New Roman;Times;Serif" w:hAnsi="Times New Roman;Times;Serif"/>
          <w:b w:val="false"/>
          <w:i w:val="false"/>
          <w:caps w:val="false"/>
          <w:smallCaps w:val="false"/>
          <w:sz w:val="20"/>
          <w:u w:val="single"/>
        </w:rPr>
        <w:t>Selection of Securities to be Redeemed or Repurchased.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Unless otherwise indicated for a particular Series by a Board Resolution, a supplemental indenture or an Officers’ Certificate, if less than all the Securities of a Series are to be redeemed or repurchased, the Trustee shall select the Securities of the Series to be redeemed or repurchased on a </w:t>
      </w:r>
      <w:r>
        <w:rPr>
          <w:rFonts w:ascii="Times New Roman;Times;Serif" w:hAnsi="Times New Roman;Times;Serif"/>
          <w:b w:val="false"/>
          <w:i/>
          <w:caps w:val="false"/>
          <w:smallCaps w:val="false"/>
          <w:sz w:val="20"/>
        </w:rPr>
        <w:t>pro rata</w:t>
      </w:r>
      <w:r>
        <w:rPr>
          <w:rFonts w:ascii="Times New Roman;Times;Serif" w:hAnsi="Times New Roman;Times;Serif"/>
          <w:b w:val="false"/>
          <w:i w:val="false"/>
          <w:caps w:val="false"/>
          <w:smallCaps w:val="false"/>
          <w:sz w:val="20"/>
        </w:rPr>
        <w:t xml:space="preserve"> basis unless otherwise required by law, rules of the applicable Depositary or applicable stock exchange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partial redemption or purchase by lot, the Trustee shall make the selection from Securities of the Series outstanding not previously called for redemption or repurchase. The Trustee may select for redemption or repurchase portions of the principal of Securities of the Series that have denominations larger than $2,000. Securities of the Series and portions of them it selects shall be in amounts of $2,000 or whole multiples of $1,000 in excess of $2,000 or, with respect to Securities of any Series issuable in other denominations pursuant to Section 2.2.10, the minimum principal denomination for each Series and integral multiples thereof. Provisions of this Indenture that apply to Securities of a Series called for redemption or repurchase also apply to portions of Securities of that Series called for redemption or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3.3            </w:t>
      </w:r>
      <w:r>
        <w:rPr>
          <w:rFonts w:ascii="Times New Roman;Times;Serif" w:hAnsi="Times New Roman;Times;Serif"/>
          <w:b w:val="false"/>
          <w:i w:val="false"/>
          <w:caps w:val="false"/>
          <w:smallCaps w:val="false"/>
          <w:sz w:val="20"/>
          <w:u w:val="single"/>
        </w:rPr>
        <w:t>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10 days but not more than 60 days before a redemption date, the Company shall mail a notice of redemption by first-class mail to each Holder whose Securities are to be redeemed, except that redemption notices may be mailed more than 60 days prior to a redemption date if the notice is issued in connection with a defeasance of the Securities or a satisfaction and discharge of this Indenture pursuant to Articles 8 or 10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notice shall identify the Securities of the Series to be redeemed and shall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name and address of the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that Securities of the Series called for redemption must be surrendered to the Paying Agent to collect the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if any Security is being redeemed in part, the portion of the principal amount of such Security to be redeemed and that, after the redemption date upon surrender of such Security, a new Security or Securities in principal amount equal to the unredeemed portion will be issued upon cancellation of the original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that interest on Securities of the Series called for redemption ceases to accrue on and after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CUSIP number, if any;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any other information as may be required by the terms of the particular Series or the Securities of a Series being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Company’s request, the Trustee shall give the notice of redemption in the Company’s name and at its expense provided, however, that the Company has delivered to the Trustee, at least four business days prior to the date on which notice of redemption is to be delivered to the Holders pursuant to this Section 3.3 (or such shorter period as the Trustee in its sole discretion may allow), a written request by an Officer requesting that the Trustee give such notice and setting forth the information to be stated in such notice as provided in the preceding paragraph.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3.4            </w:t>
      </w:r>
      <w:r>
        <w:rPr>
          <w:rFonts w:ascii="Times New Roman;Times;Serif" w:hAnsi="Times New Roman;Times;Serif"/>
          <w:b w:val="false"/>
          <w:i w:val="false"/>
          <w:caps w:val="false"/>
          <w:smallCaps w:val="false"/>
          <w:sz w:val="20"/>
          <w:u w:val="single"/>
        </w:rPr>
        <w:t>Effect of Notice of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notice of redemption is mailed or published as provided in Section 3.3, Securities of a Series called for redemption become due and payable on the redemption date and at the redemption price. Notwithstanding the foregoing, any redemption and notice thereof may, in the Company’s discretion, be subject to the satisfaction of one or more conditions precedent. If a redemption notice is subject to satisfaction of one or more conditions precedent, such notice will state that, at the Company’s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to the Paying Agent, such Securities shall be paid at the redemption price plus accrued interest to the redemption date; provided that installments of interest whose Stated Maturity is on or prior to the redemption date shall be payable to the Holders of such Securities (or one or more predecessor Securities) registered at the close of business on the relevant record date therefor according to their terms and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3.5            </w:t>
      </w:r>
      <w:r>
        <w:rPr>
          <w:rFonts w:ascii="Times New Roman;Times;Serif" w:hAnsi="Times New Roman;Times;Serif"/>
          <w:b w:val="false"/>
          <w:i w:val="false"/>
          <w:caps w:val="false"/>
          <w:smallCaps w:val="false"/>
          <w:sz w:val="20"/>
          <w:u w:val="single"/>
        </w:rPr>
        <w:t>Deposit of Redemption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Business Day prior to the redemption date, the Company shall deposit with the Paying Agent money sufficient to pay the redemption price of and accrued interest, if any, on all Securities to be redeemed on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3.6            </w:t>
      </w:r>
      <w:r>
        <w:rPr>
          <w:rFonts w:ascii="Times New Roman;Times;Serif" w:hAnsi="Times New Roman;Times;Serif"/>
          <w:b w:val="false"/>
          <w:i w:val="false"/>
          <w:caps w:val="false"/>
          <w:smallCaps w:val="false"/>
          <w:sz w:val="20"/>
          <w:u w:val="single"/>
        </w:rPr>
        <w:t>Securities Redeemed in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of a Security that is redeemed in part, the Trustee shall authenticate for the Holder a new Security of the same Series and the same maturity equal in principal amount to the unredeemed portion of the Security surrendered.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IV.</w:t>
      </w:r>
      <w:r>
        <w:rPr>
          <w:rFonts w:ascii="Times New Roman;Times;Serif" w:hAnsi="Times New Roman;Times;Serif"/>
          <w:b w:val="false"/>
          <w:i w:val="false"/>
          <w:caps w:val="false"/>
          <w:smallCaps w:val="false"/>
          <w:sz w:val="20"/>
          <w:u w:val="single"/>
        </w:rPr>
        <w:b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4.1            </w:t>
      </w:r>
      <w:r>
        <w:rPr>
          <w:rFonts w:ascii="Times New Roman;Times;Serif" w:hAnsi="Times New Roman;Times;Serif"/>
          <w:b w:val="false"/>
          <w:i w:val="false"/>
          <w:caps w:val="false"/>
          <w:smallCaps w:val="false"/>
          <w:sz w:val="20"/>
          <w:u w:val="single"/>
        </w:rPr>
        <w:t>Payment of Principal and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pay or cause to be paid the principal of, premium, if any, and interest on, the Securities of that Series on the dates and in the manner provided in such Securities. Principal, premium, if any, and interest on any Series of Securities will be considered paid on the date due if the Paying Agent, if other than the Company or a Subsidiary thereof, holds as of 10:00 a.m. Eastern Time on the due date money deposited by the Company in immediately available funds and designated for and sufficient to pay all principal, premium, if any, and interest then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4.2            </w:t>
      </w:r>
      <w:r>
        <w:rPr>
          <w:rFonts w:ascii="Times New Roman;Times;Serif" w:hAnsi="Times New Roman;Times;Serif"/>
          <w:b w:val="false"/>
          <w:i w:val="false"/>
          <w:caps w:val="false"/>
          <w:smallCaps w:val="false"/>
          <w:sz w:val="20"/>
          <w:u w:val="single"/>
        </w:rPr>
        <w:t>Maintenance of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will maintain an office or agency (which may be an office of the Trustee for such Securities or an affiliate of such Trustee, Registrar for such Securities or co-registrar) where such Securities may be surrendered for registration of transfer or for exchange and where notices and demands to or upon the Company in respect of such Securities and this Indenture may be served. The Company will give prompt written notice to the Trustee for such Securities of the location, and any change in the location, of such office or agency. If at any time the Company fails to maintain any such required office or agency or fails to furnish such Trustee with the address thereof, such presentations, surrenders, notices and demands may be made or served at the Corporate Trust Office of such Trustee; provided, however, that the Trustee shall not serve as an agent or officer for the purpose of service of process on behalf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also from time to time designate one or more other offices or agencies where Securities may be presented or surrendered for any or all such purposes and may from time to time rescind such designations; provided, however, that no such designation or rescission will in any manner relieve the Company of its obligation described in the preceding paragraph. The Company will give prompt written notice to the Trustee for such Series of Securities of any such designation or rescission and of any change in the location of any such other office or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each Series of Securities, the Company hereby designates the Corporate Trust Office of the Trustee as one such office or agency of the Company in accordance with Section 2.4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4.3            </w:t>
      </w:r>
      <w:r>
        <w:rPr>
          <w:rFonts w:ascii="Times New Roman;Times;Serif" w:hAnsi="Times New Roman;Times;Serif"/>
          <w:b w:val="false"/>
          <w:i w:val="false"/>
          <w:caps w:val="false"/>
          <w:smallCaps w:val="false"/>
          <w:sz w:val="20"/>
          <w:u w:val="single"/>
        </w:rPr>
        <w:t>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file with the Trustee and the SEC, and transmit to Holders, such information, documents and other reports, and such summaries thereof, as may be required pursuant to the TIA at the times and in the manner provided in the TIA; provided that, unless available on EDGAR, any such information, documents or reports required to be filed with the SEC pursuant to Section 13 or 15(d) of the Exchange Act shall be filed with the Trustee within 30 days after the same is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4.4            </w:t>
      </w:r>
      <w:r>
        <w:rPr>
          <w:rFonts w:ascii="Times New Roman;Times;Serif" w:hAnsi="Times New Roman;Times;Serif"/>
          <w:b w:val="false"/>
          <w:i w:val="false"/>
          <w:caps w:val="false"/>
          <w:smallCaps w:val="false"/>
          <w:sz w:val="20"/>
          <w:u w:val="single"/>
        </w:rPr>
        <w:t>Compliance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and each guarantor of any Series of Securities (to the extent that such guarantor is so required under the TIA) shall deliver to the Trustee with respect to such Series, within 90 days after the end of each fiscal year,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 or her knowledge the Company has kept, observed, performed and fulfilled each and every covenant contained in this Indenture and is not in default in the performance or observance of any of the terms, provisions and conditions of this Indenture (or, if a Default or Event of Default has occurred, describing all such Defaults or Events of Default of which he or she may have knowledge and what action the Company is taking or proposes to take with respect thereto) and that to the best of his or her knowledge no event has occurred and remains in existence by reason of which payments on account of the principal of or interest, if any, on the Securities is prohibited or if such event has occurred, a description of the event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So long as any of Series of Securities are outstanding, the Company will deliver to the Trustee with respect to such Series, forthwith upon any Officer becoming aware of any Default or Event of Default, an Officers’ Certificate specifying such Default or Event of Default and what action the Company is taking or proposes to take with respect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4.5            </w:t>
      </w:r>
      <w:r>
        <w:rPr>
          <w:rFonts w:ascii="Times New Roman;Times;Serif" w:hAnsi="Times New Roman;Times;Serif"/>
          <w:b w:val="false"/>
          <w:i w:val="false"/>
          <w:caps w:val="false"/>
          <w:smallCaps w:val="false"/>
          <w:sz w:val="20"/>
          <w:u w:val="single"/>
        </w:rPr>
        <w:t>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and will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4.6            </w:t>
      </w:r>
      <w:r>
        <w:rPr>
          <w:rFonts w:ascii="Times New Roman;Times;Serif" w:hAnsi="Times New Roman;Times;Serif"/>
          <w:b w:val="false"/>
          <w:i w:val="false"/>
          <w:caps w:val="false"/>
          <w:smallCaps w:val="false"/>
          <w:sz w:val="20"/>
          <w:u w:val="single"/>
        </w:rPr>
        <w:t>Stay, Extension and Usury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(to the extent that it may lawfully do so), that it will not, and each guarantor of such Securities will not, at any time insist upon, plead, or in any manner whatsoever claim or take the benefit or advantage of, any stay, extension or usury law wherever enacted, now or at any time hereafter in force, that may affect the covenants or the performance of this Indenture; and the Company and each of such guarantors (to the extent that it may lawfully do so), as applicable, hereby expressly waives all benefit or advantage of any such law, and covenants that it will not, by resort to any such law, hinder, delay or impede the execution of any power herein granted to the Trustee for such Securities, but will suffer and permit the execution of every such power as though no such law has been enacted.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4.7            </w:t>
      </w:r>
      <w:r>
        <w:rPr>
          <w:rFonts w:ascii="Times New Roman;Times;Serif" w:hAnsi="Times New Roman;Times;Serif"/>
          <w:b w:val="false"/>
          <w:i w:val="false"/>
          <w:caps w:val="false"/>
          <w:smallCaps w:val="false"/>
          <w:sz w:val="20"/>
          <w:u w:val="single"/>
        </w:rPr>
        <w:t>Corporate Existence.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Article V hereof, the Company shall do or cause to be done all things necessary to preserve and keep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its corporate existence, and the corporate, partnership or other existence of each of its Subsidiaries, in accordance with the respective organizational documents (as the same may be amended from time to time) of the Company or any such Subsidiary;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rights (charter and statutory), licenses and franchises of the Company and its Subsidiaries provided, however, that the Company shall not be required to preserve any such right, license or franchise, or the corporate, partnership or other existence of any of its Subsidiaries, if the Board of Directors shall determine that the preservation thereof is no longer desirable in the conduct of the business of the Company and its Subsidiaries, taken as a whole, and that the loss thereof is not adverse in any material respect to the Holders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w:t>
      </w:r>
      <w:r>
        <w:rPr>
          <w:rFonts w:ascii="Times New Roman;Times;Serif" w:hAnsi="Times New Roman;Times;Serif"/>
          <w:b w:val="false"/>
          <w:i w:val="false"/>
          <w:caps w:val="false"/>
          <w:smallCaps w:val="false"/>
          <w:sz w:val="20"/>
          <w:u w:val="single"/>
        </w:rPr>
        <w:b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5.1            </w:t>
      </w:r>
      <w:r>
        <w:rPr>
          <w:rFonts w:ascii="Times New Roman;Times;Serif" w:hAnsi="Times New Roman;Times;Serif"/>
          <w:b w:val="false"/>
          <w:i w:val="false"/>
          <w:caps w:val="false"/>
          <w:smallCaps w:val="false"/>
          <w:sz w:val="20"/>
          <w:u w:val="single"/>
        </w:rPr>
        <w:t>Merger, Consolidation, or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covenants and agrees for the benefit of the Holders of each Series of Securities that it shall not, directly or indirectly: (i) consolidate or merge with or into another person (whether or not the Company is the surviving corporation); or (ii) sell, assign, transfer, convey or otherwise dispose of all or substantially all of the properties or assets of the Company and its Subsidiaries taken as a whole, in one or more related transactions, to another person,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is the surviving corporation;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person formed by or surviving any such consolidation or merger (if other than the Company) or to which such sale, assignment, transfer, conveyance or other disposition has been made is a corporation, partnership or limited liability company organized or existing under the laws of the United States, any state of the United States or the District of Columbia;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person formed by or surviving any such consolidation or merger (if other than the Company) or the person to which such sale, assignment, transfer, conveyance or other disposition has been made assumes all the obligations of the Company under such Securities and this Indenture pursuant to agreements reasonably satisfactory to the Trustee for such Securities;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immediately after such transaction, no Default or Event of Default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not, directly or indirectly, lease all or substantially all of its properties or assets, in one or more related transactions, to any other person. This Section 5.1 will not apply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a merger of the Company with an Affiliate solely for the purpose of reincorporating the Company in another jurisdiction or forming a direct holding company of the Company;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any sale, transfer, assignment, conveyance, lease or other disposition of assets between or among the Company and its Subsidiaries, including by way of merger or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5.2            </w:t>
      </w:r>
      <w:r>
        <w:rPr>
          <w:rFonts w:ascii="Times New Roman;Times;Serif" w:hAnsi="Times New Roman;Times;Serif"/>
          <w:b w:val="false"/>
          <w:i w:val="false"/>
          <w:caps w:val="false"/>
          <w:smallCaps w:val="false"/>
          <w:sz w:val="20"/>
          <w:u w:val="single"/>
        </w:rPr>
        <w:t>Successor Corporation Substituted.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consolidation or merger, or any sale, assignment, transfer, lease, conveyance or other disposition of all or substantially all of the properties or assets of the Company in a transaction that is subject to, and that complies with the provisions of, Section 5.01 hereof, the successor person formed by such consolidation or into or with which the Company is merged or to which such sale, assignment, transfer, lease, conveyance or other disposition is made shall succeed to, and be substituted for (so that from and after the date of such consolidation, merger, sale, assignment, transfer, lease, conveyance or other disposition, the provisions of this Indenture referring to the “Company” shall refer instead to the successor person and not to the Company), and may exercise every right and power of the Company under this Indenture with the same effect as if such successor person had been named as the Company herein; provided, however, that the predecessor Company shall not be relieved from the obligation to pay the principal of and interest on any Series of Securities except in the case of a sale of all of the Company’s assets in a transaction that is subject to, and that complies with the provisions of, Section 5.1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w:t>
      </w:r>
      <w:r>
        <w:rPr>
          <w:rFonts w:ascii="Times New Roman;Times;Serif" w:hAnsi="Times New Roman;Times;Serif"/>
          <w:b w:val="false"/>
          <w:i w:val="false"/>
          <w:caps w:val="false"/>
          <w:smallCaps w:val="false"/>
          <w:sz w:val="20"/>
          <w:u w:val="single"/>
        </w:rPr>
        <w:br/>
        <w:t>DEFAULTS AND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            </w:t>
      </w:r>
      <w:r>
        <w:rPr>
          <w:rFonts w:ascii="Times New Roman;Times;Serif" w:hAnsi="Times New Roman;Times;Serif"/>
          <w:b w:val="false"/>
          <w:i w:val="false"/>
          <w:caps w:val="false"/>
          <w:smallCaps w:val="false"/>
          <w:sz w:val="20"/>
          <w:u w:val="single"/>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default in the payment of any interest on any Security of that Series when it becomes due and payable, and continuance of such default for a period of 60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default in payment when due of the principal of, or premium, if any, on any Security of that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default in the deposit of any sinking fund payment, when and as due in respect of any Security of that Series;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default in the performance or breach of any covenant or warranty of the Company in this Indenture (other than a covenant or warranty that has been included in this Indenture solely for the benefit of Series of Securities other than that Series), which default continues uncured for a period of 90 days after written notice given by the Trustee for such Securities or Holders of such Securities;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Company pursuant to or within the meaning of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commences a 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consents to the entry of an order for relief against it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consents to the appointment of a Custodian of it or for all or substantially all of its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(iv)           </w:t>
      </w:r>
      <w:r>
        <w:rPr>
          <w:rFonts w:ascii="Times New Roman;Times;Serif" w:hAnsi="Times New Roman;Times;Serif"/>
          <w:b w:val="false"/>
          <w:i w:val="false"/>
          <w:caps w:val="false"/>
          <w:smallCaps w:val="false"/>
          <w:sz w:val="20"/>
        </w:rPr>
        <w:t>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a court of competent jurisdiction enters an order or decree under any Bankruptcy Law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is for relief against the Company in an involuntary case,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appoints a Custodian of the Company or for all or substantially all of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orders the liquidation of the Company, and the order or decree remains unstayed and in effect for 90 days;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any other Event of Default provided with respect to Securities of that Series, which is specified in a Board Resolution, a supplemental indenture hereto or an Officers’ Certificate, in accordance with Section 2.2.18.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“Bankruptcy Law” means title 11, U.S. Code or any similar Federal or State law for the relief of debtors. The term “Custodian” means any receiver, trustee, assignee,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6.2            </w:t>
      </w:r>
      <w:r>
        <w:rPr>
          <w:rFonts w:ascii="Times New Roman;Times;Serif" w:hAnsi="Times New Roman;Times;Serif"/>
          <w:b w:val="false"/>
          <w:i w:val="false"/>
          <w:caps w:val="false"/>
          <w:smallCaps w:val="false"/>
          <w:sz w:val="20"/>
          <w:u w:val="single"/>
        </w:rPr>
        <w:t>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(other than an Event of Default referred to in Section 6.1(e) or (f)) then in every such case the Trustee or the Holders of not less than 30%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6.1(e) or (f) shall occur, the principal amount (or specified amount) of and accrued and unpaid interest, if any, on all outstanding Securities shall ipso facto become and be immediately due and payable without any declaration or other act on the part of the Trustee or any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such a declaration of acceleration with respect to any Series has been made, the Holders of a majority in principal amount of the outstanding Securities of that Series, by written notice to the Company and the Trustee, may rescind and annul such declaration and its consequences if the rescission would not conflict with any judgment or decree and if all existing Events of Default (except nonpayment of principal, interest or premium that has become due solely because of the acceleration) have been cured or waived.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6.3            </w:t>
      </w:r>
      <w:r>
        <w:rPr>
          <w:rFonts w:ascii="Times New Roman;Times;Serif" w:hAnsi="Times New Roman;Times;Serif"/>
          <w:b w:val="false"/>
          <w:i w:val="false"/>
          <w:caps w:val="false"/>
          <w:smallCaps w:val="false"/>
          <w:sz w:val="20"/>
          <w:u w:val="single"/>
        </w:rPr>
        <w:t>Other Remedies.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Securities of any Series at the time outstanding occurs and is continuing, the Trustee may pursue any available remedy to collect the payment of principal, premium, if any, and interest on such Securities or to enforce the performance of any provision of such Securities or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such Securities may maintain a proceeding even if it does not possess any of such Securities or does not produce any of them in the proceeding. A delay or omission by the Trustee or any Holder of Securities in exercising any right or remedy accruing upon an Event of Default shall not impair the right or remedy or constitute a waiver of or acquiescence in the Event of Default. All remedies are cumulative to the extent permitted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6.4            </w:t>
      </w:r>
      <w:r>
        <w:rPr>
          <w:rFonts w:ascii="Times New Roman;Times;Serif" w:hAnsi="Times New Roman;Times;Serif"/>
          <w:b w:val="false"/>
          <w:i w:val="false"/>
          <w:caps w:val="false"/>
          <w:smallCaps w:val="false"/>
          <w:sz w:val="20"/>
          <w:u w:val="single"/>
        </w:rPr>
        <w:t>Waiver of Past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Securities of any Series by notice to the Trustee for such Securities may on behalf of the Holders of all Securities of such Series waive an existing Default or Event of Default with respect to the Securities of such Series and its consequences hereunder, except a continuing Default or Event of Default in the payment of the principal of, premium, if any, or interest on, such Securities (including in connection with an offer to purchase); provided, however, that the Holders of a majority in aggregate principal amount of the then outstanding Securities of any Series may rescind an acceleration of the Securities of such Series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6.5            </w:t>
      </w:r>
      <w:r>
        <w:rPr>
          <w:rFonts w:ascii="Times New Roman;Times;Serif" w:hAnsi="Times New Roman;Times;Serif"/>
          <w:b w:val="false"/>
          <w:i w:val="false"/>
          <w:caps w:val="false"/>
          <w:smallCaps w:val="false"/>
          <w:sz w:val="20"/>
          <w:u w:val="single"/>
        </w:rPr>
        <w:t>Control by Majority.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not less than a majority in aggregate principal amount of the then outstanding Securities of any Series may direct the time, method and place of conducting any proceeding for exercising any remedy available to the Trustee for such Securities or exercising any trust or power conferred on it. However, the Trustee for any Series of Securities may refuse to follow any direction that conflicts with law or this Indenture that such Trustee determines may be unduly prejudicial to the rights of other Holders of such Securities or that may involve the Trustee in personal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6.6            </w:t>
      </w:r>
      <w:r>
        <w:rPr>
          <w:rFonts w:ascii="Times New Roman;Times;Serif" w:hAnsi="Times New Roman;Times;Serif"/>
          <w:b w:val="false"/>
          <w:i w:val="false"/>
          <w:caps w:val="false"/>
          <w:smallCaps w:val="false"/>
          <w:sz w:val="20"/>
          <w:u w:val="single"/>
        </w:rPr>
        <w:t>Limitation on Suits.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any Series of Securities may pursue a remedy with respect to this Indenture or such Securities only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such Holder gives to the Trustee for such Securities written notice that an Event of Default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Holders of at least 30% in aggregate principal amount of the then outstanding Securities of such Series make a written request to the Trustee for such Securities to pursue the remedy;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such Holder or Holders offer and, if requested, provide to the Trustee for such Securities security or indemnity reasonably satisfactory to such Trustee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such Trustee does not comply with the request within 60 days after receipt of the request and the offer of security or indemnity;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during such 60-day period, Holders of a majority in aggregate principal amount of the then outstanding Securities of such Series do not give such Trustee a direction inconsistent with such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any Series of Securities may not use this Indenture to prejudice the rights of another Holder of such Series of Securities or to obtain a preference or priority over another Holder of a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6.7            </w:t>
      </w:r>
      <w:r>
        <w:rPr>
          <w:rFonts w:ascii="Times New Roman;Times;Serif" w:hAnsi="Times New Roman;Times;Serif"/>
          <w:b w:val="false"/>
          <w:i w:val="false"/>
          <w:caps w:val="false"/>
          <w:smallCaps w:val="false"/>
          <w:sz w:val="20"/>
          <w:u w:val="single"/>
        </w:rPr>
        <w:t>Rights of Holders of Security to Receive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of this Indenture, the right of any Holder of a Security of any Series to receive payment of principal, premium, if any, and interest on such Securities, on or after the respective due dates expressed in such Securities (including, if applicable, in connection with an offer to purchase), or to bring suit for the enforcement of any such payment on or after such respective dates, shall not be impaired or affected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6.8            </w:t>
      </w:r>
      <w:r>
        <w:rPr>
          <w:rFonts w:ascii="Times New Roman;Times;Serif" w:hAnsi="Times New Roman;Times;Serif"/>
          <w:b w:val="false"/>
          <w:i w:val="false"/>
          <w:caps w:val="false"/>
          <w:smallCaps w:val="false"/>
          <w:sz w:val="20"/>
          <w:u w:val="single"/>
        </w:rPr>
        <w:t>Collection Suit by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specified in Section 6.1(a), (b) or (c) hereof with respect to Securities of any Series occurs and is continuing, the Trustee for such Securities is authorized to recover judgment in its own name and as trustee of an express trust against the Company for the whole amount of principal of, premium, if any, and interest remaining unpaid on, such Securities and interest on overdue principal and, to the extent lawful, interest and such further amount as shall be sufficient to cover the costs and expenses of collection, including the reasonable compensation, expenses, disbursements and advances of such Trustee, its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6.9            </w:t>
      </w:r>
      <w:r>
        <w:rPr>
          <w:rFonts w:ascii="Times New Roman;Times;Serif" w:hAnsi="Times New Roman;Times;Serif"/>
          <w:b w:val="false"/>
          <w:i w:val="false"/>
          <w:caps w:val="false"/>
          <w:smallCaps w:val="false"/>
          <w:sz w:val="20"/>
          <w:u w:val="single"/>
        </w:rPr>
        <w:t>Trustee May File Proofs of Claim.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for each Series of Securities is authorized to file such proofs of claim and other papers or documents as may be necessary or advisable in order to have the claims of such Trustee (including any claim for the reasonable compensation, expenses, disbursements and advances of such Trustee, its agents and counsel) and the Holders of the Securities for which it acts as trustee allowed in any judicial proceedings relative to the Company (or any other obligor upon such Securities), its creditors or its property and shall be entitled and empowered to collect, receive and distribute any money or other property payable or deliverable on any such claims and any Custodian in any such judicial proceeding is hereby authorized by each Holder of such Securities to make such payments to such Trustee, and in the event that such Trustee shall consent to the making of such payments directly to such Holders, to pay to such Trustee any amount due to it for the reasonable compensation, expenses, disbursements and advances of such Trustee, its agents and counsel, and any other amounts due such Trustee under the Indenture. To the extent that the payment of any such compensation, expenses, disbursements and advances of such Trustee, its agents and counsel, and any other amounts due such Trustee (including, without limitation, under Section 7.7 hereof) out of the estate in any such proceeding, shall be denied for any reason, payment of the same shall be secured by a Lien on, and shall be paid out of, any and all distributions, dividends, money, securities and other properties that such Holders may be entitled to receive in such proceeding whether in liquidation or under any plan of reorganization or arrangement or otherwise. Nothing herein contained shall be deemed to authorize such Trustee to authorize or consent to or accept or adopt on behalf of any Holder for which it acts as trustee any plan of reorganization, arrangement, adjustment or composition affecting the Securities or the rights of such Holder, or to authorize such Trustee to vote in respect of the claim of any such 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6.10          </w:t>
      </w:r>
      <w:r>
        <w:rPr>
          <w:rFonts w:ascii="Times New Roman;Times;Serif" w:hAnsi="Times New Roman;Times;Serif"/>
          <w:b w:val="false"/>
          <w:i w:val="false"/>
          <w:caps w:val="false"/>
          <w:smallCaps w:val="false"/>
          <w:sz w:val="20"/>
          <w:u w:val="single"/>
        </w:rPr>
        <w:t>Priorities.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of any Series of Securities collects any money pursuant to this Article 6, it shall pay out the money in the following order: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First</w:t>
      </w:r>
      <w:r>
        <w:rPr>
          <w:rFonts w:ascii="Times New Roman;Times;Serif" w:hAnsi="Times New Roman;Times;Serif"/>
          <w:b w:val="false"/>
          <w:i w:val="false"/>
          <w:caps w:val="false"/>
          <w:smallCaps w:val="false"/>
          <w:sz w:val="20"/>
        </w:rPr>
        <w:t>: to the Trustee, its agents and attorneys for amounts due under the Indenture, including payment of all reasonable compensation, expenses, indemnities and liabilities incurred, and all advances made, by the Trustee and the costs and expenses of collection;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Second</w:t>
      </w:r>
      <w:r>
        <w:rPr>
          <w:rFonts w:ascii="Times New Roman;Times;Serif" w:hAnsi="Times New Roman;Times;Serif"/>
          <w:b w:val="false"/>
          <w:i w:val="false"/>
          <w:caps w:val="false"/>
          <w:smallCaps w:val="false"/>
          <w:sz w:val="20"/>
        </w:rPr>
        <w:t>: to Holders of such Securities for amounts due and unpaid on such Securities for principal, premium, if any, and interest, ratably, without preference or priority of any kind, according to the amounts due and payable on such Securities for principal,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Third</w:t>
      </w:r>
      <w:r>
        <w:rPr>
          <w:rFonts w:ascii="Times New Roman;Times;Serif" w:hAnsi="Times New Roman;Times;Serif"/>
          <w:b w:val="false"/>
          <w:i w:val="false"/>
          <w:caps w:val="false"/>
          <w:smallCaps w:val="false"/>
          <w:sz w:val="20"/>
        </w:rPr>
        <w:t>: to the Company or to such party as a court of competent jurisdiction shall direct.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fix a record date and payment date for any payment to Holders of Securities pursuant to this Section 6.10.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6.11          </w:t>
      </w:r>
      <w:r>
        <w:rPr>
          <w:rFonts w:ascii="Times New Roman;Times;Serif" w:hAnsi="Times New Roman;Times;Serif"/>
          <w:b w:val="false"/>
          <w:i w:val="false"/>
          <w:caps w:val="false"/>
          <w:smallCaps w:val="false"/>
          <w:sz w:val="20"/>
          <w:u w:val="single"/>
        </w:rPr>
        <w:t>Undertaking for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any suit for the enforcement of any right or remedy under this Indenture or in any suit against any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Security pursuant to Section 6.7 hereof, or a suit by Holders of more than 10% in aggregate principal amount of the then outstanding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VII.</w:t>
      </w:r>
      <w:r>
        <w:rPr>
          <w:rFonts w:ascii="Times New Roman;Times;Serif" w:hAnsi="Times New Roman;Times;Serif"/>
          <w:b w:val="false"/>
          <w:i w:val="false"/>
          <w:caps w:val="false"/>
          <w:smallCaps w:val="false"/>
          <w:sz w:val="20"/>
          <w:u w:val="single"/>
        </w:rPr>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            </w:t>
      </w:r>
      <w:r>
        <w:rPr>
          <w:rFonts w:ascii="Times New Roman;Times;Serif" w:hAnsi="Times New Roman;Times;Serif"/>
          <w:b w:val="false"/>
          <w:i w:val="false"/>
          <w:caps w:val="false"/>
          <w:smallCaps w:val="false"/>
          <w:sz w:val="20"/>
          <w:u w:val="single"/>
        </w:rPr>
        <w:t>Duties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If an Event of Default with respect to any Series of Securities has occurred and is continuing, of which a Responsible Officer of the Trustee has actual knowledge, the Trustee shall exercise the rights and powers vested in it by this Indenture and use the same degree of care and skill in its exercise as a prudent person would exercise or use under the circumstances in the conduct of such person’s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Except during the continuance of an Event of Default of which a Responsible Officer of the Trustee has actual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Trustee need perform only those duties that are specifically set forth in this Indenture and no others, and no implied covenants or obligations shall be read into this Indenture against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however,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requirements of this Indenture (but need not confirm or investigate the accuracy of mathematical calculations or other facts stated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may not be relieved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This paragraph does not limit the effect of paragraph (b)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The Trustee shall not be liable for any error of judgment made in good faith by a Responsible Officer, unless it is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(iii)           </w:t>
      </w:r>
      <w:r>
        <w:rPr>
          <w:rFonts w:ascii="Times New Roman;Times;Serif" w:hAnsi="Times New Roman;Times;Serif"/>
          <w:b w:val="false"/>
          <w:i w:val="false"/>
          <w:caps w:val="false"/>
          <w:smallCaps w:val="false"/>
          <w:sz w:val="20"/>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Every provision of this Indenture that in any way relates to the Trustee is subject to this Article VII.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Trustee may refuse to perform any duty or exercise any right or power at the request or direction of any Holder(s) unless it receives indemnity satisfactory to it against any loss, liability or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Trustee shall not be liable for interest on any money received by it except as the Trustee may agree in writing with the Company. Money held in trust by the Trustee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No provision of this Indenture shall require the Trustee to risk its own funds or otherwise incur any financial liability in the performance of any of its duties, or in the exercise of any of its rights or powers, if it shall have reasonable grounds for believing that repayment of such funds or adequate indemnity against such risk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Paying Agent, the Registrar, the Service Agent and any authenticating agent shall be entitled to the same protections, indemnities and immunities as are set forth in this Article VII with respect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7.2            </w:t>
      </w:r>
      <w:r>
        <w:rPr>
          <w:rFonts w:ascii="Times New Roman;Times;Serif" w:hAnsi="Times New Roman;Times;Serif"/>
          <w:b w:val="false"/>
          <w:i w:val="false"/>
          <w:caps w:val="false"/>
          <w:smallCaps w:val="false"/>
          <w:sz w:val="20"/>
          <w:u w:val="single"/>
        </w:rPr>
        <w:t>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may conclusively rely on and shall be fully protected in acting or refraining from acting upon any document believed by it to be genuine and to have been signed or presented by the proper person. The Trustee need not investigate any fact or matter stated in the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Before the Trustee acts or refrains from acting, it may require an Officers’ Certificate. The Trustee shall not be liable for any action it takes or omits to take in good faith in reliance on such Officers’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Trustee may act through agents, attorneys, custodians or nominees and shall not be responsible for the supervision of or any misconduct or negligence of any agent, attorney, custodian or nominee appointed with due care. No Depositary shall be deemed an agent, attorney, custodian or nominee of the Trustee and the Trustee shall not be responsible for any act or omission by any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shall not be liable for any action it takes or omits to take in good faith which it believes to be authorized or within its rights or powers, provided that the Trustee’s conduct does not constitute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The Trustee may consult with counsel and the advice of such counsel or any Opinion of Counsel shall be full and complete authorization and protection in respect of any action taken, suffered or omitted by it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The Trustee may consult with counsel of its selection and the advice of such counsel or any Opinion of Counsel shall be full and complete authorization and protection in respect of any action taken, suffered or omitted by it hereunder without negligence and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(j)            </w:t>
      </w:r>
      <w:r>
        <w:rPr>
          <w:rFonts w:ascii="Times New Roman;Times;Serif" w:hAnsi="Times New Roman;Times;Serif"/>
          <w:b w:val="false"/>
          <w:i w:val="false"/>
          <w:caps w:val="false"/>
          <w:smallCaps w:val="false"/>
          <w:sz w:val="20"/>
        </w:rPr>
        <w:t>In no event shall the Trustee be liable for the selection of investments or for investment losses incurred thereon. The Trustee shall have no liability in respect of losses incurred as a result of the liquidation of any investment prior to its stated maturity or failure to provide timely written direction.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(k)            </w:t>
      </w:r>
      <w:r>
        <w:rPr>
          <w:rFonts w:ascii="Times New Roman;Times;Serif" w:hAnsi="Times New Roman;Times;Serif"/>
          <w:b w:val="false"/>
          <w:i w:val="false"/>
          <w:caps w:val="false"/>
          <w:smallCaps w:val="false"/>
          <w:sz w:val="20"/>
        </w:rPr>
        <w:t>In no event shall the Trustee be liable for special, indirect, punitive or consequential loss or damage of any kind whatsoever (including, but not limited to, loss of profit), even if the Trustee has been advised of the likelihood of such loss or damage and regardless of the form of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(l)            </w:t>
      </w:r>
      <w:r>
        <w:rPr>
          <w:rFonts w:ascii="Times New Roman;Times;Serif" w:hAnsi="Times New Roman;Times;Serif"/>
          <w:b w:val="false"/>
          <w:i w:val="false"/>
          <w:caps w:val="false"/>
          <w:smallCaps w:val="false"/>
          <w:sz w:val="20"/>
        </w:rPr>
        <w:t>In no event shall the Trustee be liable for any failure or delay in the performance of its obligations under this Indenture or any related documents because of circumstances beyond the Trustee’s control, including, but not limited to, a failure, termination, or suspension of a clearing house, securities depositary, settlement system or central payment system in any applicable part of the world or acts of God, flood, war (whether declared or undeclared), civil or military disturbances or hostilities, nuclear or natural catastrophes, political unrest, explosion, severe weather or accident, earthquake, terrorism, fire, riot, labor disturbances, strikes or work stoppages for any reason, embargo, government action, including any laws, ordinances, regulations or the like (whether domestic, federal, state, county or municipal or foreign) which delay, restrict or prohibit the providing of the services contemplated by this Indenture or any related documents, or the unavailability of communications or computer facilities, the failure of equipment or interruption of communications or computer facilities, or the unavailability of the Federal Reserve Bank wire or telex or other wire or communication facility, or any other causes beyond the Trustee’s control whether or not of the same class or kind as specified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(m)            </w:t>
      </w:r>
      <w:r>
        <w:rPr>
          <w:rFonts w:ascii="Times New Roman;Times;Serif" w:hAnsi="Times New Roman;Times;Serif"/>
          <w:b w:val="false"/>
          <w:i w:val="false"/>
          <w:caps w:val="false"/>
          <w:smallCaps w:val="false"/>
          <w:sz w:val="20"/>
        </w:rPr>
        <w:t>Delivery of reports and other financial information related to the Company to the Trustee is for informational purposes only and the Trustee’s receipt of such shall not constitute actual or constructive notice of any information contained therein or determinable from information contained therein, including the Company’s compliance with any of its covenants hereunder (as to which the Trustee is entitled to rely conclusively on Officers’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(n)            </w:t>
      </w:r>
      <w:r>
        <w:rPr>
          <w:rFonts w:ascii="Times New Roman;Times;Serif" w:hAnsi="Times New Roman;Times;Serif"/>
          <w:b w:val="false"/>
          <w:i w:val="false"/>
          <w:caps w:val="false"/>
          <w:smallCaps w:val="false"/>
          <w:sz w:val="20"/>
        </w:rPr>
        <w:t>The right of the Trustee to perform any discretionary act enumerated in this Indenture or any related document shall not be construed as a duty.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The Trustee may earn compensation in the form of short-term interest on items like uncashed distribution checks (from the date issued until the date cashed), funds that the Trustee is directed not to invest, deposits awaiting investment direction or received too late to be invested overnight in previously directed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7.3            </w:t>
      </w:r>
      <w:r>
        <w:rPr>
          <w:rFonts w:ascii="Times New Roman;Times;Serif" w:hAnsi="Times New Roman;Times;Serif"/>
          <w:b w:val="false"/>
          <w:i w:val="false"/>
          <w:caps w:val="false"/>
          <w:smallCaps w:val="false"/>
          <w:sz w:val="20"/>
          <w:u w:val="single"/>
        </w:rPr>
        <w:t>Individual Rights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7.4            </w:t>
      </w:r>
      <w:r>
        <w:rPr>
          <w:rFonts w:ascii="Times New Roman;Times;Serif" w:hAnsi="Times New Roman;Times;Serif"/>
          <w:b w:val="false"/>
          <w:i w:val="false"/>
          <w:caps w:val="false"/>
          <w:smallCaps w:val="false"/>
          <w:sz w:val="20"/>
          <w:u w:val="single"/>
        </w:rPr>
        <w:t>Trustee’s Disclaimer.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responsible for and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7.5            </w:t>
      </w:r>
      <w:r>
        <w:rPr>
          <w:rFonts w:ascii="Times New Roman;Times;Serif" w:hAnsi="Times New Roman;Times;Serif"/>
          <w:b w:val="false"/>
          <w:i w:val="false"/>
          <w:caps w:val="false"/>
          <w:smallCaps w:val="false"/>
          <w:sz w:val="20"/>
          <w:u w:val="single"/>
        </w:rPr>
        <w:t>Notice of Defaults.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Default or Event of Default occurs and is continuing with respect to the Securities of any Series and if it is known to a Responsible Officer of the Trustee, the Trustee shall mail to each Securityholder of the Securities of that Series notice of such Default or Event of Default within 90 days after a Responsible Officer of the Trustee has knowledge of such Default or Event of Default. Except in the case of a Default or Event of Default in payment of principal of or interest on any Security of any Series, the Trustee may withhold the notice if it in good faith determines that withholding the notice is in the interests of Securityholders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7.6            </w:t>
      </w:r>
      <w:r>
        <w:rPr>
          <w:rFonts w:ascii="Times New Roman;Times;Serif" w:hAnsi="Times New Roman;Times;Serif"/>
          <w:b w:val="false"/>
          <w:i w:val="false"/>
          <w:caps w:val="false"/>
          <w:smallCaps w:val="false"/>
          <w:sz w:val="20"/>
          <w:u w:val="single"/>
        </w:rPr>
        <w:t>Reports by Trustee to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Within 60 days after May 15 in each year, and for so long as any Securities remain outstanding, the Trustee shall transmit by mail to all Securityholders, as their names and addresses appear on the register kept by the Registrar a brief report dated as of such May 15, in accordance with, and to the extent required under, TIA § 313(a) (but if no event described in TIA §313(a) has occurred within the twelve months preceding the reporting date, no report need be transmitted). The Trustee also will comply with TIA §313(b)(2) and transmit by mail all reports as required by TIA §313(c).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each report at the time of its mailing to Securityholders of any Series shall be mailed by the Trustee to the Company and filed by the Company with the SEC and each stock exchange on which the Securities of that Series are listed. The Company shall promptly notify the Trustee when Securities of any Series are listed on any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7.7            </w:t>
      </w:r>
      <w:r>
        <w:rPr>
          <w:rFonts w:ascii="Times New Roman;Times;Serif" w:hAnsi="Times New Roman;Times;Serif"/>
          <w:b w:val="false"/>
          <w:i w:val="false"/>
          <w:caps w:val="false"/>
          <w:smallCaps w:val="false"/>
          <w:sz w:val="20"/>
          <w:u w:val="single"/>
        </w:rPr>
        <w:t>Compensation and Indemnity.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pay to the Trustee from time to time compensation for its services hereunder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in addition to the compensation for its services. Such expenses shall include the reasonable compensation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indemnify each of the Trustee, any predecessor Trustee (including the cost of defending itself) and each of their respective officers, directors, employees, shareholders and agents (collectively, the “Indemnified Parties”) against any loss, liability or expense, including taxes (other than taxes based upon, measured by or determined by the income of the Trustee) incurred by such Indemnified Parties directly or indirectly arising out of or in connection with the acceptance or administration of its duties under this Indenture as Trustee or Agent; provided, however, that the Company shall not be required to indemnify for any such loss, liability or expense resulting directly from an Indemnified Party’s negligence, bad faith or willful misconduct as determined by a final judgment issued by a court of competent jurisdiction. An Indemnified Party shall notify the Company promptly of any claim for which it may seek indemnity, provided however that failure by such Indemnified Party to so notify the Company shall not relieve the Company of its obligations hereunder. The Company shall defend the claim and the Indemnified Party shall cooperate in the defense. Each Indemnified Party may have one separate counsel and the Company shall pay the reasonable fees and expenses of such counsel. The Company need not pay for any settlement made without its consent, which consent shall not be unreasonably withheld or delayed.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secure the Company’s payment obligations in this Section 7.7, the Trustee shall have a lien prior to the Securities of any Series on all money or property held or collected by the Trustee, except that held in trust to pay principal of and interest on particular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Trustee incurs expenses or renders services after an Event of Default specified in Section 6.1(e) or (f) occurs, the expenses and the compensation for the services are intended to constitute expenses of administration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Section 7.7 shall survive the termination of this Indenture or the earlier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7.8            </w:t>
      </w:r>
      <w:r>
        <w:rPr>
          <w:rFonts w:ascii="Times New Roman;Times;Serif" w:hAnsi="Times New Roman;Times;Serif"/>
          <w:b w:val="false"/>
          <w:i w:val="false"/>
          <w:caps w:val="false"/>
          <w:smallCaps w:val="false"/>
          <w:sz w:val="20"/>
          <w:u w:val="single"/>
        </w:rPr>
        <w:t>Replacement of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resignation or removal of the Trustee and appointment of a successor Trustee shall become effective only upon the successor Trustee’s acceptance of appointment as provided in this Section 7.8.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resign with respect to the Securities of one or more Series by so notifying the Company at least 30 days prior to the date of the proposed resignation. The Holders of a majority in aggregate principal amount of the Securities of any Series may remove the Trustee with respect to that Series by so notifying the Trustee and the Company. The Company may remove the Trustee with respect to Securities of one or more Series if: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Trustee fails to comply with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the Trustee is adjudged a bankrupt or an insolvent or an order for relief is entered with respect to the Trustee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Custodian or public officer takes charge of the Trustee or its property;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Trustee becomes incapable of acting.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resigns or is removed or if a vacancy exists in the office of Trustee for any reason, the Company shall promptly appoint a successor Trustee. Within one year after the successor Trustee takes office, the Holders of a majority in aggregate principal amount of the then outstanding Securities may appoint a successor Trustee to replace the successor Trustee appointed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successor Trustee with respect to the Securities of any one or more Series does not take office within 60 days after the retiring Trustee resigns or is removed, the retiring Trustee, the Company or the Holders of at least 10% in aggregate principal amount of the Securities of the applicable Series may petition any court of competent jurisdiction for the appointment of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successor Trustee shall deliver a written acceptance of its appointment to the retiring Trustee and to the Company. Upon payment of all amounts owing to retiring Trustee hereunder, the retiring Trustee shall immediately transfer all property held by it as Trustee to the successor Trustee subject to the lien provided for in Section 7.7, and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prior to such replacement.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7.9            </w:t>
      </w:r>
      <w:r>
        <w:rPr>
          <w:rFonts w:ascii="Times New Roman;Times;Serif" w:hAnsi="Times New Roman;Times;Serif"/>
          <w:b w:val="false"/>
          <w:i w:val="false"/>
          <w:caps w:val="false"/>
          <w:smallCaps w:val="false"/>
          <w:sz w:val="20"/>
          <w:u w:val="single"/>
        </w:rPr>
        <w:t>Successor Trustee by Merger,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consolidates with, merges or converts into, or transfers all or substantially all of its corporate trust business to, another corporation, the successor corporation without any further act shall be the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7.10          </w:t>
      </w:r>
      <w:r>
        <w:rPr>
          <w:rFonts w:ascii="Times New Roman;Times;Serif" w:hAnsi="Times New Roman;Times;Serif"/>
          <w:b w:val="false"/>
          <w:i w:val="false"/>
          <w:caps w:val="false"/>
          <w:smallCaps w:val="false"/>
          <w:sz w:val="20"/>
          <w:u w:val="single"/>
        </w:rPr>
        <w:t>Eligibility; Disqualification.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shall always have a Trustee who satisfies the requirements of TIA § 310(a)(1), (2) and (5). The Trustee shall always have a combined capital and surplus of at least $50,000,000 as set forth in its most recent published annual report of condition. The Trustee shall comply with TIA § 310(b).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7.11          </w:t>
      </w:r>
      <w:r>
        <w:rPr>
          <w:rFonts w:ascii="Times New Roman;Times;Serif" w:hAnsi="Times New Roman;Times;Serif"/>
          <w:b w:val="false"/>
          <w:i w:val="false"/>
          <w:caps w:val="false"/>
          <w:smallCaps w:val="false"/>
          <w:sz w:val="20"/>
          <w:u w:val="single"/>
        </w:rPr>
        <w:t>Preferential Collection of Claims Against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subject to TIA § 311(a), excluding any creditor relationship listed in TIA § 311(b). A Trustee who has resigned or been removed shall be subject to TIA § 311(a) to the extent indicated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VIII.</w:t>
      </w:r>
      <w:r>
        <w:rPr>
          <w:rFonts w:ascii="Times New Roman;Times;Serif" w:hAnsi="Times New Roman;Times;Serif"/>
          <w:b w:val="false"/>
          <w:i w:val="false"/>
          <w:caps w:val="false"/>
          <w:smallCaps w:val="false"/>
          <w:sz w:val="20"/>
          <w:u w:val="single"/>
        </w:rPr>
        <w:br/>
        <w:t>LEGAL DEFEASANCE AND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8.1            </w:t>
      </w:r>
      <w:r>
        <w:rPr>
          <w:rFonts w:ascii="Times New Roman;Times;Serif" w:hAnsi="Times New Roman;Times;Serif"/>
          <w:b w:val="false"/>
          <w:i w:val="false"/>
          <w:caps w:val="false"/>
          <w:smallCaps w:val="false"/>
          <w:sz w:val="20"/>
          <w:u w:val="single"/>
        </w:rPr>
        <w:t>Option to Effect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at any time, at the option of its Board of Directors evidenced by a resolution set forth in an Officers’ Certificate, elect to have either Section 8.2 or 8.3 hereof be applied to all outstanding Securities of any Series upon compliance with the conditions set forth below in 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8.2            </w:t>
      </w:r>
      <w:r>
        <w:rPr>
          <w:rFonts w:ascii="Times New Roman;Times;Serif" w:hAnsi="Times New Roman;Times;Serif"/>
          <w:b w:val="false"/>
          <w:i w:val="false"/>
          <w:caps w:val="false"/>
          <w:smallCaps w:val="false"/>
          <w:sz w:val="20"/>
          <w:u w:val="single"/>
        </w:rPr>
        <w:t>Legal Defeasance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8.1 hereof of the option applicable to this Section 8.2, the Company and each guarantor, if any, of such Securities will, subject to the satisfaction of the conditions set forth in Section 8.4 hereof, be deemed to have been discharged from its or their obligations with respect to all outstanding Securities of such Series (including the related guarantees, if any) on the date the conditions set forth below are satisfied (hereinafter, “Legal Defeasance”). For this purpose, Legal Defeasance means that the Company and such guarantors, if any, will be deemed to have paid and discharged the entire Indebtedness represented by the outstanding Securities of such Series (including the related guarantees, if any), which will thereafter be deemed to be “outstanding” only for the purposes of Section 8.5 hereof and the other Sections of this Indenture referred to in clauses (1) and (2) below, and to have satisfied all its or their other obligations under such Securities, such guarantees, if any, and this Indenture (and the Trustee for such Securities, on demand of and at the expense of the Company, shall execute proper instruments acknowledging the same), except for the following provisions which will survive until otherwise terminated or discharged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rights of Holders of outstanding Securities of such Series to receive payments in respect of the principal of, or interest or premium, if any, on, such Securities when such payments are due from the trust referred to in Section 8.4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the Company’s obligations with respect to such Securities under Article 2 and Section 4.2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the rights, powers, trusts, duties, indemnities and immunities of the Trustee for such Securities hereunder and the Company’s and the guarantors’, if any, obligations in connection therewith;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this 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compliance with this Article 8, the Company may exercise its option under this Section 8.2 notwithstanding the prior exercise of its option under Section 8.3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8.3            </w:t>
      </w:r>
      <w:r>
        <w:rPr>
          <w:rFonts w:ascii="Times New Roman;Times;Serif" w:hAnsi="Times New Roman;Times;Serif"/>
          <w:b w:val="false"/>
          <w:i w:val="false"/>
          <w:caps w:val="false"/>
          <w:smallCaps w:val="false"/>
          <w:sz w:val="20"/>
          <w:u w:val="single"/>
        </w:rPr>
        <w:t>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exercise under Section 8.1 hereof of the option applicable to this Section 8.3, the Company and each of the guarantors, if any, will, subject to the satisfaction of the conditions set forth in Section 8.4 hereof, be released from each of their or its obligations under the covenants specified in a Board Resolution, a supplemental indenture hereto or an Officers’ Certificate, in accordance with Section 2.2.18, with respect to the outstanding Securities of the applicable Series on and after the date the conditions set forth in Section 8.4 hereof are satisfied (hereinafter, “Covenant Defeasance”), and such Securities will thereafter be deemed not “outstanding” for the purposes of any direction, waiver, consent or declaration or act of Holders of such Securities (and the consequences of any thereof) in connection with such covenants, but will continue to be deemed “outstanding” for all other purposes hereunder (it being understood that such Securities will not be deemed outstanding for accounting purposes). For this purpose, Covenant Defeasance means that, with respect to the outstanding Securities of such Series, the Company may omit to comply with and will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will not constitute a Default or an Event of Default under Section 6.1 hereof, but, except as specified above, the remainder of this Indenture and such Securities will be unaffected thereby. In addition, upon the Company’s exercise under Section 8.1 hereof of the option applicable to this Section 8.3, subject to the satisfaction of the conditions set forth in Section 8.4 hereof, Sections 6.1(d) through (f) hereof will not constitute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8.4            </w:t>
      </w:r>
      <w:r>
        <w:rPr>
          <w:rFonts w:ascii="Times New Roman;Times;Serif" w:hAnsi="Times New Roman;Times;Serif"/>
          <w:b w:val="false"/>
          <w:i w:val="false"/>
          <w:caps w:val="false"/>
          <w:smallCaps w:val="false"/>
          <w:sz w:val="20"/>
          <w:u w:val="single"/>
        </w:rPr>
        <w:t>Conditions to Legal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exercise either Legal Defeasance or Covenant Defeasance under either Section 8.2 or 8.3 hereof with respect to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(1)            </w:t>
      </w:r>
      <w:r>
        <w:rPr>
          <w:rFonts w:ascii="Times New Roman;Times;Serif" w:hAnsi="Times New Roman;Times;Serif"/>
          <w:b w:val="false"/>
          <w:i w:val="false"/>
          <w:caps w:val="false"/>
          <w:smallCaps w:val="false"/>
          <w:sz w:val="20"/>
        </w:rPr>
        <w:t>the Company must irrevocably deposit with the Trustee for such Securities, in trust, for the benefit of the Holders of such Securities, cash in U.S. dollars, non-callable Government Securities, or a combination thereof, in such amounts as will be sufficient, in the opinion of a nationally recognized investment bank, appraisal firm, or firm of independent public accountants, to pay the principal of, premium, if any, and interest on, the outstanding Securities of such Series on the stated date for payment thereof or on the applicable redemption date, as the case may be, and the Company must specify whether such Securities are being defeased to such stated date for payment or to a particular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(2)            </w:t>
      </w:r>
      <w:r>
        <w:rPr>
          <w:rFonts w:ascii="Times New Roman;Times;Serif" w:hAnsi="Times New Roman;Times;Serif"/>
          <w:b w:val="false"/>
          <w:i w:val="false"/>
          <w:caps w:val="false"/>
          <w:smallCaps w:val="false"/>
          <w:sz w:val="20"/>
        </w:rPr>
        <w:t>in the case of an election under Section 8.2 hereof, the Company must deliver to the Trustee for such Securities an Opinion of Counsel confirming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the Company has received from, or there has been published by, the Internal Revenue Service a ruling;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since the date of this Indenture, there has been a change in the applicable federal income tax law, in either case to the effect that, and based thereon such Opinion of Counsel shall confirm that, the Holders of the outstanding Securities of such Series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(3)            </w:t>
      </w:r>
      <w:r>
        <w:rPr>
          <w:rFonts w:ascii="Times New Roman;Times;Serif" w:hAnsi="Times New Roman;Times;Serif"/>
          <w:b w:val="false"/>
          <w:i w:val="false"/>
          <w:caps w:val="false"/>
          <w:smallCaps w:val="false"/>
          <w:sz w:val="20"/>
        </w:rPr>
        <w:t>in the case of an election under Section 8.3 hereof, the Company must deliver to the Trustee for such Securities an Opinion of Counsel confirming that the Holders of such Securities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(4)            </w:t>
      </w:r>
      <w:r>
        <w:rPr>
          <w:rFonts w:ascii="Times New Roman;Times;Serif" w:hAnsi="Times New Roman;Times;Serif"/>
          <w:b w:val="false"/>
          <w:i w:val="false"/>
          <w:caps w:val="false"/>
          <w:smallCaps w:val="false"/>
          <w:sz w:val="20"/>
        </w:rPr>
        <w:t>no Default or Event of Default with respect to such Securities shall have occurred and be continuing on the date of such deposit (other than a Default or Event of Default resulting from the borrowing of funds to be applied to such deposit);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(5)            </w:t>
      </w:r>
      <w:r>
        <w:rPr>
          <w:rFonts w:ascii="Times New Roman;Times;Serif" w:hAnsi="Times New Roman;Times;Serif"/>
          <w:b w:val="false"/>
          <w:i w:val="false"/>
          <w:caps w:val="false"/>
          <w:smallCaps w:val="false"/>
          <w:sz w:val="20"/>
        </w:rPr>
        <w:t>such Legal Defeasance or Covenant Defeasance will not result in a breach or violation of, or constitute a default under, any material agreement or instrument (other than this Indenture) to which the Company or any of its Subsidiaries is a party or by which the Company or any of its Subsidiaries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(6)            </w:t>
      </w:r>
      <w:r>
        <w:rPr>
          <w:rFonts w:ascii="Times New Roman;Times;Serif" w:hAnsi="Times New Roman;Times;Serif"/>
          <w:b w:val="false"/>
          <w:i w:val="false"/>
          <w:caps w:val="false"/>
          <w:smallCaps w:val="false"/>
          <w:sz w:val="20"/>
        </w:rPr>
        <w:t>the Company must deliver to the Trustee for such Securities an Officers’ Certificate stating that the deposit was not made by the Company with the intent of preferring the Holders of such Securities over the other creditors of the Company with the intent of defeating, hindering, delaying or defrauding any creditors of the Company or others;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(7)            </w:t>
      </w:r>
      <w:r>
        <w:rPr>
          <w:rFonts w:ascii="Times New Roman;Times;Serif" w:hAnsi="Times New Roman;Times;Serif"/>
          <w:b w:val="false"/>
          <w:i w:val="false"/>
          <w:caps w:val="false"/>
          <w:smallCaps w:val="false"/>
          <w:sz w:val="20"/>
        </w:rPr>
        <w:t>the Company must deliver to the Trustee for such Securities an Officers’ Certificate and an Opinion of Counsel, each stating that all conditions precedent relating to the Legal Defeasance or the Covenant Defeasance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8.5            </w:t>
      </w:r>
      <w:r>
        <w:rPr>
          <w:rFonts w:ascii="Times New Roman;Times;Serif" w:hAnsi="Times New Roman;Times;Serif"/>
          <w:b w:val="false"/>
          <w:i w:val="false"/>
          <w:caps w:val="false"/>
          <w:smallCaps w:val="false"/>
          <w:sz w:val="20"/>
          <w:u w:val="single"/>
        </w:rPr>
        <w:t>Deposited Money and Government Securities to be Held in Trust; Other 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8.6 hereof, all money and non-callable Government Securities (including the proceeds thereof) deposited with the Trustee (or other qualifying trustee, collectively for purposes of this Section 8.5, the “Trustee”) pursuant to Section 8.4 hereof in respect of the outstanding Securities of any Series will be held in trust and applied by the Trustee, in accordance with the provisions of such Securities and this Indenture, to the payment, either directly or through any Paying Agent (including the Company acting as Paying Agent) as the Trustee may determine, to the Holders of such Securities of all sums due and to become due thereon in respect of principal, premium, if any, and interest,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pay and indemnify the Trustee against any tax, fee or other charge imposed on or assessed against the cash or non-callable Government Securities deposited pursuant to Section 8.4 hereof or the principal and interest received in respect thereof other than any such tax, fee or other charge which by law is for the account of the Holders of the outstanding Securities of the applicable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in this Article 8 to the contrary, the Trustee will deliver or pay to the Company from time to time upon the request of the Company any money or non-callable Government Securities held by it as provided in Section 8.4 hereof which, in the opinion of a nationally recognized firm of independent public accountants expressed in a written certification thereof delivered to the Trustee (which may be the opinion delivered under Section 8.4(1) hereof), are in excess of the amount thereof that would then be required to be deposited to effect an equivalent Legal Defeasance or Covenant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8.6            </w:t>
      </w:r>
      <w:r>
        <w:rPr>
          <w:rFonts w:ascii="Times New Roman;Times;Serif" w:hAnsi="Times New Roman;Times;Serif"/>
          <w:b w:val="false"/>
          <w:i w:val="false"/>
          <w:caps w:val="false"/>
          <w:smallCaps w:val="false"/>
          <w:sz w:val="20"/>
          <w:u w:val="single"/>
        </w:rPr>
        <w:t>Repayment to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 deposited with the Trustee or any Paying Agent, or then held by the Company, in trust for the payment of the principal of, premium, if any, or interest on, any Series of Securities and remaining unclaimed for two years after such principal, premium, if any, or interest has become due and payable shall be paid to the Company on its request or (if then held by the Company) will be discharged from such trust; and the Holders of such Securities will thereafter be permitted to look only to the Company for payment thereof, and all liability of the Trustee or such Paying Agent with respect to such trust money, and all liability of the Company as trustee thereof, will thereupon cease; provided, however, that the Trustee or such Paying Agent, before being required to make any such repayment, may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8.7            </w:t>
      </w:r>
      <w:r>
        <w:rPr>
          <w:rFonts w:ascii="Times New Roman;Times;Serif" w:hAnsi="Times New Roman;Times;Serif"/>
          <w:b w:val="false"/>
          <w:i w:val="false"/>
          <w:caps w:val="false"/>
          <w:smallCaps w:val="false"/>
          <w:sz w:val="20"/>
          <w:u w:val="single"/>
        </w:rPr>
        <w:t>Reinstatement.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or Paying Agent is unable to apply any U.S. dollars or non-callable Government Securities in accordance with Section 8.2 or 8.3 hereof, as the case may be, by reason of any order or judgment of any court or governmental authority enjoining, restraining or otherwise prohibiting such application, then the Company’s and any applicable guarantors’ obligations under this Indenture and the applicable Securities and the guarantees will be revived and reinstated as though no deposit had occurred pursuant to Section 8.2 or 8.3 hereof until such time as the Trustee or Paying Agent is permitted to apply all such money in accordance with Section 8.2 or 8.3 hereof, as the case may be; provided, however, that, if the Company makes any payment of principal of, premium, if any, or interest on, any such Securities following the reinstatement of its obligations, the Company will be subrogated to the rights of the Holders of such Securities to receive such payment from the money held by the Trustee or Paying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IX.</w:t>
      </w:r>
      <w:r>
        <w:rPr>
          <w:rFonts w:ascii="Times New Roman;Times;Serif" w:hAnsi="Times New Roman;Times;Serif"/>
          <w:b w:val="false"/>
          <w:i w:val="false"/>
          <w:caps w:val="false"/>
          <w:smallCaps w:val="false"/>
          <w:sz w:val="20"/>
          <w:u w:val="single"/>
        </w:rPr>
        <w:br/>
        <w:t>AMENDMENTS AND WAIVERS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9.1            </w:t>
      </w:r>
      <w:r>
        <w:rPr>
          <w:rFonts w:ascii="Times New Roman;Times;Serif" w:hAnsi="Times New Roman;Times;Serif"/>
          <w:b w:val="false"/>
          <w:i w:val="false"/>
          <w:caps w:val="false"/>
          <w:smallCaps w:val="false"/>
          <w:sz w:val="20"/>
          <w:u w:val="single"/>
        </w:rPr>
        <w:t>Without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Section 9.2 of this Indenture, the Company and the Trustee may amend or supplement this Indenture or the Securities of one or more Series without the consent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to cure any ambiguity, defect or inconsistency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to provide for the assumption of the Company’s obligations to the Holders of the Securities by a successor to the Company pursuant to Article 5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to make any change that would provide any additional rights or benefits to the Holders of Securities or that does not adversely affect the legal rights hereunder of any Securityholder;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to comply with requirements of the SEC in order to effect or maintain the qualification of this Indenture under the TIA;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to add to or change or eliminate any provision of this Indenture as shall be necessary or desirable in accordance with any amendments to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to provide for the issuance of and establish the form and terms and conditions of Securities of any Series as permitted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to add guarantors or co-obligors with respect to any Series of Securities or to release guarantors of Securities in accordance with the terms of the applicable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a resolution of its Board of Directors authorizing the execution of any such amended or supplemental indenture, and upon receipt by the Trustee of the documents described in Section 7.2 hereof, the Trustee will join with the Company in the execution of any amended or supplemental indenture authorized or permitted by the terms of this Indenture and to make any further appropriate agreements and stipulations that may be therein contained, but the Trustee will not be obligated to enter into such amended or supplemental indenture that affects its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9.2            </w:t>
      </w:r>
      <w:r>
        <w:rPr>
          <w:rFonts w:ascii="Times New Roman;Times;Serif" w:hAnsi="Times New Roman;Times;Serif"/>
          <w:b w:val="false"/>
          <w:i w:val="false"/>
          <w:caps w:val="false"/>
          <w:smallCaps w:val="false"/>
          <w:sz w:val="20"/>
          <w:u w:val="single"/>
        </w:rPr>
        <w:t>With Consent of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Section 9.3, the Company and the Trustee may enter into a supplemental indenture with the written consent of the Holders of at least a majority in aggregate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9.3, the Holders of at least a majority in aggregate principal amount of the outstanding Securities of each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Holders of Securities under this Section 9.2 to approve the particular form of any proposed supplemental indenture or waiver, but it shall be sufficient if such consent approves the substance thereof. Upon the request of the Company accompanied by a resolution of its Board of Directors authorizing the execution of any such amended or supplemental indenture, and upon the filing with the Trustee of evidence satisfactory to the Trustee of the consent of the Holders of Securities as aforesaid, and upon receipt by the Trustee of the documents described in Section 9.7 hereof, the Trustee will join with the Company in the execution of such amended or supplemental indenture unless such amended or supplemental indenture directly affects the Trustee’s own rights, duties or immunities under this Indenture or otherwise, in which case the Trustee may in its discretion, but will not be obligated to, enter into such amended or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supplemental indenture or waiver under this section becomes effective, the Company shall mail to the Holders of Securities affected thereby a notice briefly describing the supplemental indenture or waiver. Any failure by the Company to mail such notice, or any defect therein, shall not, however, in any way impair or affect the validity of any such supplemental indenture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9.3            </w:t>
      </w:r>
      <w:r>
        <w:rPr>
          <w:rFonts w:ascii="Times New Roman;Times;Serif" w:hAnsi="Times New Roman;Times;Serif"/>
          <w:b w:val="false"/>
          <w:i w:val="false"/>
          <w:caps w:val="false"/>
          <w:smallCaps w:val="false"/>
          <w:sz w:val="20"/>
          <w:u w:val="single"/>
        </w:rPr>
        <w:t>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Without the consent of each Securityholder affected, an amendment or waiver may not (with respect to any Securities held by a non-consenting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change the amount of Securities whose Holders must consent to an amendment, supplement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reduce the rate of or extend the time for payment of interest (including default interest) on any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reduce the principal or change the Stated Maturity of any Security or reduce the amount of, or postpone the date fixed for, the payment of any sinking fund or analogous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reduce the principal amount of Discount Securities payable upon acceleration of the maturity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(e)            </w:t>
      </w:r>
      <w:r>
        <w:rPr>
          <w:rFonts w:ascii="Times New Roman;Times;Serif" w:hAnsi="Times New Roman;Times;Serif"/>
          <w:b w:val="false"/>
          <w:i w:val="false"/>
          <w:caps w:val="false"/>
          <w:smallCaps w:val="false"/>
          <w:sz w:val="20"/>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(f)            </w:t>
      </w:r>
      <w:r>
        <w:rPr>
          <w:rFonts w:ascii="Times New Roman;Times;Serif" w:hAnsi="Times New Roman;Times;Serif"/>
          <w:b w:val="false"/>
          <w:i w:val="false"/>
          <w:caps w:val="false"/>
          <w:smallCaps w:val="false"/>
          <w:sz w:val="20"/>
        </w:rPr>
        <w:t>make the principal of or interest, if any, on any Security payable in any currency other than that stated in the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(g)            </w:t>
      </w:r>
      <w:r>
        <w:rPr>
          <w:rFonts w:ascii="Times New Roman;Times;Serif" w:hAnsi="Times New Roman;Times;Serif"/>
          <w:b w:val="false"/>
          <w:i w:val="false"/>
          <w:caps w:val="false"/>
          <w:smallCaps w:val="false"/>
          <w:sz w:val="20"/>
        </w:rPr>
        <w:t>make any change in Sections 6.4 or 9.3 (this sentence);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(h)            </w:t>
      </w:r>
      <w:r>
        <w:rPr>
          <w:rFonts w:ascii="Times New Roman;Times;Serif" w:hAnsi="Times New Roman;Times;Serif"/>
          <w:b w:val="false"/>
          <w:i w:val="false"/>
          <w:caps w:val="false"/>
          <w:smallCaps w:val="false"/>
          <w:sz w:val="20"/>
        </w:rPr>
        <w:t>waive a redemption payment with respect to any Security or change any of the provisions with respect to the redemption of any Securities, except as specifically set forth in the Board Resolution, supplemental indenture hereto or Officers’ Certificate delivered pursuant to Section 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9.4            </w:t>
      </w:r>
      <w:r>
        <w:rPr>
          <w:rFonts w:ascii="Times New Roman;Times;Serif" w:hAnsi="Times New Roman;Times;Serif"/>
          <w:b w:val="false"/>
          <w:i w:val="false"/>
          <w:caps w:val="false"/>
          <w:smallCaps w:val="false"/>
          <w:sz w:val="20"/>
          <w:u w:val="single"/>
        </w:rPr>
        <w:t>Compliance with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amendment to this Indenture or the Securities of one or more Series shall be set forth in a supplemental indenture hereto that complies with the TIA as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9.5            </w:t>
      </w:r>
      <w:r>
        <w:rPr>
          <w:rFonts w:ascii="Times New Roman;Times;Serif" w:hAnsi="Times New Roman;Times;Serif"/>
          <w:b w:val="false"/>
          <w:i w:val="false"/>
          <w:caps w:val="false"/>
          <w:smallCaps w:val="false"/>
          <w:sz w:val="20"/>
          <w:u w:val="single"/>
        </w:rPr>
        <w:t>Revocation and Effect of Consents.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an amendment or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the amendment or waiver becomes effective.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9.6            </w:t>
      </w:r>
      <w:r>
        <w:rPr>
          <w:rFonts w:ascii="Times New Roman;Times;Serif" w:hAnsi="Times New Roman;Times;Serif"/>
          <w:b w:val="false"/>
          <w:i w:val="false"/>
          <w:caps w:val="false"/>
          <w:smallCaps w:val="false"/>
          <w:sz w:val="20"/>
          <w:u w:val="single"/>
        </w:rPr>
        <w:t>Notation on or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place an appropriate notation about an amendment or waiver on any Security of any Series thereafter authenticated. The Company in exchange for Securities of that Series may issue and the Trustee shall authenticate upon request new Securities of that Series that reflect the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9.7            </w:t>
      </w:r>
      <w:r>
        <w:rPr>
          <w:rFonts w:ascii="Times New Roman;Times;Serif" w:hAnsi="Times New Roman;Times;Serif"/>
          <w:b w:val="false"/>
          <w:i w:val="false"/>
          <w:caps w:val="false"/>
          <w:smallCaps w:val="false"/>
          <w:sz w:val="20"/>
          <w:u w:val="single"/>
        </w:rPr>
        <w:t>Trustee Protected.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and an Opinion of Counsel each stating that the execution of such supplemental indenture is authorized or permitted by this Indenture. The Trustee shall sign all supplemental indentures, except that the Trustee need not sign any supplemental indenture that adversely affects its rights, duties, liabilities, indemnities or immunities.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w:t>
      </w:r>
      <w:r>
        <w:rPr>
          <w:rFonts w:ascii="Times New Roman;Times;Serif" w:hAnsi="Times New Roman;Times;Serif"/>
          <w:b w:val="false"/>
          <w:i w:val="false"/>
          <w:caps w:val="false"/>
          <w:smallCaps w:val="false"/>
          <w:sz w:val="20"/>
          <w:u w:val="single"/>
        </w:rPr>
        <w:b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10.1          </w:t>
      </w:r>
      <w:r>
        <w:rPr>
          <w:rFonts w:ascii="Times New Roman;Times;Serif" w:hAnsi="Times New Roman;Times;Serif"/>
          <w:b w:val="false"/>
          <w:i w:val="false"/>
          <w:caps w:val="false"/>
          <w:smallCaps w:val="false"/>
          <w:sz w:val="20"/>
          <w:u w:val="single"/>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will be discharged and will cease to be of further effect as to a Series of Securities issued hereunder, when: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either: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             </w:t>
      </w:r>
      <w:r>
        <w:rPr>
          <w:rFonts w:ascii="Times New Roman;Times;Serif" w:hAnsi="Times New Roman;Times;Serif"/>
          <w:b w:val="false"/>
          <w:i w:val="false"/>
          <w:caps w:val="false"/>
          <w:smallCaps w:val="false"/>
          <w:sz w:val="20"/>
        </w:rPr>
        <w:t>all such Securities that have been authenticated, except lost, stolen or destroyed Securities that have been replaced or paid and Securities for whose payment money has theretofore been deposited in trust and thereafter repaid to the Company, have been delivered to the Trustee for cancellation;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8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(ii)            </w:t>
      </w:r>
      <w:r>
        <w:rPr>
          <w:rFonts w:ascii="Times New Roman;Times;Serif" w:hAnsi="Times New Roman;Times;Serif"/>
          <w:b w:val="false"/>
          <w:i w:val="false"/>
          <w:caps w:val="false"/>
          <w:smallCaps w:val="false"/>
          <w:sz w:val="20"/>
        </w:rPr>
        <w:t>all such Securities that have not been delivered to the Trustee for cancellation have become due and payable by reason of the distribution of a notice of redemption or otherwise or will become due and payable within one year and the Company has irrevocably deposited or caused to be deposited with the Trustee as trust funds in trust solely for the benefit of the Holders of such Securities, cash in U.S. dollars, non-callable Government Securities, or a combination thereof, in such amounts as will be sufficient, without consideration of any reinvestment of interest, to pay and discharge the entire Indebtedness on such Securities not delivered to the Trustee for cancellation for principal, premium, if any, and accrued interest to the date of maturity 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no Default or Event of Default has occurred and is continuing on the date of such deposit (other than a Default or Event of Default resulting from the borrowing of funds to be applied to such deposit) and the deposit will not result in a breach or violation of, or constitute a default under, any other instrument to which the Company or any guarantor, as applicable, of such Securities is a party or by which the Company or any such guarantor, as applicable, is bound;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the Company or any guarantor of such Securities has paid or caused to be paid all sums payable by it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the Company has delivered irrevocable instructions to the Trustee for such Securities under this Indenture to apply the deposited money toward the payment of such Securities at maturity or on the redemption date,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must deliver an Officers’ Certificate and an Opinion of Counsel to the Trustee for such Securities stating that all conditions precedent to satisfaction and discharge have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satisfaction and discharge of this Indenture, if money has been deposited with the Trustee pursuant to subclause (b) of this Section 10.1, the provisions of Sections 10.2 and 8.6 hereof will survive. In addition, nothing in this Section 10.1 will be deemed to discharge those provisions of Section 7.7 hereof, that, by their terms, survive the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10.2            </w:t>
      </w:r>
      <w:r>
        <w:rPr>
          <w:rFonts w:ascii="Times New Roman;Times;Serif" w:hAnsi="Times New Roman;Times;Serif"/>
          <w:b w:val="false"/>
          <w:i w:val="false"/>
          <w:caps w:val="false"/>
          <w:smallCaps w:val="false"/>
          <w:sz w:val="20"/>
          <w:u w:val="single"/>
        </w:rPr>
        <w:t>Application of Trust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8.6 hereof, all money deposited with a Trustee pursuant to Section 10.1 hereof shall be held in trust and applied by it, in accordance with the provisions of the Securities with respect to which such deposit was made and this Indenture, to the payment, either directly or through any Paying Agent (including the Company acting as its own Paying Agent) as such Trustee may determine, to the persons entitled thereto, of the principal (and premium, if any) and interest for whose payment such money has been deposited with such Trustee; but such money need not be segregated from other funds except to the extent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XI.</w:t>
      </w:r>
      <w:r>
        <w:rPr>
          <w:rFonts w:ascii="Times New Roman;Times;Serif" w:hAnsi="Times New Roman;Times;Serif"/>
          <w:b w:val="false"/>
          <w:i w:val="false"/>
          <w:caps w:val="false"/>
          <w:smallCaps w:val="false"/>
          <w:sz w:val="20"/>
          <w:u w:val="single"/>
        </w:rPr>
        <w:b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            </w:t>
      </w:r>
      <w:r>
        <w:rPr>
          <w:rFonts w:ascii="Times New Roman;Times;Serif" w:hAnsi="Times New Roman;Times;Serif"/>
          <w:b w:val="false"/>
          <w:i w:val="false"/>
          <w:caps w:val="false"/>
          <w:smallCaps w:val="false"/>
          <w:sz w:val="20"/>
          <w:u w:val="single"/>
        </w:rPr>
        <w:t>Trust Indenture Act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is hereby made subject to, and shall be governed by, the provisions of the TIA required or deemed to be part of and to govern indentures qualified under the TIA. If any provision of this Indenture limits, qualifies, or conflicts with another provision which is required or deemed to be included in this Indenture by the TIA, such required or deemed provision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11.2            </w:t>
      </w:r>
      <w:r>
        <w:rPr>
          <w:rFonts w:ascii="Times New Roman;Times;Serif" w:hAnsi="Times New Roman;Times;Serif"/>
          <w:b w:val="false"/>
          <w:i w:val="false"/>
          <w:caps w:val="false"/>
          <w:smallCaps w:val="false"/>
          <w:sz w:val="20"/>
          <w:u w:val="single"/>
        </w:rPr>
        <w:t>Notices.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by the Company or the Trustee to the other, or by a Holder to the Company or the Trustee, is duly given if in writing and delivered in person, mailed by first-class mail or by any telecommunication device capable of creating a written record (including electronic mail):</w:t>
      </w:r>
    </w:p>
    <w:p>
      <w:pPr>
        <w:pStyle w:val="TextBody"/>
        <w:bidi w:val="0"/>
        <w:spacing w:before="0" w:after="0"/>
        <w:ind w:left="0" w:right="0" w:hanging="0"/>
        <w:jc w:val="left"/>
        <w:rPr>
          <w:caps w:val="false"/>
          <w:smallCaps w:val="false"/>
        </w:rPr>
      </w:pPr>
      <w:r>
        <w:rPr>
          <w:caps w:val="false"/>
          <w:smallCaps w:val="false"/>
        </w:rPr>
        <w:t> </w:t>
      </w:r>
    </w:p>
    <w:tbl>
      <w:tblPr>
        <w:tblW w:w="2840" w:type="dxa"/>
        <w:jc w:val="left"/>
        <w:tblInd w:w="0" w:type="dxa"/>
        <w:tblLayout w:type="fixed"/>
        <w:tblCellMar>
          <w:top w:w="0" w:type="dxa"/>
          <w:left w:w="0" w:type="dxa"/>
          <w:bottom w:w="0" w:type="dxa"/>
          <w:right w:w="0" w:type="dxa"/>
        </w:tblCellMar>
      </w:tblPr>
      <w:tblGrid>
        <w:gridCol w:w="75"/>
        <w:gridCol w:w="2765"/>
      </w:tblGrid>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sz w:val="20"/>
              </w:rPr>
            </w:pPr>
            <w:r>
              <w:rPr>
                <w:sz w:val="20"/>
              </w:rPr>
              <w:t>if to the Company:</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br/>
              <w:t>300 Carnegie Center, Suite 300</w:t>
              <w:br/>
              <w:t>Princeton, NJ 08540</w:t>
              <w:br/>
              <w:t>Attention: General Counsel</w:t>
              <w:br/>
              <w:t>Telephone: (609) 608-1525</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ogc@clearwayenergy.com</w:t>
            </w:r>
          </w:p>
        </w:tc>
      </w:tr>
      <w:tr>
        <w:trPr/>
        <w:tc>
          <w:tcPr>
            <w:tcW w:w="75"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42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4445" w:type="dxa"/>
        <w:jc w:val="left"/>
        <w:tblInd w:w="0" w:type="dxa"/>
        <w:tblLayout w:type="fixed"/>
        <w:tblCellMar>
          <w:top w:w="0" w:type="dxa"/>
          <w:left w:w="0" w:type="dxa"/>
          <w:bottom w:w="0" w:type="dxa"/>
          <w:right w:w="0" w:type="dxa"/>
        </w:tblCellMar>
      </w:tblPr>
      <w:tblGrid>
        <w:gridCol w:w="75"/>
        <w:gridCol w:w="4370"/>
      </w:tblGrid>
      <w:tr>
        <w:trPr/>
        <w:tc>
          <w:tcPr>
            <w:tcW w:w="7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sz w:val="20"/>
              </w:rPr>
            </w:pPr>
            <w:r>
              <w:rPr>
                <w:sz w:val="20"/>
              </w:rPr>
              <w:t>if to the Trustee:</w:t>
            </w:r>
          </w:p>
        </w:tc>
      </w:tr>
      <w:tr>
        <w:trPr/>
        <w:tc>
          <w:tcPr>
            <w:tcW w:w="7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Trust Company</w:t>
              <w:br/>
              <w:t>251 Little Falls Drive</w:t>
              <w:br/>
              <w:t>Wilmington, DE 19808</w:t>
              <w:br/>
              <w:t>Attention: Corporate Trust Administration – Lici Zhu</w:t>
              <w:br/>
              <w:t>Telephone: 302-485-1380</w:t>
              <w:br/>
              <w:t>Email: USTrustAgency@delawaretrust.com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the Trustee by notice to the other may designate additional or different addresses for subsequent notices or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notice or communication to a Securityholder shall be mailed by first-class mail to his address shown on the register kept by the Registrar. Failure to mail a notice or communication to a Securityholder of any Series or any defect in it shall not affect its sufficiency with respect to other Securityholders of that or any other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notice or communication is mailed or published in the manner provided above, within the time prescribed, it is duly given, whether or not the Securityholder receives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mails a notice or communication to Securityholders, it shall mail a copy to the Trustee and each Agent at the same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11.3          </w:t>
      </w:r>
      <w:r>
        <w:rPr>
          <w:rFonts w:ascii="Times New Roman;Times;Serif" w:hAnsi="Times New Roman;Times;Serif"/>
          <w:b w:val="false"/>
          <w:i w:val="false"/>
          <w:caps w:val="false"/>
          <w:smallCaps w:val="false"/>
          <w:sz w:val="20"/>
          <w:u w:val="single"/>
        </w:rPr>
        <w:t>Communication by Holders with Other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11.4          </w:t>
      </w:r>
      <w:r>
        <w:rPr>
          <w:rFonts w:ascii="Times New Roman;Times;Serif" w:hAnsi="Times New Roman;Times;Serif"/>
          <w:b w:val="false"/>
          <w:i w:val="false"/>
          <w:caps w:val="false"/>
          <w:smallCaps w:val="false"/>
          <w:sz w:val="20"/>
          <w:u w:val="single"/>
        </w:rPr>
        <w:t>Certificate and Opinion as to Conditions Precedent.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any request or application by the Company to the Trustee to take any action under this Indenture, the Company shall furnish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an Officers’ Certificate stating that, in the opinion of the signers, all conditions precedent, if any, provided for in this Indenture relating to the proposed action have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an Opinion of Counsel stating that, in the opinion of such counsel, all such conditions precedent have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11.5          </w:t>
      </w:r>
      <w:r>
        <w:rPr>
          <w:rFonts w:ascii="Times New Roman;Times;Serif" w:hAnsi="Times New Roman;Times;Serif"/>
          <w:b w:val="false"/>
          <w:i w:val="false"/>
          <w:caps w:val="false"/>
          <w:smallCaps w:val="false"/>
          <w:sz w:val="20"/>
          <w:u w:val="single"/>
        </w:rPr>
        <w:t>Statements Required in Certificate 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certificate or opinion with respect to compliance with a condition or covenant provided for in this Indenture (other than a certificate provided pursuant to TIA § 314(a)(4)) shall comply with the provisions of TIA § 314(e) and shall include: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            </w:t>
      </w:r>
      <w:r>
        <w:rPr>
          <w:rFonts w:ascii="Times New Roman;Times;Serif" w:hAnsi="Times New Roman;Times;Serif"/>
          <w:b w:val="false"/>
          <w:i w:val="false"/>
          <w:caps w:val="false"/>
          <w:smallCaps w:val="false"/>
          <w:sz w:val="20"/>
        </w:rPr>
        <w:t>a statement that the person making such certificate or opinion has read such covenant or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(b)            </w:t>
      </w:r>
      <w:r>
        <w:rPr>
          <w:rFonts w:ascii="Times New Roman;Times;Serif" w:hAnsi="Times New Roman;Times;Serif"/>
          <w:b w:val="false"/>
          <w:i w:val="false"/>
          <w:caps w:val="false"/>
          <w:smallCaps w:val="false"/>
          <w:sz w:val="20"/>
        </w:rPr>
        <w:t>a brief statement as to the nature and scope of the examination or investigation upon which the statements or opinions contained in such certificate or opinion are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(c)            </w:t>
      </w:r>
      <w:r>
        <w:rPr>
          <w:rFonts w:ascii="Times New Roman;Times;Serif" w:hAnsi="Times New Roman;Times;Serif"/>
          <w:b w:val="false"/>
          <w:i w:val="false"/>
          <w:caps w:val="false"/>
          <w:smallCaps w:val="false"/>
          <w:sz w:val="20"/>
        </w:rPr>
        <w:t>a statement that, in the opinion of such person, he has made such examination or investigation as is necessary to enable him to express an informed opinion as to whether or not such covenant or condition has been complied with;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(d)            </w:t>
      </w:r>
      <w:r>
        <w:rPr>
          <w:rFonts w:ascii="Times New Roman;Times;Serif" w:hAnsi="Times New Roman;Times;Serif"/>
          <w:b w:val="false"/>
          <w:i w:val="false"/>
          <w:caps w:val="false"/>
          <w:smallCaps w:val="false"/>
          <w:sz w:val="20"/>
        </w:rPr>
        <w:t>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11.6          </w:t>
      </w:r>
      <w:r>
        <w:rPr>
          <w:rFonts w:ascii="Times New Roman;Times;Serif" w:hAnsi="Times New Roman;Times;Serif"/>
          <w:b w:val="false"/>
          <w:i w:val="false"/>
          <w:caps w:val="false"/>
          <w:smallCaps w:val="false"/>
          <w:sz w:val="20"/>
          <w:u w:val="single"/>
        </w:rPr>
        <w:t>Rules by Trustee and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make reasonable rules for action by or a meeting of Securityholders of one or more Series. Any Agent may make reasonable rules and set reasonable requirements for its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11.7          </w:t>
      </w:r>
      <w:r>
        <w:rPr>
          <w:rFonts w:ascii="Times New Roman;Times;Serif" w:hAnsi="Times New Roman;Times;Serif"/>
          <w:b w:val="false"/>
          <w:i w:val="false"/>
          <w:caps w:val="false"/>
          <w:smallCaps w:val="false"/>
          <w:sz w:val="20"/>
          <w:u w:val="single"/>
        </w:rPr>
        <w:t>Legal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provided by Board Resolution, Officers’ Certificate or supplemental indenture hereto for a particular Series, a “Legal Holiday” is any day that is not a Business Day. If a payment date is a Legal Holiday at a place of payment, payment may be made at that place on the next succeeding day that is not a Legal Holiday, and no interest shall accrue for the intervening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11.8          </w:t>
      </w:r>
      <w:r>
        <w:rPr>
          <w:rFonts w:ascii="Times New Roman;Times;Serif" w:hAnsi="Times New Roman;Times;Serif"/>
          <w:b w:val="false"/>
          <w:i w:val="false"/>
          <w:caps w:val="false"/>
          <w:smallCaps w:val="false"/>
          <w:sz w:val="20"/>
          <w:u w:val="single"/>
        </w:rPr>
        <w:t>No Recourse Against Others.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director, officer, employee or stockholder,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11.9          </w:t>
      </w:r>
      <w:r>
        <w:rPr>
          <w:rFonts w:ascii="Times New Roman;Times;Serif" w:hAnsi="Times New Roman;Times;Serif"/>
          <w:b w:val="false"/>
          <w:i w:val="false"/>
          <w:caps w:val="false"/>
          <w:smallCaps w:val="false"/>
          <w:sz w:val="20"/>
          <w:u w:val="single"/>
        </w:rPr>
        <w:t>Counterparts; Electronic 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and by the parties hereto in separate counterparts, each of which when so executed shall be deemed to be an original and all of which taken together shall constitute one and the same agreement. Each of the transaction parties agrees on behalf of itself, and any Person acting or claiming by, under or through such transaction party, that any written instrument delivered in connection with this Indenture or any related document, including without limitation any notices, amendments, supplements to such documents, may be executed by electronic methods (whether by .pdf scan or utilization of an electronic signature platform or application). Any electronic signature document delivered via email from a person authorized on an incumbency certificate provided by the Company to the Trustee shall be considered signed or executed by such person on behalf of the Company. The Company agrees to assume all risks arising out of the use of electronic methods for all purposes including the authorization, execution, delivery, or submission of documents, instruments, notices, directions, instructions, reports, opinions and certificates to the Trustee, including without limitation the risk of the Trustee acting on unauthorized instructions, and the risk of interception and misuse by third parties. Any electronic signature shall have the same legal validity and enforceability as a manually executed signature to the fullest extent permitted by applicable law, including the Federal Electronic Signatures in Global and National Commerce Act, the New York State Electronic Signatures and Records Act, or any similar federal or state law, rule or regulation, as the same may be in effect from time to time, and the parties hereby waive any objection to the contrary. Any document accepted, executed or agreed to in conformity with such laws will be binding on all parties hereto to the same extent as if it were physically executed and each party hereby consents to the use of any third party electronic signature capture service providers as may be reasonably chosen by a signatory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11.10        </w:t>
      </w:r>
      <w:r>
        <w:rPr>
          <w:rFonts w:ascii="Times New Roman;Times;Serif" w:hAnsi="Times New Roman;Times;Serif"/>
          <w:b w:val="false"/>
          <w:i w:val="false"/>
          <w:caps w:val="false"/>
          <w:smallCaps w:val="false"/>
          <w:sz w:val="20"/>
          <w:u w:val="single"/>
        </w:rPr>
        <w:t>Governing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INTERNAL LAW OF THE STATE OF NEW YORK WILL GOVERN AND BE USED TO CONSTRUE THIS INDENTURE, THE SECURITIES AND ANY GUARANTEES OF THE SECURITIES WITHOUT GIVING EFFECT TO APPLICABLE PRINCIPLES OF CONFLICTS OF LAW TO THE EXTENT THAT THE APPLICATION OF THE LAWS OF ANOTHER JURISDICTION WOULD BE REQUIRED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11.11        </w:t>
      </w:r>
      <w:r>
        <w:rPr>
          <w:rFonts w:ascii="Times New Roman;Times;Serif" w:hAnsi="Times New Roman;Times;Serif"/>
          <w:b w:val="false"/>
          <w:i w:val="false"/>
          <w:caps w:val="false"/>
          <w:smallCaps w:val="false"/>
          <w:sz w:val="20"/>
          <w:u w:val="single"/>
        </w:rPr>
        <w:t>No Adverse Interpretation of Other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not be used to interpret another indenture, loan or debt agreement of the Company or a Subsidiary of the Company. Any such indenture, loan or debt agreement may not be used to interpret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11.12        </w:t>
      </w:r>
      <w:r>
        <w:rPr>
          <w:rFonts w:ascii="Times New Roman;Times;Serif" w:hAnsi="Times New Roman;Times;Serif"/>
          <w:b w:val="false"/>
          <w:i w:val="false"/>
          <w:caps w:val="false"/>
          <w:smallCaps w:val="false"/>
          <w:sz w:val="20"/>
          <w:u w:val="single"/>
        </w:rPr>
        <w:t>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agreements of the Company in this Indenture and the Securities shall bind its successor. All agreements of the Trustee in this Indenture shall bind its successor.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11.13        </w:t>
      </w:r>
      <w:r>
        <w:rPr>
          <w:rFonts w:ascii="Times New Roman;Times;Serif" w:hAnsi="Times New Roman;Times;Serif"/>
          <w:b w:val="false"/>
          <w:i w:val="false"/>
          <w:caps w:val="false"/>
          <w:smallCaps w:val="false"/>
          <w:sz w:val="20"/>
          <w:u w:val="single"/>
        </w:rPr>
        <w:t>Severability.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provision in this Indenture or in the Securities shall be invalid, illegal or unenforceable, the validity, legality and enforceability of the remaining provisions shall not in any way be affected or impaired thereby.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11.14        </w:t>
      </w:r>
      <w:r>
        <w:rPr>
          <w:rFonts w:ascii="Times New Roman;Times;Serif" w:hAnsi="Times New Roman;Times;Serif"/>
          <w:b w:val="false"/>
          <w:i w:val="false"/>
          <w:caps w:val="false"/>
          <w:smallCaps w:val="false"/>
          <w:sz w:val="20"/>
          <w:u w:val="single"/>
        </w:rPr>
        <w:t>Table of Contents, Headings,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Cross-Reference Table, and headings of the Articles and Sections of this Indenture have been inserted for convenience of reference only, are not to be considered a part hereof, and shall in no way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ARTICLE XII.</w:t>
      </w:r>
      <w:r>
        <w:rPr>
          <w:rFonts w:ascii="Times New Roman;Times;Serif" w:hAnsi="Times New Roman;Times;Serif"/>
          <w:b w:val="false"/>
          <w:i w:val="false"/>
          <w:caps w:val="false"/>
          <w:smallCaps w:val="false"/>
          <w:sz w:val="20"/>
          <w:u w:val="single"/>
        </w:rPr>
        <w:br/>
        <w:t>SINKING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12.1          </w:t>
      </w:r>
      <w:r>
        <w:rPr>
          <w:rFonts w:ascii="Times New Roman;Times;Serif" w:hAnsi="Times New Roman;Times;Serif"/>
          <w:b w:val="false"/>
          <w:i w:val="false"/>
          <w:caps w:val="false"/>
          <w:smallCaps w:val="false"/>
          <w:sz w:val="20"/>
          <w:u w:val="single"/>
        </w:rPr>
        <w:t>Applicability of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shall be applicable to any sinking fund for the retirement of the Securities of a Series, except as otherwise permitted or required by any form of Security of such Series issued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the Securities of any Series is herein referred to as a “mandatory sinking fund payment” and any other amount provided for by the terms of Securities of such Series is herein referred to as an “optional sinking fund payment.” If provided for by the terms of Securities of any Series, the cash amount of any sinking fund payment may be subject to reduction as provided in Section 12.2. Each sinking fund payment shall be applied to the redemption of Securities of any Series as provided for by the terms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12.2          </w:t>
      </w:r>
      <w:r>
        <w:rPr>
          <w:rFonts w:ascii="Times New Roman;Times;Serif" w:hAnsi="Times New Roman;Times;Serif"/>
          <w:b w:val="false"/>
          <w:i w:val="false"/>
          <w:caps w:val="false"/>
          <w:smallCaps w:val="false"/>
          <w:sz w:val="20"/>
          <w:u w:val="single"/>
        </w:rPr>
        <w:t>Satisfaction of Sinking Fund Payments with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12.2,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provided, however,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12.3          </w:t>
      </w:r>
      <w:r>
        <w:rPr>
          <w:rFonts w:ascii="Times New Roman;Times;Serif" w:hAnsi="Times New Roman;Times;Serif"/>
          <w:b w:val="false"/>
          <w:i w:val="false"/>
          <w:caps w:val="false"/>
          <w:smallCaps w:val="false"/>
          <w:sz w:val="20"/>
          <w:u w:val="single"/>
        </w:rPr>
        <w:t>Redemption of Securities for Sinking Fund.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(unless otherwise indicated in the Board Resolution, supplemental indenture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12.2, and the optional amount, if any, to be added in cash to the next ensuing mandatory sinking fund payment, and the Company shall thereupon be obligated to pay the amount therein specified.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30 days (unless otherwise indicated in the Board Resolution, Officers’ Certificate or supplemental indenture in respect of a particular Series of Securities) before each such sinking fund payment date the Trustee shall select the Securities to be redeemed upon such sinking fund payment date in the manner specified in Section 3.2 and cause notice of the redemption thereof to be given in the name of and at the expense of the Company in the manner provided in Section 3.3. Such notice having been duly given, the redemption of such Securities shall be made upon the terms and in the manner stated in Sections 3.4, 3.5 and 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10000"/>
          <w:sz w:val="20"/>
        </w:rPr>
        <w:t>Section 12.4          </w:t>
      </w:r>
      <w:r>
        <w:rPr>
          <w:rFonts w:ascii="Times New Roman;Times;Serif" w:hAnsi="Times New Roman;Times;Serif"/>
          <w:b w:val="false"/>
          <w:i w:val="false"/>
          <w:caps w:val="false"/>
          <w:smallCaps w:val="false"/>
          <w:sz w:val="20"/>
          <w:u w:val="single"/>
        </w:rPr>
        <w:t>Compliance with Applicable Anti-Terrorism and Anti-Money Laundering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laws, rules, regulations and executive orders in effect from time to time applicable to banking institutions, including those relating to the funding of terrorist activities and money laundering (“Relevant Law”), the Trustee is required to obtain, verify and record certain information relating to individuals and entities which maintain a business relationship with the Trustee. Accordingly, each of the parties agrees to provide to the Trustee upon its request from time to time such identifying information and documentation as may be available for such party in order to enable the Trustee to comply with Relevant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 on following page]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Indenture to be duly executed and attested,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2494" w:type="dxa"/>
        <w:jc w:val="left"/>
        <w:tblInd w:w="0" w:type="dxa"/>
        <w:tblLayout w:type="fixed"/>
        <w:tblCellMar>
          <w:top w:w="0" w:type="dxa"/>
          <w:left w:w="0" w:type="dxa"/>
          <w:bottom w:w="0" w:type="dxa"/>
          <w:right w:w="0" w:type="dxa"/>
        </w:tblCellMar>
      </w:tblPr>
      <w:tblGrid>
        <w:gridCol w:w="75"/>
        <w:gridCol w:w="826"/>
        <w:gridCol w:w="1593"/>
      </w:tblGrid>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both"/>
              <w:rPr>
                <w:sz w:val="20"/>
              </w:rPr>
            </w:pPr>
            <w:r>
              <w:rPr>
                <w:sz w:val="20"/>
              </w:rPr>
              <w:t>CLEARWAY ENERGY, INC.</w:t>
            </w:r>
          </w:p>
        </w:tc>
      </w:tr>
      <w:tr>
        <w:trPr/>
        <w:tc>
          <w:tcPr>
            <w:tcW w:w="75" w:type="dxa"/>
            <w:tcBorders/>
            <w:vAlign w:val="center"/>
          </w:tcPr>
          <w:p>
            <w:pPr>
              <w:pStyle w:val="TableContents"/>
              <w:bidi w:val="0"/>
              <w:spacing w:before="0" w:after="283"/>
              <w:jc w:val="left"/>
              <w:rPr/>
            </w:pPr>
            <w:r>
              <w:rPr/>
              <w:t> </w:t>
            </w:r>
          </w:p>
        </w:tc>
        <w:tc>
          <w:tcPr>
            <w:tcW w:w="2419" w:type="dxa"/>
            <w:gridSpan w:val="2"/>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both"/>
              <w:rPr>
                <w:sz w:val="20"/>
              </w:rPr>
            </w:pPr>
            <w:r>
              <w:rPr>
                <w:sz w:val="20"/>
              </w:rPr>
              <w:t>By:</w:t>
            </w:r>
          </w:p>
        </w:tc>
        <w:tc>
          <w:tcPr>
            <w:tcW w:w="159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both"/>
              <w:rPr/>
            </w:pPr>
            <w:r>
              <w:rPr/>
              <w:t> </w:t>
            </w:r>
          </w:p>
        </w:tc>
        <w:tc>
          <w:tcPr>
            <w:tcW w:w="1593" w:type="dxa"/>
            <w:tcBorders/>
            <w:vAlign w:val="center"/>
          </w:tcPr>
          <w:p>
            <w:pPr>
              <w:pStyle w:val="TableContents"/>
              <w:bidi w:val="0"/>
              <w:spacing w:before="0" w:after="283"/>
              <w:jc w:val="both"/>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826" w:type="dxa"/>
            <w:tcBorders/>
            <w:vAlign w:val="center"/>
          </w:tcPr>
          <w:p>
            <w:pPr>
              <w:pStyle w:val="TableContents"/>
              <w:bidi w:val="0"/>
              <w:spacing w:before="0" w:after="283"/>
              <w:jc w:val="both"/>
              <w:rPr/>
            </w:pPr>
            <w:r>
              <w:rPr/>
              <w:t> </w:t>
            </w:r>
          </w:p>
        </w:tc>
        <w:tc>
          <w:tcPr>
            <w:tcW w:w="1593" w:type="dxa"/>
            <w:tcBorders/>
            <w:vAlign w:val="center"/>
          </w:tcPr>
          <w:p>
            <w:pPr>
              <w:pStyle w:val="TableContents"/>
              <w:bidi w:val="0"/>
              <w:spacing w:before="0" w:after="283"/>
              <w:jc w:val="both"/>
              <w:rPr/>
            </w:pPr>
            <w:r>
              <w:rPr/>
              <w:t>Title: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bookmarkStart w:id="18" w:name="tm2322934d2_ex5-1.htm"/>
      <w:bookmarkStart w:id="19" w:name="kstm2322934d2_ex51"/>
      <w:bookmarkEnd w:id="18"/>
      <w:bookmarkEnd w:id="19"/>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tbl>
      <w:tblPr>
        <w:tblW w:w="7590" w:type="dxa"/>
        <w:jc w:val="left"/>
        <w:tblInd w:w="0" w:type="dxa"/>
        <w:tblLayout w:type="fixed"/>
        <w:tblCellMar>
          <w:top w:w="0" w:type="dxa"/>
          <w:left w:w="0" w:type="dxa"/>
          <w:bottom w:w="0" w:type="dxa"/>
          <w:right w:w="0" w:type="dxa"/>
        </w:tblCellMar>
      </w:tblPr>
      <w:tblGrid>
        <w:gridCol w:w="3240"/>
        <w:gridCol w:w="1835"/>
        <w:gridCol w:w="980"/>
        <w:gridCol w:w="1535"/>
      </w:tblGrid>
      <w:tr>
        <w:trPr/>
        <w:tc>
          <w:tcPr>
            <w:tcW w:w="3240" w:type="dxa"/>
            <w:tcBorders/>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r>
              <w:rPr/>
              <w:drawing>
                <wp:inline distT="0" distB="0" distL="0" distR="0">
                  <wp:extent cx="2009775" cy="266700"/>
                  <wp:effectExtent l="0" t="0" r="0" b="0"/>
                  <wp:docPr id="9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2" descr=""/>
                          <pic:cNvPicPr>
                            <a:picLocks noChangeAspect="1" noChangeArrowheads="1"/>
                          </pic:cNvPicPr>
                        </pic:nvPicPr>
                        <pic:blipFill>
                          <a:blip r:embed="rId16"/>
                          <a:stretch>
                            <a:fillRect/>
                          </a:stretch>
                        </pic:blipFill>
                        <pic:spPr bwMode="auto">
                          <a:xfrm>
                            <a:off x="0" y="0"/>
                            <a:ext cx="2009775" cy="266700"/>
                          </a:xfrm>
                          <a:prstGeom prst="rect">
                            <a:avLst/>
                          </a:prstGeom>
                        </pic:spPr>
                      </pic:pic>
                    </a:graphicData>
                  </a:graphic>
                </wp:inline>
              </w:drawing>
            </w:r>
          </w:p>
        </w:tc>
        <w:tc>
          <w:tcPr>
            <w:tcW w:w="18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2001 Ross Avenue</w:t>
              <w:br/>
              <w:t>Dallas, Texas</w:t>
              <w:br/>
              <w:t>75201-2980</w:t>
            </w:r>
          </w:p>
          <w:p>
            <w:pPr>
              <w:pStyle w:val="TableContents"/>
              <w:bidi w:val="0"/>
              <w:spacing w:before="0" w:after="0"/>
              <w:ind w:left="0" w:right="0" w:hanging="0"/>
              <w:jc w:val="left"/>
              <w:rPr>
                <w:caps/>
              </w:rPr>
            </w:pPr>
            <w:r>
              <w:rPr>
                <w:caps/>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+1 214.953.6500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FAX +1 214.953.6503</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BakerBotts.com</w:t>
            </w:r>
          </w:p>
        </w:tc>
        <w:tc>
          <w:tcPr>
            <w:tcW w:w="980"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AUSTIN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Brussels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DALLAS</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DUBAI</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HOUSTON</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LONDON</w:t>
            </w:r>
          </w:p>
          <w:p>
            <w:pPr>
              <w:pStyle w:val="TableContents"/>
              <w:bidi w:val="0"/>
              <w:spacing w:before="0" w:after="0"/>
              <w:ind w:left="0" w:right="0" w:hanging="0"/>
              <w:jc w:val="left"/>
              <w:rPr>
                <w:caps/>
              </w:rPr>
            </w:pPr>
            <w:r>
              <w:rPr>
                <w:caps/>
              </w:rPr>
              <w:t> </w:t>
            </w:r>
          </w:p>
        </w:tc>
        <w:tc>
          <w:tcPr>
            <w:tcW w:w="1535" w:type="dxa"/>
            <w:tcBorders/>
            <w:vAlign w:val="center"/>
          </w:tcPr>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NEW YORK</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PALO ALTO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RIYADH</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san francisco</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Singapore</w:t>
            </w:r>
          </w:p>
          <w:p>
            <w:pPr>
              <w:pStyle w:val="TableContents"/>
              <w:bidi w:val="0"/>
              <w:spacing w:before="0" w:after="0"/>
              <w:ind w:left="0" w:right="0" w:hanging="0"/>
              <w:jc w:val="left"/>
              <w:rPr>
                <w:rFonts w:ascii="Times New Roman;Times;Serif" w:hAnsi="Times New Roman;Times;Serif"/>
                <w:b w:val="false"/>
                <w:i w:val="false"/>
                <w:caps/>
                <w:sz w:val="20"/>
              </w:rPr>
            </w:pPr>
            <w:r>
              <w:rPr>
                <w:rFonts w:ascii="Times New Roman;Times;Serif" w:hAnsi="Times New Roman;Times;Serif"/>
                <w:b w:val="false"/>
                <w:i w:val="false"/>
                <w:caps/>
                <w:sz w:val="20"/>
              </w:rPr>
              <w:t>WASHINGTON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Clearway Energy,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300 Carnegie Center, Suite 300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Princeton, New Jersey 08540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for Clearway Energy, Inc., a Delaware corporation (the “Company”), with respect to certain legal matters in connection with the filing by the Company with the Securities and Exchange Commission (the “Commission”) of a registration statement on Form S-3 (the “Registration Statement”) under the Securities Act of 1933, as amended (the “Securities Act”), registering securities to be issued and sold by the Company from time to time pursuant to Rule 415 under the Securities Act.  Such securities include (i) the Company’s Class A common stock, par value $0.01 per share (the “Class A Common Stock”), (ii) the Company’s Class C common stock, par value $0.01 per share (the “Class C Common Stock” and, together with the Class A Common Stock, the “Common Stock”), (iii) one or more series of the Company’s senior or subordinated debt securities (collectively, the “Debt Securities”), and (iv) one or more series of the Company’s preferred stock, par value $0.01 per share (the “Preferred Stock”). The Common Stock, the Debt Securities and the Preferred Stock are collectively referred to herein as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capacity as your counsel in connection with the filing referred to above and as a basis for the opinions herein after expressed, we have examined (i) the Registration Statement and the prospectus contained therein (the “Prospectus”), (ii) the Amended and Restated Certificate of Incorporation of the Company, (iii) the Fourth Amended and Restated Bylaws of the Company, (iv) the form of an indenture filed as an exhibit to the Registration Statement (an “Indenture”), (v) originals, or copies certified or otherwise identified, of the corporate records of the Company, (vi) originals, or copies certified or otherwise identified, of certificates of public officials and of representatives of the Company and (vii) statutes and other instruments and documents as we deemed necessary or advisable for the opinions hereafter expressed.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assumed that (i) the Registration Statement and any amendments thereto (including post-effective amendments) will have become effective under the Securities Act; (ii) a prospectus supplement will have been prepared and filed with the Commission describing the Securities offered thereby; (iii) all Securities will be offered, issued and sold in compliance with applicable federal and state securities laws and in the manner stated in the Registration Statement (including post-effective amendments thereto) and the appropriate prospectus supplement; (iv) a definitive purchase, underwriting or similar agreement with respect to any Securities offered will have been duly authorized and validly executed and delivered by the Company and the other parties thereto; (v) any securities issuable upon conversion, redemption, exchange or exercise of any Securities being offered will be duly authorized, created and, if appropriate, reserved for issuance upon such conversion, redemption, exchange or exercise; and (vi) the certificates, if any, for the Common Stock will conform to the specimens thereof examined by us and will have been duly countersigned by a transfer agent and duly registered by a registrar of the Common Stock, or, if uncertificated, valid book-entry notations will have been made in the stock register of the Company in accordance with the provisions of the governing documents of the Company.</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76350" cy="123825"/>
            <wp:effectExtent l="0" t="0" r="0" b="0"/>
            <wp:docPr id="9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3" descr=""/>
                    <pic:cNvPicPr>
                      <a:picLocks noChangeAspect="1" noChangeArrowheads="1"/>
                    </pic:cNvPicPr>
                  </pic:nvPicPr>
                  <pic:blipFill>
                    <a:blip r:embed="rId17"/>
                    <a:stretch>
                      <a:fillRect/>
                    </a:stretch>
                  </pic:blipFill>
                  <pic:spPr bwMode="auto">
                    <a:xfrm>
                      <a:off x="0" y="0"/>
                      <a:ext cx="1276350" cy="1238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180"/>
        <w:gridCol w:w="350"/>
        <w:gridCol w:w="1505"/>
      </w:tblGrid>
      <w:tr>
        <w:trPr/>
        <w:tc>
          <w:tcPr>
            <w:tcW w:w="2180" w:type="dxa"/>
            <w:tcBorders/>
            <w:vAlign w:val="center"/>
          </w:tcPr>
          <w:p>
            <w:pPr>
              <w:pStyle w:val="TableContents"/>
              <w:bidi w:val="0"/>
              <w:spacing w:before="0" w:after="283"/>
              <w:jc w:val="left"/>
              <w:rPr/>
            </w:pPr>
            <w:r>
              <w:rPr/>
              <w:t>Clearway Energy, Inc.</w:t>
            </w:r>
          </w:p>
        </w:tc>
        <w:tc>
          <w:tcPr>
            <w:tcW w:w="350" w:type="dxa"/>
            <w:tcBorders/>
            <w:vAlign w:val="center"/>
          </w:tcPr>
          <w:p>
            <w:pPr>
              <w:pStyle w:val="TableContents"/>
              <w:bidi w:val="0"/>
              <w:spacing w:before="0" w:after="283"/>
              <w:jc w:val="center"/>
              <w:rPr/>
            </w:pPr>
            <w:r>
              <w:rPr/>
              <w:t>- 2-</w:t>
            </w:r>
          </w:p>
        </w:tc>
        <w:tc>
          <w:tcPr>
            <w:tcW w:w="1505" w:type="dxa"/>
            <w:tcBorders/>
            <w:vAlign w:val="center"/>
          </w:tcPr>
          <w:p>
            <w:pPr>
              <w:pStyle w:val="TableContents"/>
              <w:bidi w:val="0"/>
              <w:spacing w:before="0" w:after="283"/>
              <w:jc w:val="right"/>
              <w:rPr/>
            </w:pPr>
            <w:r>
              <w:rPr/>
              <w:t>August 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giving the opinions hereinafter expressed, we have relied, to the extent we deemed proper, without independent investigation, upon certificates, statements and other representations of officers and other representatives of the Company and of governmental and public officials with respect to the accuracy and completeness of the material factual matters contained therein or covered thereby, and we have assumed, without independent investigation, that the signatures on all documents examined by us are genuine, that all documents submitted to us as originals are accurate and complete, that all documents submitted to us as copies are true and correct copies of the originals thereof, that such original copies are authentic and complete and that all information submitted to us was accurate and complete.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subject to the foregoing,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both"/>
              <w:rPr/>
            </w:pPr>
            <w:r>
              <w:rPr/>
              <w:t>1.</w:t>
            </w:r>
          </w:p>
        </w:tc>
        <w:tc>
          <w:tcPr>
            <w:tcW w:w="10018" w:type="dxa"/>
            <w:tcBorders/>
            <w:vAlign w:val="center"/>
          </w:tcPr>
          <w:p>
            <w:pPr>
              <w:pStyle w:val="TableContents"/>
              <w:bidi w:val="0"/>
              <w:spacing w:before="0" w:after="283"/>
              <w:jc w:val="both"/>
              <w:rPr/>
            </w:pPr>
            <w:r>
              <w:rPr/>
              <w:t>With respect to the Common Stock, when (a) the Company has taken all necessary action to approve the issuance of such Common Stock, the terms of the offering thereof and related matters, and (b) such Common Stock has been issued and delivered in accordance with the terms of the applicable definitive purchase, underwriting or similar agreement approved by the Company upon payment of the consideration therefor provided for therein, such Common Stock will be duly authorized and validly issued and non-assessable.</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43"/>
        <w:gridCol w:w="10025"/>
      </w:tblGrid>
      <w:tr>
        <w:trPr/>
        <w:tc>
          <w:tcPr>
            <w:tcW w:w="37"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both"/>
              <w:rPr/>
            </w:pPr>
            <w:r>
              <w:rPr/>
              <w:t>2.</w:t>
            </w:r>
          </w:p>
        </w:tc>
        <w:tc>
          <w:tcPr>
            <w:tcW w:w="10025" w:type="dxa"/>
            <w:tcBorders/>
            <w:vAlign w:val="center"/>
          </w:tcPr>
          <w:p>
            <w:pPr>
              <w:pStyle w:val="TableContents"/>
              <w:bidi w:val="0"/>
              <w:spacing w:before="0" w:after="283"/>
              <w:jc w:val="both"/>
              <w:rPr/>
            </w:pPr>
            <w:r>
              <w:rPr/>
              <w:t>With respect to the Debt Securities to be issued under the applicable Indenture, when (a) the Company has taken all necessary action to approve the issuance and terms of such Debt Securities, the terms of the offering thereof and related matters, (b) the applicable Indenture and any supplemental indenture thereto relating to such Debt Securities have been duly authorized and validly executed and delivered by the Company, the trustee thereunder and any other parties thereto, (c) the applicable Indenture and any supplemental indenture thereto relating to such Debt Securities have been duly qualified under the Trust Indenture Act of 1939, as amended, and (d) such Debt Securities have been duly executed, authenticated, issued and delivered in accordance with the terms of the applicable Indenture and any supplemental indenture thereto relating to such Debt Securities and the applicable definitive purchase, underwriting or similar agreement approved by the Company, upon payment of the consideration therefor provided for therein, such Debt Securities will, when issued, constitute valid and legally binding obligations of the Company, enforceable against the Company in accordance with their terms, except as the enforceability thereof is subject to the effect of (i) applicable bankruptcy, insolvency, reorganization, moratorium, fraudulent transfer or conveyance or other similar laws relating to or affecting creditors’ rights generally, (ii) general principles of equity (regardless of whether such enforceability is considered in a proceeding in equity or at law) or (iii) any implied covenants of good faith and fair dealing.</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0"/>
        <w:gridCol w:w="10018"/>
      </w:tblGrid>
      <w:tr>
        <w:trPr/>
        <w:tc>
          <w:tcPr>
            <w:tcW w:w="37"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both"/>
              <w:rPr/>
            </w:pPr>
            <w:r>
              <w:rPr/>
              <w:t>3.</w:t>
            </w:r>
          </w:p>
        </w:tc>
        <w:tc>
          <w:tcPr>
            <w:tcW w:w="10018" w:type="dxa"/>
            <w:tcBorders/>
            <w:vAlign w:val="center"/>
          </w:tcPr>
          <w:p>
            <w:pPr>
              <w:pStyle w:val="TableContents"/>
              <w:bidi w:val="0"/>
              <w:spacing w:before="0" w:after="283"/>
              <w:jc w:val="both"/>
              <w:rPr/>
            </w:pPr>
            <w:r>
              <w:rPr/>
              <w:t>With respect to the Preferred Stock, when (a) the Company has taken all necessary action to approve the issuance of such Preferred Stock, the terms of the offering thereof and related matters, and (b) such Preferred Stock has been issued and delivered in accordance with the terms of the applicable definitive purchase, underwriting or similar agreement approved by the Company upon payment of the consideration therefor provided for therein, such Preferred Stock will be duly authorized and validly issued and non-assessable.</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276350" cy="123825"/>
            <wp:effectExtent l="0" t="0" r="0" b="0"/>
            <wp:docPr id="9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 descr=""/>
                    <pic:cNvPicPr>
                      <a:picLocks noChangeAspect="1" noChangeArrowheads="1"/>
                    </pic:cNvPicPr>
                  </pic:nvPicPr>
                  <pic:blipFill>
                    <a:blip r:embed="rId18"/>
                    <a:stretch>
                      <a:fillRect/>
                    </a:stretch>
                  </pic:blipFill>
                  <pic:spPr bwMode="auto">
                    <a:xfrm>
                      <a:off x="0" y="0"/>
                      <a:ext cx="1276350" cy="1238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35" w:type="dxa"/>
        <w:jc w:val="left"/>
        <w:tblInd w:w="0" w:type="dxa"/>
        <w:tblLayout w:type="fixed"/>
        <w:tblCellMar>
          <w:top w:w="0" w:type="dxa"/>
          <w:left w:w="0" w:type="dxa"/>
          <w:bottom w:w="0" w:type="dxa"/>
          <w:right w:w="0" w:type="dxa"/>
        </w:tblCellMar>
      </w:tblPr>
      <w:tblGrid>
        <w:gridCol w:w="2180"/>
        <w:gridCol w:w="350"/>
        <w:gridCol w:w="1505"/>
      </w:tblGrid>
      <w:tr>
        <w:trPr/>
        <w:tc>
          <w:tcPr>
            <w:tcW w:w="2180" w:type="dxa"/>
            <w:tcBorders/>
            <w:vAlign w:val="center"/>
          </w:tcPr>
          <w:p>
            <w:pPr>
              <w:pStyle w:val="TableContents"/>
              <w:bidi w:val="0"/>
              <w:spacing w:before="0" w:after="283"/>
              <w:jc w:val="left"/>
              <w:rPr/>
            </w:pPr>
            <w:r>
              <w:rPr/>
              <w:t>Clearway Energy, Inc.</w:t>
            </w:r>
          </w:p>
        </w:tc>
        <w:tc>
          <w:tcPr>
            <w:tcW w:w="350" w:type="dxa"/>
            <w:tcBorders/>
            <w:vAlign w:val="center"/>
          </w:tcPr>
          <w:p>
            <w:pPr>
              <w:pStyle w:val="TableContents"/>
              <w:bidi w:val="0"/>
              <w:spacing w:before="0" w:after="283"/>
              <w:jc w:val="center"/>
              <w:rPr/>
            </w:pPr>
            <w:r>
              <w:rPr/>
              <w:t>- 3-</w:t>
            </w:r>
          </w:p>
        </w:tc>
        <w:tc>
          <w:tcPr>
            <w:tcW w:w="1505" w:type="dxa"/>
            <w:tcBorders/>
            <w:vAlign w:val="center"/>
          </w:tcPr>
          <w:p>
            <w:pPr>
              <w:pStyle w:val="TableContents"/>
              <w:bidi w:val="0"/>
              <w:spacing w:before="0" w:after="283"/>
              <w:jc w:val="right"/>
              <w:rPr/>
            </w:pPr>
            <w:r>
              <w:rPr/>
              <w:t>August 8, 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set forth above are limited in all respects to matters of the laws of the State of New York, the Delaware General Corporation Law and applicable reported judicial decisions, rules and regulations interpreting and implementing those laws, and the federal laws of the United States of America, in each case as in effect on the date hereof.  We express no opinion as to the effect of the laws of any other jurisdiction.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of counsel with the Commission as Exhibit 5.1 to the Registration Statement. We also consent to the reference to our Firm under the heading “Legal Matters” in the Prospectus forming a part of the Registration Statement. In giving this consent, we do not hereby admit that we are in the category of persons whose consent is required under Section 7 of the Securities Act or the rules and regulations of the Commission thereunder.</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shd w:fill="FFFFFF" w:val="clear"/>
        <w:tblLayout w:type="fixed"/>
        <w:tblCellMar>
          <w:top w:w="0" w:type="dxa"/>
          <w:left w:w="0" w:type="dxa"/>
          <w:bottom w:w="0" w:type="dxa"/>
          <w:right w:w="0" w:type="dxa"/>
        </w:tblCellMar>
      </w:tblPr>
      <w:tblGrid>
        <w:gridCol w:w="75"/>
        <w:gridCol w:w="1760"/>
      </w:tblGrid>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sz w:val="20"/>
              </w:rPr>
            </w:pPr>
            <w:r>
              <w:rPr>
                <w:sz w:val="20"/>
              </w:rPr>
              <w:t>Very truly yours,</w:t>
            </w:r>
          </w:p>
        </w:tc>
      </w:tr>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1760" w:type="dxa"/>
            <w:tcBorders/>
            <w:shd w:fill="FFFFFF" w:val="clear"/>
            <w:vAlign w:val="center"/>
          </w:tcPr>
          <w:p>
            <w:pPr>
              <w:pStyle w:val="TableContents"/>
              <w:bidi w:val="0"/>
              <w:spacing w:before="0" w:after="283"/>
              <w:jc w:val="left"/>
              <w:rPr>
                <w:sz w:val="20"/>
              </w:rPr>
            </w:pPr>
            <w:r>
              <w:rPr>
                <w:sz w:val="20"/>
              </w:rPr>
              <w:t>/s/ Baker Botts L.L.P.</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caps w:val="false"/>
          <w:smallCaps w:val="false"/>
        </w:rPr>
      </w:pPr>
      <w:bookmarkStart w:id="20" w:name="tm2322934d2_ex23-1.htm"/>
      <w:bookmarkStart w:id="21" w:name="kstm2322934d2_ex231"/>
      <w:bookmarkEnd w:id="20"/>
      <w:bookmarkEnd w:id="21"/>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reference to our firm under the caption “Experts” in this Registration Statement (Form S-3) and related Prospectus of Clearway Energy, Inc. for the registration of debt securities, preferred stock and common stock and to the incorporation by reference therein of our reports dated February 23, 2023, with respect to the consolidated financial statements and schedules of Clearway Energy, Inc., and the effectiveness of internal control over financial reporting of Clearway Energy, Inc., included in its Annual Report (Form 10-K) for the year ended December 31, 2022,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8, 2023</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tm2322934d2_ex23-2.htm"/>
      <w:bookmarkStart w:id="23" w:name="kstm2322934d2_ex23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w:t>
      </w:r>
    </w:p>
    <w:p>
      <w:pPr>
        <w:pStyle w:val="TextBody"/>
        <w:bidi w:val="0"/>
        <w:spacing w:before="0" w:after="0"/>
        <w:ind w:left="0" w:right="0" w:hanging="0"/>
        <w:jc w:val="center"/>
        <w:rPr>
          <w:caps w:val="false"/>
          <w:smallCaps w:val="false"/>
        </w:rPr>
      </w:pPr>
      <w:r>
        <w:rPr>
          <w:caps w:val="false"/>
          <w:smallCaps w:val="false"/>
        </w:rPr>
        <w:t> </w:t>
      </w:r>
    </w:p>
    <w:tbl>
      <w:tblPr>
        <w:tblW w:w="4655" w:type="dxa"/>
        <w:jc w:val="left"/>
        <w:tblInd w:w="0" w:type="dxa"/>
        <w:tblLayout w:type="fixed"/>
        <w:tblCellMar>
          <w:top w:w="0" w:type="dxa"/>
          <w:left w:w="0" w:type="dxa"/>
          <w:bottom w:w="0" w:type="dxa"/>
          <w:right w:w="0" w:type="dxa"/>
        </w:tblCellMar>
      </w:tblPr>
      <w:tblGrid>
        <w:gridCol w:w="1440"/>
        <w:gridCol w:w="3215"/>
      </w:tblGrid>
      <w:tr>
        <w:trPr/>
        <w:tc>
          <w:tcPr>
            <w:tcW w:w="1440" w:type="dxa"/>
            <w:tcBorders/>
            <w:vAlign w:val="center"/>
          </w:tcPr>
          <w:p>
            <w:pPr>
              <w:pStyle w:val="TableContents"/>
              <w:bidi w:val="0"/>
              <w:spacing w:before="0" w:after="283"/>
              <w:jc w:val="left"/>
              <w:rPr/>
            </w:pPr>
            <w:r>
              <w:rPr/>
              <w:drawing>
                <wp:inline distT="0" distB="0" distL="0" distR="0">
                  <wp:extent cx="904875" cy="361950"/>
                  <wp:effectExtent l="0" t="0" r="0" b="0"/>
                  <wp:docPr id="10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 descr=""/>
                          <pic:cNvPicPr>
                            <a:picLocks noChangeAspect="1" noChangeArrowheads="1"/>
                          </pic:cNvPicPr>
                        </pic:nvPicPr>
                        <pic:blipFill>
                          <a:blip r:embed="rId19"/>
                          <a:stretch>
                            <a:fillRect/>
                          </a:stretch>
                        </pic:blipFill>
                        <pic:spPr bwMode="auto">
                          <a:xfrm>
                            <a:off x="0" y="0"/>
                            <a:ext cx="904875" cy="361950"/>
                          </a:xfrm>
                          <a:prstGeom prst="rect">
                            <a:avLst/>
                          </a:prstGeom>
                        </pic:spPr>
                      </pic:pic>
                    </a:graphicData>
                  </a:graphic>
                </wp:inline>
              </w:drawing>
            </w:r>
          </w:p>
        </w:tc>
        <w:tc>
          <w:tcPr>
            <w:tcW w:w="3215" w:type="dxa"/>
            <w:tcBorders/>
            <w:vAlign w:val="center"/>
          </w:tcPr>
          <w:p>
            <w:pPr>
              <w:pStyle w:val="TableContents"/>
              <w:bidi w:val="0"/>
              <w:spacing w:before="0" w:after="283"/>
              <w:jc w:val="left"/>
              <w:rPr/>
            </w:pPr>
            <w:r>
              <w:rPr/>
              <w:t> </w:t>
            </w:r>
          </w:p>
        </w:tc>
      </w:tr>
      <w:tr>
        <w:trPr/>
        <w:tc>
          <w:tcPr>
            <w:tcW w:w="1440" w:type="dxa"/>
            <w:tcBorders/>
            <w:vAlign w:val="center"/>
          </w:tcPr>
          <w:p>
            <w:pPr>
              <w:pStyle w:val="TableContents"/>
              <w:bidi w:val="0"/>
              <w:spacing w:before="0" w:after="283"/>
              <w:jc w:val="left"/>
              <w:rPr/>
            </w:pPr>
            <w:r>
              <w:rPr/>
              <w:t> </w:t>
            </w:r>
          </w:p>
        </w:tc>
        <w:tc>
          <w:tcPr>
            <w:tcW w:w="3215" w:type="dxa"/>
            <w:tcBorders/>
            <w:vAlign w:val="center"/>
          </w:tcPr>
          <w:p>
            <w:pPr>
              <w:pStyle w:val="TableContents"/>
              <w:bidi w:val="0"/>
              <w:spacing w:before="0" w:after="283"/>
              <w:jc w:val="left"/>
              <w:rPr/>
            </w:pPr>
            <w:r>
              <w:rPr/>
              <w:t xml:space="preserve">KPMG LLP </w:t>
              <w:br/>
              <w:t>1601 Market Street</w:t>
              <w:br/>
              <w:t>Philadelphia, PA 19103-2499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use of our report dated March 1, 2021, with respect to the consolidated financial statements of Clearway Energy, Inc., incorporated herein by reference, and to the reference to our firm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603" w:type="dxa"/>
        <w:jc w:val="left"/>
        <w:tblInd w:w="0" w:type="dxa"/>
        <w:tblLayout w:type="fixed"/>
        <w:tblCellMar>
          <w:top w:w="0" w:type="dxa"/>
          <w:left w:w="0" w:type="dxa"/>
          <w:bottom w:w="0" w:type="dxa"/>
          <w:right w:w="0" w:type="dxa"/>
        </w:tblCellMar>
      </w:tblPr>
      <w:tblGrid>
        <w:gridCol w:w="38"/>
        <w:gridCol w:w="60"/>
        <w:gridCol w:w="1505"/>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both"/>
              <w:rPr/>
            </w:pPr>
            <w:r>
              <w:rPr/>
              <w:t>/s/ KPMG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Philadelphia, Pennsylvania</w:t>
        <w:br/>
        <w:t>August 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caps w:val="false"/>
          <w:smallCaps w:val="false"/>
        </w:rPr>
      </w:pPr>
      <w:bookmarkStart w:id="24" w:name="tm2322934d2_ex25-1.htm"/>
      <w:bookmarkStart w:id="25" w:name="kstm2322934d2_ex251"/>
      <w:bookmarkEnd w:id="24"/>
      <w:bookmarkEnd w:id="25"/>
      <w:r>
        <w:rPr>
          <w:caps w:val="false"/>
          <w:smallCaps w:val="false"/>
        </w:rPr>
        <w:t> </w:t>
      </w:r>
      <w:r>
        <w:br w:type="page"/>
      </w:r>
    </w:p>
    <w:p>
      <w:pPr>
        <w:pStyle w:val="TextBody"/>
        <w:shd w:fill="FFFFFF" w:val="clear"/>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25.1</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 OF ELIGIBILITY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TRUST INDENTURE ACT OF 1939 OF A</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CORPORATION DESIGNATED TO ACT AS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center"/>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IF AN APPLICATION TO DETERMINE ELIGIBILITY OF A TRUSTEE PURSUANT TO SECTION 305(b) (2)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Delaware Trust Company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trustee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6276" w:type="dxa"/>
        <w:jc w:val="left"/>
        <w:tblInd w:w="0" w:type="dxa"/>
        <w:tblLayout w:type="fixed"/>
        <w:tblCellMar>
          <w:top w:w="0" w:type="dxa"/>
          <w:left w:w="0" w:type="dxa"/>
          <w:bottom w:w="0" w:type="dxa"/>
          <w:right w:w="0" w:type="dxa"/>
        </w:tblCellMar>
      </w:tblPr>
      <w:tblGrid>
        <w:gridCol w:w="901"/>
        <w:gridCol w:w="715"/>
        <w:gridCol w:w="715"/>
        <w:gridCol w:w="715"/>
        <w:gridCol w:w="715"/>
        <w:gridCol w:w="740"/>
        <w:gridCol w:w="1775"/>
      </w:tblGrid>
      <w:tr>
        <w:trPr/>
        <w:tc>
          <w:tcPr>
            <w:tcW w:w="4501" w:type="dxa"/>
            <w:gridSpan w:val="6"/>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51-0011500</w:t>
            </w:r>
          </w:p>
        </w:tc>
      </w:tr>
      <w:tr>
        <w:trPr/>
        <w:tc>
          <w:tcPr>
            <w:tcW w:w="4501" w:type="dxa"/>
            <w:gridSpan w:val="6"/>
            <w:tcBorders/>
            <w:vAlign w:val="center"/>
          </w:tcPr>
          <w:p>
            <w:pPr>
              <w:pStyle w:val="TableContents"/>
              <w:bidi w:val="0"/>
              <w:spacing w:before="0" w:after="283"/>
              <w:jc w:val="center"/>
              <w:rPr/>
            </w:pPr>
            <w:r>
              <w:rPr/>
              <w:t xml:space="preserve">(Jurisdiction of incorporation or organization if </w:t>
              <w:br/>
              <w:t>not a U.S. national bank)</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901"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15"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4501"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 Little Falls Drive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w:t>
            </w:r>
          </w:p>
        </w:tc>
        <w:tc>
          <w:tcPr>
            <w:tcW w:w="1775" w:type="dxa"/>
            <w:tcBorders/>
            <w:vAlign w:val="center"/>
          </w:tcPr>
          <w:p>
            <w:pPr>
              <w:pStyle w:val="TableContents"/>
              <w:bidi w:val="0"/>
              <w:spacing w:before="0" w:after="283"/>
              <w:jc w:val="center"/>
              <w:rPr>
                <w:b/>
              </w:rPr>
            </w:pPr>
            <w:r>
              <w:rPr>
                <w:b/>
              </w:rPr>
              <w:t>19808</w:t>
            </w:r>
          </w:p>
        </w:tc>
      </w:tr>
      <w:tr>
        <w:trPr/>
        <w:tc>
          <w:tcPr>
            <w:tcW w:w="4501" w:type="dxa"/>
            <w:gridSpan w:val="6"/>
            <w:tcBorders/>
            <w:vAlign w:val="center"/>
          </w:tcPr>
          <w:p>
            <w:pPr>
              <w:pStyle w:val="TableContents"/>
              <w:bidi w:val="0"/>
              <w:spacing w:before="0" w:after="283"/>
              <w:jc w:val="center"/>
              <w:rPr/>
            </w:pPr>
            <w:r>
              <w:rPr/>
              <w:t>(Address of principal executive offices)</w:t>
            </w:r>
          </w:p>
        </w:tc>
        <w:tc>
          <w:tcPr>
            <w:tcW w:w="1775" w:type="dxa"/>
            <w:tcBorders/>
            <w:vAlign w:val="center"/>
          </w:tcPr>
          <w:p>
            <w:pPr>
              <w:pStyle w:val="TableContents"/>
              <w:bidi w:val="0"/>
              <w:spacing w:before="0" w:after="283"/>
              <w:jc w:val="center"/>
              <w:rPr/>
            </w:pPr>
            <w:r>
              <w:rPr/>
              <w:t>(Zip code)</w:t>
            </w:r>
          </w:p>
        </w:tc>
      </w:tr>
      <w:tr>
        <w:trPr/>
        <w:tc>
          <w:tcPr>
            <w:tcW w:w="901"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15"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Corporation Service Company</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251 Little Falls Drive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Wilmington, Delaware</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 927-9801</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and telephone number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Clearway Energy, Inc.</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obligor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5829" w:type="dxa"/>
        <w:jc w:val="left"/>
        <w:tblInd w:w="0" w:type="dxa"/>
        <w:tblLayout w:type="fixed"/>
        <w:tblCellMar>
          <w:top w:w="0" w:type="dxa"/>
          <w:left w:w="0" w:type="dxa"/>
          <w:bottom w:w="0" w:type="dxa"/>
          <w:right w:w="0" w:type="dxa"/>
        </w:tblCellMar>
      </w:tblPr>
      <w:tblGrid>
        <w:gridCol w:w="811"/>
        <w:gridCol w:w="645"/>
        <w:gridCol w:w="645"/>
        <w:gridCol w:w="645"/>
        <w:gridCol w:w="645"/>
        <w:gridCol w:w="663"/>
        <w:gridCol w:w="1775"/>
      </w:tblGrid>
      <w:tr>
        <w:trPr/>
        <w:tc>
          <w:tcPr>
            <w:tcW w:w="4054" w:type="dxa"/>
            <w:gridSpan w:val="6"/>
            <w:tcBorders/>
            <w:vAlign w:val="center"/>
          </w:tcPr>
          <w:p>
            <w:pPr>
              <w:pStyle w:val="TableContents"/>
              <w:bidi w:val="0"/>
              <w:spacing w:before="0" w:after="283"/>
              <w:jc w:val="center"/>
              <w:rPr>
                <w:b/>
              </w:rPr>
            </w:pPr>
            <w:r>
              <w:rPr>
                <w:b/>
              </w:rPr>
              <w:t>Delaware</w:t>
            </w:r>
          </w:p>
        </w:tc>
        <w:tc>
          <w:tcPr>
            <w:tcW w:w="1775" w:type="dxa"/>
            <w:tcBorders/>
            <w:vAlign w:val="center"/>
          </w:tcPr>
          <w:p>
            <w:pPr>
              <w:pStyle w:val="TableContents"/>
              <w:bidi w:val="0"/>
              <w:spacing w:before="0" w:after="283"/>
              <w:jc w:val="center"/>
              <w:rPr>
                <w:b/>
              </w:rPr>
            </w:pPr>
            <w:r>
              <w:rPr>
                <w:b/>
              </w:rPr>
              <w:t>46-1777204</w:t>
            </w:r>
          </w:p>
        </w:tc>
      </w:tr>
      <w:tr>
        <w:trPr/>
        <w:tc>
          <w:tcPr>
            <w:tcW w:w="4054" w:type="dxa"/>
            <w:gridSpan w:val="6"/>
            <w:tcBorders/>
            <w:vAlign w:val="center"/>
          </w:tcPr>
          <w:p>
            <w:pPr>
              <w:pStyle w:val="TableContents"/>
              <w:bidi w:val="0"/>
              <w:spacing w:before="0" w:after="283"/>
              <w:jc w:val="center"/>
              <w:rPr/>
            </w:pPr>
            <w:r>
              <w:rPr/>
              <w:t>(State or other jurisdiction of incorporation</w:t>
              <w:br/>
              <w:t>of organization)</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811"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45" w:type="dxa"/>
            <w:tcBorders/>
            <w:vAlign w:val="center"/>
          </w:tcPr>
          <w:p>
            <w:pPr>
              <w:pStyle w:val="TableContents"/>
              <w:bidi w:val="0"/>
              <w:spacing w:before="0" w:after="283"/>
              <w:jc w:val="center"/>
              <w:rPr/>
            </w:pPr>
            <w:r>
              <w:rPr/>
              <w:t> </w:t>
            </w:r>
          </w:p>
        </w:tc>
        <w:tc>
          <w:tcPr>
            <w:tcW w:w="663"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r>
        <w:trPr/>
        <w:tc>
          <w:tcPr>
            <w:tcW w:w="4054" w:type="dxa"/>
            <w:gridSpan w:val="6"/>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 Carnegie Center, Suite 300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tc>
        <w:tc>
          <w:tcPr>
            <w:tcW w:w="1775" w:type="dxa"/>
            <w:tcBorders/>
            <w:vAlign w:val="center"/>
          </w:tcPr>
          <w:p>
            <w:pPr>
              <w:pStyle w:val="TableContents"/>
              <w:bidi w:val="0"/>
              <w:spacing w:before="0" w:after="283"/>
              <w:jc w:val="left"/>
              <w:rPr/>
            </w:pPr>
            <w:r>
              <w:rPr/>
              <w:t> </w:t>
            </w:r>
          </w:p>
        </w:tc>
      </w:tr>
      <w:tr>
        <w:trPr/>
        <w:tc>
          <w:tcPr>
            <w:tcW w:w="4054" w:type="dxa"/>
            <w:gridSpan w:val="6"/>
            <w:tcBorders/>
            <w:vAlign w:val="center"/>
          </w:tcPr>
          <w:p>
            <w:pPr>
              <w:pStyle w:val="TableContents"/>
              <w:bidi w:val="0"/>
              <w:spacing w:before="0" w:after="283"/>
              <w:jc w:val="center"/>
              <w:rPr/>
            </w:pPr>
            <w:r>
              <w:rPr/>
              <w:t>(Address of principal executive offices)</w:t>
            </w:r>
          </w:p>
        </w:tc>
        <w:tc>
          <w:tcPr>
            <w:tcW w:w="1775"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45" w:type="dxa"/>
            <w:tcBorders/>
            <w:vAlign w:val="center"/>
          </w:tcPr>
          <w:p>
            <w:pPr>
              <w:pStyle w:val="TableContents"/>
              <w:bidi w:val="0"/>
              <w:spacing w:before="0" w:after="283"/>
              <w:jc w:val="left"/>
              <w:rPr/>
            </w:pPr>
            <w:r>
              <w:rPr/>
              <w:t> </w:t>
            </w:r>
          </w:p>
        </w:tc>
        <w:tc>
          <w:tcPr>
            <w:tcW w:w="663"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the indenture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525" w:type="dxa"/>
        <w:jc w:val="left"/>
        <w:tblInd w:w="0" w:type="dxa"/>
        <w:tblLayout w:type="fixed"/>
        <w:tblCellMar>
          <w:top w:w="0" w:type="dxa"/>
          <w:left w:w="0" w:type="dxa"/>
          <w:bottom w:w="0" w:type="dxa"/>
          <w:right w:w="0" w:type="dxa"/>
        </w:tblCellMar>
      </w:tblPr>
      <w:tblGrid>
        <w:gridCol w:w="740"/>
        <w:gridCol w:w="290"/>
        <w:gridCol w:w="8495"/>
      </w:tblGrid>
      <w:tr>
        <w:trPr/>
        <w:tc>
          <w:tcPr>
            <w:tcW w:w="740" w:type="dxa"/>
            <w:tcBorders/>
            <w:vAlign w:val="center"/>
          </w:tcPr>
          <w:p>
            <w:pPr>
              <w:pStyle w:val="TableContents"/>
              <w:bidi w:val="0"/>
              <w:spacing w:before="0" w:after="283"/>
              <w:jc w:val="left"/>
              <w:rPr>
                <w:b/>
              </w:rPr>
            </w:pPr>
            <w:r>
              <w:rPr>
                <w:b/>
              </w:rPr>
              <w:t>Item 1.</w:t>
            </w:r>
          </w:p>
        </w:tc>
        <w:tc>
          <w:tcPr>
            <w:tcW w:w="8785" w:type="dxa"/>
            <w:gridSpan w:val="2"/>
            <w:tcBorders/>
            <w:vAlign w:val="center"/>
          </w:tcPr>
          <w:p>
            <w:pPr>
              <w:pStyle w:val="TableContents"/>
              <w:bidi w:val="0"/>
              <w:spacing w:before="0" w:after="283"/>
              <w:jc w:val="both"/>
              <w:rPr>
                <w:b/>
                <w:u w:val="single"/>
              </w:rPr>
            </w:pPr>
            <w:r>
              <w:rPr>
                <w:b/>
                <w:u w:val="single"/>
              </w:rPr>
              <w:t>General Information.</w:t>
            </w:r>
          </w:p>
        </w:tc>
      </w:tr>
      <w:tr>
        <w:trPr/>
        <w:tc>
          <w:tcPr>
            <w:tcW w:w="740" w:type="dxa"/>
            <w:tcBorders/>
            <w:vAlign w:val="center"/>
          </w:tcPr>
          <w:p>
            <w:pPr>
              <w:pStyle w:val="TableContents"/>
              <w:bidi w:val="0"/>
              <w:spacing w:before="0" w:after="283"/>
              <w:jc w:val="both"/>
              <w:rPr/>
            </w:pPr>
            <w:r>
              <w:rPr/>
              <w:t> </w:t>
            </w:r>
          </w:p>
        </w:tc>
        <w:tc>
          <w:tcPr>
            <w:tcW w:w="8785" w:type="dxa"/>
            <w:gridSpan w:val="2"/>
            <w:tcBorders/>
            <w:vAlign w:val="center"/>
          </w:tcPr>
          <w:p>
            <w:pPr>
              <w:pStyle w:val="TableContents"/>
              <w:bidi w:val="0"/>
              <w:spacing w:before="0" w:after="283"/>
              <w:jc w:val="both"/>
              <w:rPr>
                <w:b/>
              </w:rPr>
            </w:pPr>
            <w:r>
              <w:rPr>
                <w:b/>
              </w:rPr>
              <w:t>Furnish the following information as to the trustee:</w:t>
            </w:r>
          </w:p>
        </w:tc>
      </w:tr>
      <w:tr>
        <w:trPr/>
        <w:tc>
          <w:tcPr>
            <w:tcW w:w="74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pPr>
            <w:r>
              <w:rPr/>
              <w:t> </w:t>
            </w:r>
          </w:p>
        </w:tc>
        <w:tc>
          <w:tcPr>
            <w:tcW w:w="8495" w:type="dxa"/>
            <w:tcBorders/>
            <w:vAlign w:val="center"/>
          </w:tcPr>
          <w:p>
            <w:pPr>
              <w:pStyle w:val="TableContents"/>
              <w:bidi w:val="0"/>
              <w:spacing w:before="0" w:after="283"/>
              <w:jc w:val="both"/>
              <w:rPr/>
            </w:pPr>
            <w:r>
              <w:rPr/>
              <w:t> </w:t>
            </w:r>
          </w:p>
        </w:tc>
      </w:tr>
      <w:tr>
        <w:trPr/>
        <w:tc>
          <w:tcPr>
            <w:tcW w:w="740"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both"/>
              <w:rPr>
                <w:b/>
              </w:rPr>
            </w:pPr>
            <w:r>
              <w:rPr>
                <w:b/>
              </w:rPr>
              <w:t>(a)</w:t>
            </w:r>
          </w:p>
        </w:tc>
        <w:tc>
          <w:tcPr>
            <w:tcW w:w="8495" w:type="dxa"/>
            <w:tcBorders/>
            <w:vAlign w:val="center"/>
          </w:tcPr>
          <w:p>
            <w:pPr>
              <w:pStyle w:val="TableContents"/>
              <w:bidi w:val="0"/>
              <w:spacing w:before="0" w:after="283"/>
              <w:jc w:val="both"/>
              <w:rPr>
                <w:b/>
              </w:rPr>
            </w:pPr>
            <w:r>
              <w:rPr>
                <w:b/>
              </w:rPr>
              <w:t>Name and address of each examining or supervising authority to which it is subject.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75"/>
        <w:gridCol w:w="4055"/>
      </w:tblGrid>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Office of the State Banking Commissioner</w:t>
            </w:r>
          </w:p>
        </w:tc>
      </w:tr>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State of Delaware</w:t>
            </w:r>
          </w:p>
        </w:tc>
      </w:tr>
      <w:tr>
        <w:trPr/>
        <w:tc>
          <w:tcPr>
            <w:tcW w:w="75" w:type="dxa"/>
            <w:tcBorders/>
            <w:vAlign w:val="center"/>
          </w:tcPr>
          <w:p>
            <w:pPr>
              <w:pStyle w:val="TableContents"/>
              <w:bidi w:val="0"/>
              <w:spacing w:before="0" w:after="283"/>
              <w:jc w:val="both"/>
              <w:rPr/>
            </w:pPr>
            <w:r>
              <w:rPr/>
              <w:t> </w:t>
            </w:r>
          </w:p>
        </w:tc>
        <w:tc>
          <w:tcPr>
            <w:tcW w:w="4055" w:type="dxa"/>
            <w:tcBorders/>
            <w:vAlign w:val="center"/>
          </w:tcPr>
          <w:p>
            <w:pPr>
              <w:pStyle w:val="TableContents"/>
              <w:bidi w:val="0"/>
              <w:spacing w:before="0" w:after="283"/>
              <w:jc w:val="both"/>
              <w:rPr/>
            </w:pPr>
            <w:r>
              <w:rPr/>
              <w:t>555 East Loockerman Street </w:t>
              <w:br/>
              <w:t>Dover, DE  19901</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430" w:type="dxa"/>
        <w:jc w:val="left"/>
        <w:tblInd w:w="0" w:type="dxa"/>
        <w:tblLayout w:type="fixed"/>
        <w:tblCellMar>
          <w:top w:w="0" w:type="dxa"/>
          <w:left w:w="0" w:type="dxa"/>
          <w:bottom w:w="0" w:type="dxa"/>
          <w:right w:w="0" w:type="dxa"/>
        </w:tblCellMar>
      </w:tblPr>
      <w:tblGrid>
        <w:gridCol w:w="75"/>
        <w:gridCol w:w="305"/>
        <w:gridCol w:w="6050"/>
      </w:tblGrid>
      <w:tr>
        <w:trPr/>
        <w:tc>
          <w:tcPr>
            <w:tcW w:w="75" w:type="dxa"/>
            <w:tcBorders/>
            <w:vAlign w:val="center"/>
          </w:tcPr>
          <w:p>
            <w:pPr>
              <w:pStyle w:val="TableContents"/>
              <w:bidi w:val="0"/>
              <w:spacing w:before="0" w:after="283"/>
              <w:jc w:val="both"/>
              <w:rPr/>
            </w:pPr>
            <w:r>
              <w:rPr/>
              <w:t> </w:t>
            </w:r>
          </w:p>
        </w:tc>
        <w:tc>
          <w:tcPr>
            <w:tcW w:w="305" w:type="dxa"/>
            <w:tcBorders/>
            <w:vAlign w:val="center"/>
          </w:tcPr>
          <w:p>
            <w:pPr>
              <w:pStyle w:val="TableContents"/>
              <w:bidi w:val="0"/>
              <w:spacing w:before="0" w:after="283"/>
              <w:jc w:val="both"/>
              <w:rPr>
                <w:b/>
              </w:rPr>
            </w:pPr>
            <w:r>
              <w:rPr>
                <w:b/>
              </w:rPr>
              <w:t>(b)</w:t>
            </w:r>
          </w:p>
        </w:tc>
        <w:tc>
          <w:tcPr>
            <w:tcW w:w="6050" w:type="dxa"/>
            <w:tcBorders/>
            <w:vAlign w:val="center"/>
          </w:tcPr>
          <w:p>
            <w:pPr>
              <w:pStyle w:val="TableContents"/>
              <w:bidi w:val="0"/>
              <w:spacing w:before="0" w:after="283"/>
              <w:jc w:val="both"/>
              <w:rPr>
                <w:b/>
              </w:rPr>
            </w:pPr>
            <w:r>
              <w:rPr>
                <w:b/>
              </w:rPr>
              <w:t>Whether it is authorized to exercise corporate trust powers.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705" w:type="dxa"/>
        <w:jc w:val="left"/>
        <w:tblInd w:w="0" w:type="dxa"/>
        <w:tblLayout w:type="fixed"/>
        <w:tblCellMar>
          <w:top w:w="0" w:type="dxa"/>
          <w:left w:w="0" w:type="dxa"/>
          <w:bottom w:w="0" w:type="dxa"/>
          <w:right w:w="0" w:type="dxa"/>
        </w:tblCellMar>
      </w:tblPr>
      <w:tblGrid>
        <w:gridCol w:w="75"/>
        <w:gridCol w:w="5630"/>
      </w:tblGrid>
      <w:tr>
        <w:trPr/>
        <w:tc>
          <w:tcPr>
            <w:tcW w:w="75" w:type="dxa"/>
            <w:tcBorders/>
            <w:vAlign w:val="center"/>
          </w:tcPr>
          <w:p>
            <w:pPr>
              <w:pStyle w:val="TableContents"/>
              <w:bidi w:val="0"/>
              <w:spacing w:before="0" w:after="283"/>
              <w:jc w:val="both"/>
              <w:rPr/>
            </w:pPr>
            <w:r>
              <w:rPr/>
              <w:t> </w:t>
            </w:r>
          </w:p>
        </w:tc>
        <w:tc>
          <w:tcPr>
            <w:tcW w:w="5630" w:type="dxa"/>
            <w:tcBorders/>
            <w:vAlign w:val="center"/>
          </w:tcPr>
          <w:p>
            <w:pPr>
              <w:pStyle w:val="TableContents"/>
              <w:bidi w:val="0"/>
              <w:spacing w:before="0" w:after="283"/>
              <w:jc w:val="both"/>
              <w:rPr/>
            </w:pPr>
            <w:r>
              <w:rPr/>
              <w:t>The trustee is authorized to exercise corporate trust powers.</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6730" w:type="dxa"/>
        <w:jc w:val="left"/>
        <w:tblInd w:w="0" w:type="dxa"/>
        <w:tblLayout w:type="fixed"/>
        <w:tblCellMar>
          <w:top w:w="0" w:type="dxa"/>
          <w:left w:w="0" w:type="dxa"/>
          <w:bottom w:w="0" w:type="dxa"/>
          <w:right w:w="0" w:type="dxa"/>
        </w:tblCellMar>
      </w:tblPr>
      <w:tblGrid>
        <w:gridCol w:w="740"/>
        <w:gridCol w:w="5990"/>
      </w:tblGrid>
      <w:tr>
        <w:trPr/>
        <w:tc>
          <w:tcPr>
            <w:tcW w:w="740" w:type="dxa"/>
            <w:tcBorders/>
            <w:vAlign w:val="center"/>
          </w:tcPr>
          <w:p>
            <w:pPr>
              <w:pStyle w:val="TableContents"/>
              <w:bidi w:val="0"/>
              <w:spacing w:before="0" w:after="283"/>
              <w:jc w:val="both"/>
              <w:rPr>
                <w:b/>
              </w:rPr>
            </w:pPr>
            <w:r>
              <w:rPr>
                <w:b/>
              </w:rPr>
              <w:t>Item 2.</w:t>
            </w:r>
          </w:p>
        </w:tc>
        <w:tc>
          <w:tcPr>
            <w:tcW w:w="5990" w:type="dxa"/>
            <w:tcBorders/>
            <w:vAlign w:val="center"/>
          </w:tcPr>
          <w:p>
            <w:pPr>
              <w:pStyle w:val="TableContents"/>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Affiliations with Obligor.</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If the obligor is an affiliate of the trustee, describe each such affiliation.</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75"/>
        <w:gridCol w:w="3080"/>
      </w:tblGrid>
      <w:tr>
        <w:trPr/>
        <w:tc>
          <w:tcPr>
            <w:tcW w:w="7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pPr>
            <w:r>
              <w:rPr/>
              <w:t>None with respect to the trustee.</w:t>
            </w:r>
          </w:p>
        </w:tc>
      </w:tr>
      <w:tr>
        <w:trPr/>
        <w:tc>
          <w:tcPr>
            <w:tcW w:w="75" w:type="dxa"/>
            <w:tcBorders/>
            <w:vAlign w:val="center"/>
          </w:tcPr>
          <w:p>
            <w:pPr>
              <w:pStyle w:val="TableContents"/>
              <w:bidi w:val="0"/>
              <w:spacing w:before="0" w:after="283"/>
              <w:jc w:val="both"/>
              <w:rPr/>
            </w:pPr>
            <w:r>
              <w:rPr/>
              <w:t> </w:t>
            </w:r>
          </w:p>
        </w:tc>
        <w:tc>
          <w:tcPr>
            <w:tcW w:w="3080" w:type="dxa"/>
            <w:tcBorders/>
            <w:vAlign w:val="center"/>
          </w:tcPr>
          <w:p>
            <w:pPr>
              <w:pStyle w:val="TableContents"/>
              <w:bidi w:val="0"/>
              <w:spacing w:before="0" w:after="283"/>
              <w:jc w:val="both"/>
              <w:rPr/>
            </w:pPr>
            <w:r>
              <w:rPr/>
              <w:t> </w:t>
            </w:r>
          </w:p>
        </w:tc>
      </w:tr>
    </w:tbl>
    <w:tbl>
      <w:tblPr>
        <w:tblW w:w="10205" w:type="dxa"/>
        <w:jc w:val="left"/>
        <w:tblInd w:w="0" w:type="dxa"/>
        <w:tblLayout w:type="fixed"/>
        <w:tblCellMar>
          <w:top w:w="0" w:type="dxa"/>
          <w:left w:w="0" w:type="dxa"/>
          <w:bottom w:w="0" w:type="dxa"/>
          <w:right w:w="0" w:type="dxa"/>
        </w:tblCellMar>
      </w:tblPr>
      <w:tblGrid>
        <w:gridCol w:w="1091"/>
        <w:gridCol w:w="9114"/>
      </w:tblGrid>
      <w:tr>
        <w:trPr/>
        <w:tc>
          <w:tcPr>
            <w:tcW w:w="1091" w:type="dxa"/>
            <w:tcBorders/>
            <w:vAlign w:val="center"/>
          </w:tcPr>
          <w:p>
            <w:pPr>
              <w:pStyle w:val="TableContents"/>
              <w:bidi w:val="0"/>
              <w:spacing w:before="0" w:after="283"/>
              <w:jc w:val="both"/>
              <w:rPr/>
            </w:pPr>
            <w:r>
              <w:rPr>
                <w:b/>
              </w:rPr>
              <w:t>Items 3-14</w:t>
            </w:r>
            <w:r>
              <w:rPr/>
              <w:t>.</w:t>
            </w:r>
          </w:p>
        </w:tc>
        <w:tc>
          <w:tcPr>
            <w:tcW w:w="9114" w:type="dxa"/>
            <w:tcBorders/>
            <w:vAlign w:val="center"/>
          </w:tcPr>
          <w:p>
            <w:pPr>
              <w:pStyle w:val="TableContents"/>
              <w:bidi w:val="0"/>
              <w:spacing w:before="0" w:after="283"/>
              <w:jc w:val="both"/>
              <w:rPr/>
            </w:pPr>
            <w:r>
              <w:rPr/>
              <w:t>No responses are included for Items 3–14 because the obligor is not in default as provided under Item 13.</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b/>
              </w:rPr>
            </w:pPr>
            <w:r>
              <w:rPr>
                <w:b/>
              </w:rPr>
              <w:t>Item 15.</w:t>
            </w:r>
          </w:p>
        </w:tc>
        <w:tc>
          <w:tcPr>
            <w:tcW w:w="9114" w:type="dxa"/>
            <w:tcBorders/>
            <w:vAlign w:val="center"/>
          </w:tcPr>
          <w:p>
            <w:pPr>
              <w:pStyle w:val="TableContents"/>
              <w:bidi w:val="0"/>
              <w:spacing w:before="0" w:after="283"/>
              <w:jc w:val="both"/>
              <w:rPr>
                <w:b/>
                <w:u w:val="single"/>
              </w:rPr>
            </w:pPr>
            <w:r>
              <w:rPr>
                <w:b/>
                <w:u w:val="single"/>
              </w:rPr>
              <w:t>Foreign Trustee.</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Not applicable.</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b/>
              </w:rPr>
            </w:pPr>
            <w:r>
              <w:rPr>
                <w:b/>
              </w:rPr>
              <w:t>Item 16.</w:t>
            </w:r>
          </w:p>
        </w:tc>
        <w:tc>
          <w:tcPr>
            <w:tcW w:w="9114" w:type="dxa"/>
            <w:tcBorders/>
            <w:vAlign w:val="center"/>
          </w:tcPr>
          <w:p>
            <w:pPr>
              <w:pStyle w:val="TableContents"/>
              <w:bidi w:val="0"/>
              <w:spacing w:before="0" w:after="283"/>
              <w:jc w:val="both"/>
              <w:rPr>
                <w:b/>
              </w:rPr>
            </w:pPr>
            <w:r>
              <w:rPr>
                <w:b/>
              </w:rPr>
              <w:t>List of Exhibits</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 </w:t>
            </w:r>
          </w:p>
        </w:tc>
      </w:tr>
      <w:tr>
        <w:trPr/>
        <w:tc>
          <w:tcPr>
            <w:tcW w:w="1091" w:type="dxa"/>
            <w:tcBorders/>
            <w:vAlign w:val="center"/>
          </w:tcPr>
          <w:p>
            <w:pPr>
              <w:pStyle w:val="TableContents"/>
              <w:bidi w:val="0"/>
              <w:spacing w:before="0" w:after="283"/>
              <w:jc w:val="both"/>
              <w:rPr/>
            </w:pPr>
            <w:r>
              <w:rPr/>
              <w:t> </w:t>
            </w:r>
          </w:p>
        </w:tc>
        <w:tc>
          <w:tcPr>
            <w:tcW w:w="9114" w:type="dxa"/>
            <w:tcBorders/>
            <w:vAlign w:val="center"/>
          </w:tcPr>
          <w:p>
            <w:pPr>
              <w:pStyle w:val="TableContents"/>
              <w:bidi w:val="0"/>
              <w:spacing w:before="0" w:after="283"/>
              <w:jc w:val="both"/>
              <w:rPr/>
            </w:pPr>
            <w:r>
              <w:rPr/>
              <w:t>List below all exhibits filed as a part of this Statement of Eligibility.</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55"/>
        <w:gridCol w:w="9250"/>
      </w:tblGrid>
      <w:tr>
        <w:trPr/>
        <w:tc>
          <w:tcPr>
            <w:tcW w:w="955" w:type="dxa"/>
            <w:tcBorders/>
            <w:vAlign w:val="center"/>
          </w:tcPr>
          <w:p>
            <w:pPr>
              <w:pStyle w:val="TableContents"/>
              <w:bidi w:val="0"/>
              <w:spacing w:before="0" w:after="283"/>
              <w:jc w:val="both"/>
              <w:rPr/>
            </w:pPr>
            <w:r>
              <w:rPr/>
              <w:t>Exhibit 1.</w:t>
            </w:r>
          </w:p>
        </w:tc>
        <w:tc>
          <w:tcPr>
            <w:tcW w:w="9250" w:type="dxa"/>
            <w:tcBorders/>
            <w:vAlign w:val="center"/>
          </w:tcPr>
          <w:p>
            <w:pPr>
              <w:pStyle w:val="TableContents"/>
              <w:bidi w:val="0"/>
              <w:spacing w:before="0" w:after="283"/>
              <w:jc w:val="both"/>
              <w:rPr/>
            </w:pPr>
            <w:r>
              <w:rPr/>
              <w:t>A copy of the Articles of Association of the trustee now in effect as contained in the Certificate of Incorporation. *</w:t>
            </w:r>
          </w:p>
        </w:tc>
      </w:tr>
      <w:tr>
        <w:trPr/>
        <w:tc>
          <w:tcPr>
            <w:tcW w:w="955" w:type="dxa"/>
            <w:tcBorders/>
            <w:vAlign w:val="center"/>
          </w:tcPr>
          <w:p>
            <w:pPr>
              <w:pStyle w:val="TableContents"/>
              <w:bidi w:val="0"/>
              <w:spacing w:before="0" w:after="283"/>
              <w:jc w:val="both"/>
              <w:rPr/>
            </w:pPr>
            <w:r>
              <w:rPr/>
              <w:t> </w:t>
            </w:r>
          </w:p>
        </w:tc>
        <w:tc>
          <w:tcPr>
            <w:tcW w:w="925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Exhibit 2.</w:t>
            </w:r>
          </w:p>
        </w:tc>
        <w:tc>
          <w:tcPr>
            <w:tcW w:w="9250" w:type="dxa"/>
            <w:tcBorders/>
            <w:vAlign w:val="center"/>
          </w:tcPr>
          <w:p>
            <w:pPr>
              <w:pStyle w:val="TableContents"/>
              <w:bidi w:val="0"/>
              <w:spacing w:before="0" w:after="283"/>
              <w:jc w:val="both"/>
              <w:rPr/>
            </w:pPr>
            <w:r>
              <w:rPr/>
              <w:t>A copy of the Certificate of Incorporation. *</w:t>
            </w:r>
          </w:p>
        </w:tc>
      </w:tr>
      <w:tr>
        <w:trPr/>
        <w:tc>
          <w:tcPr>
            <w:tcW w:w="955" w:type="dxa"/>
            <w:tcBorders/>
            <w:vAlign w:val="center"/>
          </w:tcPr>
          <w:p>
            <w:pPr>
              <w:pStyle w:val="TableContents"/>
              <w:bidi w:val="0"/>
              <w:spacing w:before="0" w:after="283"/>
              <w:jc w:val="both"/>
              <w:rPr/>
            </w:pPr>
            <w:r>
              <w:rPr/>
              <w:t> </w:t>
            </w:r>
          </w:p>
        </w:tc>
        <w:tc>
          <w:tcPr>
            <w:tcW w:w="9250" w:type="dxa"/>
            <w:tcBorders/>
            <w:vAlign w:val="center"/>
          </w:tcPr>
          <w:p>
            <w:pPr>
              <w:pStyle w:val="TableContents"/>
              <w:bidi w:val="0"/>
              <w:spacing w:before="0" w:after="283"/>
              <w:jc w:val="both"/>
              <w:rPr/>
            </w:pPr>
            <w:r>
              <w:rPr/>
              <w:t> </w:t>
            </w:r>
          </w:p>
        </w:tc>
      </w:tr>
      <w:tr>
        <w:trPr/>
        <w:tc>
          <w:tcPr>
            <w:tcW w:w="955" w:type="dxa"/>
            <w:tcBorders/>
            <w:vAlign w:val="center"/>
          </w:tcPr>
          <w:p>
            <w:pPr>
              <w:pStyle w:val="TableContents"/>
              <w:bidi w:val="0"/>
              <w:spacing w:before="0" w:after="283"/>
              <w:jc w:val="both"/>
              <w:rPr/>
            </w:pPr>
            <w:r>
              <w:rPr/>
              <w:t>Exhibit 3.</w:t>
            </w:r>
          </w:p>
        </w:tc>
        <w:tc>
          <w:tcPr>
            <w:tcW w:w="9250" w:type="dxa"/>
            <w:tcBorders/>
            <w:vAlign w:val="center"/>
          </w:tcPr>
          <w:p>
            <w:pPr>
              <w:pStyle w:val="TableContents"/>
              <w:bidi w:val="0"/>
              <w:spacing w:before="0" w:after="283"/>
              <w:jc w:val="both"/>
              <w:rPr/>
            </w:pPr>
            <w:r>
              <w:rPr/>
              <w:t>See Exhibit 2.</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5845" w:type="dxa"/>
        <w:jc w:val="left"/>
        <w:tblInd w:w="0" w:type="dxa"/>
        <w:tblLayout w:type="fixed"/>
        <w:tblCellMar>
          <w:top w:w="0" w:type="dxa"/>
          <w:left w:w="0" w:type="dxa"/>
          <w:bottom w:w="0" w:type="dxa"/>
          <w:right w:w="0" w:type="dxa"/>
        </w:tblCellMar>
      </w:tblPr>
      <w:tblGrid>
        <w:gridCol w:w="965"/>
        <w:gridCol w:w="4880"/>
      </w:tblGrid>
      <w:tr>
        <w:trPr/>
        <w:tc>
          <w:tcPr>
            <w:tcW w:w="965" w:type="dxa"/>
            <w:tcBorders/>
            <w:vAlign w:val="center"/>
          </w:tcPr>
          <w:p>
            <w:pPr>
              <w:pStyle w:val="TableContents"/>
              <w:bidi w:val="0"/>
              <w:spacing w:before="0" w:after="283"/>
              <w:jc w:val="both"/>
              <w:rPr/>
            </w:pPr>
            <w:r>
              <w:rPr/>
              <w:t>Exhibit 4.</w:t>
            </w:r>
          </w:p>
        </w:tc>
        <w:tc>
          <w:tcPr>
            <w:tcW w:w="4880" w:type="dxa"/>
            <w:tcBorders/>
            <w:vAlign w:val="center"/>
          </w:tcPr>
          <w:p>
            <w:pPr>
              <w:pStyle w:val="TableContents"/>
              <w:bidi w:val="0"/>
              <w:spacing w:before="0" w:after="283"/>
              <w:jc w:val="both"/>
              <w:rPr/>
            </w:pPr>
            <w:r>
              <w:rPr/>
              <w:t>A copy of by-laws of the trustee as now in effect. *</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5.</w:t>
            </w:r>
          </w:p>
        </w:tc>
        <w:tc>
          <w:tcPr>
            <w:tcW w:w="1475" w:type="dxa"/>
            <w:tcBorders/>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7090" w:type="dxa"/>
        <w:jc w:val="left"/>
        <w:tblInd w:w="0" w:type="dxa"/>
        <w:tblLayout w:type="fixed"/>
        <w:tblCellMar>
          <w:top w:w="0" w:type="dxa"/>
          <w:left w:w="0" w:type="dxa"/>
          <w:bottom w:w="0" w:type="dxa"/>
          <w:right w:w="0" w:type="dxa"/>
        </w:tblCellMar>
      </w:tblPr>
      <w:tblGrid>
        <w:gridCol w:w="965"/>
        <w:gridCol w:w="6125"/>
      </w:tblGrid>
      <w:tr>
        <w:trPr/>
        <w:tc>
          <w:tcPr>
            <w:tcW w:w="965" w:type="dxa"/>
            <w:tcBorders/>
            <w:vAlign w:val="center"/>
          </w:tcPr>
          <w:p>
            <w:pPr>
              <w:pStyle w:val="TableContents"/>
              <w:bidi w:val="0"/>
              <w:spacing w:before="0" w:after="283"/>
              <w:jc w:val="both"/>
              <w:rPr/>
            </w:pPr>
            <w:r>
              <w:rPr/>
              <w:t>Exhibit 6.</w:t>
            </w:r>
          </w:p>
        </w:tc>
        <w:tc>
          <w:tcPr>
            <w:tcW w:w="6125" w:type="dxa"/>
            <w:tcBorders/>
            <w:vAlign w:val="center"/>
          </w:tcPr>
          <w:p>
            <w:pPr>
              <w:pStyle w:val="TableContents"/>
              <w:bidi w:val="0"/>
              <w:spacing w:before="0" w:after="283"/>
              <w:jc w:val="both"/>
              <w:rPr/>
            </w:pPr>
            <w:r>
              <w:rPr/>
              <w:t>The consent of the trustee required by Section 321(b) of the Act.</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45"/>
        <w:gridCol w:w="9260"/>
      </w:tblGrid>
      <w:tr>
        <w:trPr/>
        <w:tc>
          <w:tcPr>
            <w:tcW w:w="945" w:type="dxa"/>
            <w:tcBorders/>
            <w:vAlign w:val="center"/>
          </w:tcPr>
          <w:p>
            <w:pPr>
              <w:pStyle w:val="TableContents"/>
              <w:bidi w:val="0"/>
              <w:spacing w:before="0" w:after="283"/>
              <w:jc w:val="both"/>
              <w:rPr/>
            </w:pPr>
            <w:r>
              <w:rPr/>
              <w:t>Exhibit 7.</w:t>
            </w:r>
          </w:p>
        </w:tc>
        <w:tc>
          <w:tcPr>
            <w:tcW w:w="9260" w:type="dxa"/>
            <w:tcBorders/>
            <w:vAlign w:val="center"/>
          </w:tcPr>
          <w:p>
            <w:pPr>
              <w:pStyle w:val="TableContents"/>
              <w:bidi w:val="0"/>
              <w:spacing w:before="0" w:after="283"/>
              <w:jc w:val="both"/>
              <w:rPr/>
            </w:pPr>
            <w:r>
              <w:rPr/>
              <w:t>A copy of the latest report of condition of the trustee published pursuant to law or the requirements of its supervising or examining authority.</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8.</w:t>
            </w:r>
          </w:p>
        </w:tc>
        <w:tc>
          <w:tcPr>
            <w:tcW w:w="1475" w:type="dxa"/>
            <w:tcBorders/>
            <w:vAlign w:val="center"/>
          </w:tcPr>
          <w:p>
            <w:pPr>
              <w:pStyle w:val="TableContents"/>
              <w:bidi w:val="0"/>
              <w:spacing w:before="0" w:after="283"/>
              <w:jc w:val="both"/>
              <w:rPr/>
            </w:pPr>
            <w:r>
              <w:rPr/>
              <w:t>Not applicable.</w:t>
            </w:r>
          </w:p>
        </w:tc>
      </w:tr>
    </w:tbl>
    <w:p>
      <w:pPr>
        <w:pStyle w:val="TextBody"/>
        <w:shd w:fill="FFFFFF" w:val="clear"/>
        <w:bidi w:val="0"/>
        <w:spacing w:before="0" w:after="0"/>
        <w:ind w:left="0" w:right="0" w:hanging="0"/>
        <w:jc w:val="both"/>
        <w:rPr>
          <w:caps w:val="false"/>
          <w:smallCaps w:val="false"/>
        </w:rPr>
      </w:pPr>
      <w:r>
        <w:rPr>
          <w:caps w:val="false"/>
          <w:smallCaps w:val="false"/>
        </w:rPr>
        <w:t> </w:t>
      </w:r>
    </w:p>
    <w:tbl>
      <w:tblPr>
        <w:tblW w:w="2440" w:type="dxa"/>
        <w:jc w:val="left"/>
        <w:tblInd w:w="0" w:type="dxa"/>
        <w:tblLayout w:type="fixed"/>
        <w:tblCellMar>
          <w:top w:w="0" w:type="dxa"/>
          <w:left w:w="0" w:type="dxa"/>
          <w:bottom w:w="0" w:type="dxa"/>
          <w:right w:w="0" w:type="dxa"/>
        </w:tblCellMar>
      </w:tblPr>
      <w:tblGrid>
        <w:gridCol w:w="965"/>
        <w:gridCol w:w="1475"/>
      </w:tblGrid>
      <w:tr>
        <w:trPr/>
        <w:tc>
          <w:tcPr>
            <w:tcW w:w="965" w:type="dxa"/>
            <w:tcBorders/>
            <w:vAlign w:val="center"/>
          </w:tcPr>
          <w:p>
            <w:pPr>
              <w:pStyle w:val="TableContents"/>
              <w:bidi w:val="0"/>
              <w:spacing w:before="0" w:after="283"/>
              <w:jc w:val="both"/>
              <w:rPr/>
            </w:pPr>
            <w:r>
              <w:rPr/>
              <w:t>Exhibit 9.</w:t>
            </w:r>
          </w:p>
        </w:tc>
        <w:tc>
          <w:tcPr>
            <w:tcW w:w="1475" w:type="dxa"/>
            <w:tcBorders/>
            <w:vAlign w:val="center"/>
          </w:tcPr>
          <w:p>
            <w:pPr>
              <w:pStyle w:val="TableContents"/>
              <w:bidi w:val="0"/>
              <w:spacing w:before="0" w:after="283"/>
              <w:jc w:val="both"/>
              <w:rPr/>
            </w:pPr>
            <w:r>
              <w:rPr/>
              <w:t>Not applicable.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Incorporated by reference to Exhibit 25.1 to the registration statement on S-1, Registration Number 333-225797 filed on June 21, 2018.</w:t>
      </w:r>
    </w:p>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Trust Indenture Act of 1939, as amended, the trustee, Delaware Trust Company, a non-depository trust company and corporation duly organized and existing under the laws of Delaware, has duly caused this statement of eligibility to be signed on its behalf by the undersigned, thereunto duly authorized, all in the City of Wilmington and State of Delaware on the 8th Day of August 2023.</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91"/>
        <w:gridCol w:w="2753"/>
        <w:gridCol w:w="75"/>
      </w:tblGrid>
      <w:tr>
        <w:trPr/>
        <w:tc>
          <w:tcPr>
            <w:tcW w:w="3544" w:type="dxa"/>
            <w:gridSpan w:val="2"/>
            <w:tcBorders/>
            <w:vAlign w:val="center"/>
          </w:tcPr>
          <w:p>
            <w:pPr>
              <w:pStyle w:val="TableContents"/>
              <w:bidi w:val="0"/>
              <w:spacing w:before="0" w:after="283"/>
              <w:jc w:val="left"/>
              <w:rPr/>
            </w:pPr>
            <w:r>
              <w:rPr/>
              <w:t>DELAWARE TRUST COMPANY</w:t>
            </w:r>
          </w:p>
        </w:tc>
        <w:tc>
          <w:tcPr>
            <w:tcW w:w="75" w:type="dxa"/>
            <w:tcBorders/>
            <w:vAlign w:val="center"/>
          </w:tcPr>
          <w:p>
            <w:pPr>
              <w:pStyle w:val="TableContents"/>
              <w:bidi w:val="0"/>
              <w:spacing w:before="0" w:after="283"/>
              <w:jc w:val="both"/>
              <w:rPr/>
            </w:pPr>
            <w:r>
              <w:rPr/>
              <w:t> </w:t>
            </w:r>
          </w:p>
        </w:tc>
      </w:tr>
      <w:tr>
        <w:trPr/>
        <w:tc>
          <w:tcPr>
            <w:tcW w:w="35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44" w:type="dxa"/>
            <w:gridSpan w:val="2"/>
            <w:tcBorders>
              <w:bottom w:val="single" w:sz="8" w:space="0" w:color="000000"/>
            </w:tcBorders>
            <w:tcMar>
              <w:bottom w:w="28" w:type="dxa"/>
            </w:tcMar>
            <w:vAlign w:val="center"/>
          </w:tcPr>
          <w:p>
            <w:pPr>
              <w:pStyle w:val="TableContents"/>
              <w:bidi w:val="0"/>
              <w:spacing w:before="0" w:after="283"/>
              <w:jc w:val="left"/>
              <w:rPr/>
            </w:pPr>
            <w:r>
              <w:rPr/>
              <w:t>/s/Lici Zhu</w:t>
            </w:r>
          </w:p>
        </w:tc>
        <w:tc>
          <w:tcPr>
            <w:tcW w:w="75" w:type="dxa"/>
            <w:tcBorders/>
            <w:vAlign w:val="center"/>
          </w:tcPr>
          <w:p>
            <w:pPr>
              <w:pStyle w:val="TableContents"/>
              <w:bidi w:val="0"/>
              <w:spacing w:before="0" w:after="283"/>
              <w:jc w:val="both"/>
              <w:rPr/>
            </w:pPr>
            <w:r>
              <w:rPr/>
              <w:t> </w:t>
            </w:r>
          </w:p>
        </w:tc>
      </w:tr>
      <w:tr>
        <w:trPr/>
        <w:tc>
          <w:tcPr>
            <w:tcW w:w="791" w:type="dxa"/>
            <w:tcBorders/>
            <w:vAlign w:val="center"/>
          </w:tcPr>
          <w:p>
            <w:pPr>
              <w:pStyle w:val="TableContents"/>
              <w:bidi w:val="0"/>
              <w:spacing w:before="0" w:after="283"/>
              <w:jc w:val="left"/>
              <w:rPr/>
            </w:pPr>
            <w:r>
              <w:rPr/>
              <w:t>Name:</w:t>
            </w:r>
          </w:p>
        </w:tc>
        <w:tc>
          <w:tcPr>
            <w:tcW w:w="2753" w:type="dxa"/>
            <w:tcBorders/>
            <w:vAlign w:val="center"/>
          </w:tcPr>
          <w:p>
            <w:pPr>
              <w:pStyle w:val="TableContents"/>
              <w:bidi w:val="0"/>
              <w:spacing w:before="0" w:after="283"/>
              <w:jc w:val="left"/>
              <w:rPr/>
            </w:pPr>
            <w:r>
              <w:rPr/>
              <w:t>Lici Zhu</w:t>
            </w:r>
          </w:p>
        </w:tc>
        <w:tc>
          <w:tcPr>
            <w:tcW w:w="75" w:type="dxa"/>
            <w:tcBorders/>
            <w:vAlign w:val="center"/>
          </w:tcPr>
          <w:p>
            <w:pPr>
              <w:pStyle w:val="TableContents"/>
              <w:bidi w:val="0"/>
              <w:spacing w:before="0" w:after="283"/>
              <w:jc w:val="both"/>
              <w:rPr/>
            </w:pPr>
            <w:r>
              <w:rPr/>
              <w:t> </w:t>
            </w:r>
          </w:p>
        </w:tc>
      </w:tr>
      <w:tr>
        <w:trPr/>
        <w:tc>
          <w:tcPr>
            <w:tcW w:w="791" w:type="dxa"/>
            <w:tcBorders/>
            <w:vAlign w:val="center"/>
          </w:tcPr>
          <w:p>
            <w:pPr>
              <w:pStyle w:val="TableContents"/>
              <w:bidi w:val="0"/>
              <w:spacing w:before="0" w:after="283"/>
              <w:jc w:val="left"/>
              <w:rPr/>
            </w:pPr>
            <w:r>
              <w:rPr/>
              <w:t>Title:</w:t>
            </w:r>
          </w:p>
        </w:tc>
        <w:tc>
          <w:tcPr>
            <w:tcW w:w="2753" w:type="dxa"/>
            <w:tcBorders/>
            <w:vAlign w:val="center"/>
          </w:tcPr>
          <w:p>
            <w:pPr>
              <w:pStyle w:val="TableContents"/>
              <w:bidi w:val="0"/>
              <w:spacing w:before="0" w:after="283"/>
              <w:jc w:val="left"/>
              <w:rPr/>
            </w:pPr>
            <w:r>
              <w:rPr/>
              <w:t>Assistant Vice President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6</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August 8, 2023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Gentlemen: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p>
      <w:pPr>
        <w:pStyle w:val="TextBody"/>
        <w:bidi w:val="0"/>
        <w:spacing w:before="0" w:after="0"/>
        <w:ind w:left="0" w:right="0" w:hanging="0"/>
        <w:jc w:val="left"/>
        <w:rPr>
          <w:caps w:val="false"/>
          <w:smallCaps w:val="false"/>
        </w:rPr>
      </w:pPr>
      <w:r>
        <w:rPr>
          <w:caps w:val="false"/>
          <w:smallCaps w:val="false"/>
        </w:rPr>
        <w:t> </w:t>
      </w:r>
    </w:p>
    <w:tbl>
      <w:tblPr>
        <w:tblW w:w="3619" w:type="dxa"/>
        <w:jc w:val="left"/>
        <w:tblInd w:w="0" w:type="dxa"/>
        <w:tblLayout w:type="fixed"/>
        <w:tblCellMar>
          <w:top w:w="0" w:type="dxa"/>
          <w:left w:w="0" w:type="dxa"/>
          <w:bottom w:w="0" w:type="dxa"/>
          <w:right w:w="0" w:type="dxa"/>
        </w:tblCellMar>
      </w:tblPr>
      <w:tblGrid>
        <w:gridCol w:w="791"/>
        <w:gridCol w:w="2753"/>
        <w:gridCol w:w="75"/>
      </w:tblGrid>
      <w:tr>
        <w:trPr/>
        <w:tc>
          <w:tcPr>
            <w:tcW w:w="3544" w:type="dxa"/>
            <w:gridSpan w:val="2"/>
            <w:tcBorders/>
            <w:vAlign w:val="center"/>
          </w:tcPr>
          <w:p>
            <w:pPr>
              <w:pStyle w:val="TableContents"/>
              <w:bidi w:val="0"/>
              <w:spacing w:before="0" w:after="283"/>
              <w:jc w:val="left"/>
              <w:rPr/>
            </w:pPr>
            <w:r>
              <w:rPr/>
              <w:t>DELAWARE TRUST COMPANY</w:t>
            </w:r>
          </w:p>
        </w:tc>
        <w:tc>
          <w:tcPr>
            <w:tcW w:w="75" w:type="dxa"/>
            <w:tcBorders/>
            <w:vAlign w:val="center"/>
          </w:tcPr>
          <w:p>
            <w:pPr>
              <w:pStyle w:val="TableContents"/>
              <w:bidi w:val="0"/>
              <w:spacing w:before="0" w:after="283"/>
              <w:jc w:val="both"/>
              <w:rPr/>
            </w:pPr>
            <w:r>
              <w:rPr/>
              <w:t> </w:t>
            </w:r>
          </w:p>
        </w:tc>
      </w:tr>
      <w:tr>
        <w:trPr/>
        <w:tc>
          <w:tcPr>
            <w:tcW w:w="354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both"/>
              <w:rPr/>
            </w:pPr>
            <w:r>
              <w:rPr/>
              <w:t> </w:t>
            </w:r>
          </w:p>
        </w:tc>
      </w:tr>
      <w:tr>
        <w:trPr/>
        <w:tc>
          <w:tcPr>
            <w:tcW w:w="3544" w:type="dxa"/>
            <w:gridSpan w:val="2"/>
            <w:tcBorders>
              <w:bottom w:val="single" w:sz="8" w:space="0" w:color="000000"/>
            </w:tcBorders>
            <w:tcMar>
              <w:bottom w:w="28" w:type="dxa"/>
            </w:tcMar>
            <w:vAlign w:val="center"/>
          </w:tcPr>
          <w:p>
            <w:pPr>
              <w:pStyle w:val="TableContents"/>
              <w:bidi w:val="0"/>
              <w:spacing w:before="0" w:after="283"/>
              <w:jc w:val="left"/>
              <w:rPr/>
            </w:pPr>
            <w:r>
              <w:rPr/>
              <w:t>/s/Lici Zhu</w:t>
            </w:r>
          </w:p>
        </w:tc>
        <w:tc>
          <w:tcPr>
            <w:tcW w:w="75" w:type="dxa"/>
            <w:tcBorders/>
            <w:vAlign w:val="center"/>
          </w:tcPr>
          <w:p>
            <w:pPr>
              <w:pStyle w:val="TableContents"/>
              <w:bidi w:val="0"/>
              <w:spacing w:before="0" w:after="283"/>
              <w:jc w:val="both"/>
              <w:rPr/>
            </w:pPr>
            <w:r>
              <w:rPr/>
              <w:t> </w:t>
            </w:r>
          </w:p>
        </w:tc>
      </w:tr>
      <w:tr>
        <w:trPr/>
        <w:tc>
          <w:tcPr>
            <w:tcW w:w="791" w:type="dxa"/>
            <w:tcBorders/>
            <w:vAlign w:val="center"/>
          </w:tcPr>
          <w:p>
            <w:pPr>
              <w:pStyle w:val="TableContents"/>
              <w:bidi w:val="0"/>
              <w:spacing w:before="0" w:after="283"/>
              <w:jc w:val="left"/>
              <w:rPr/>
            </w:pPr>
            <w:r>
              <w:rPr/>
              <w:t>Name:</w:t>
            </w:r>
          </w:p>
        </w:tc>
        <w:tc>
          <w:tcPr>
            <w:tcW w:w="2753" w:type="dxa"/>
            <w:tcBorders/>
            <w:vAlign w:val="center"/>
          </w:tcPr>
          <w:p>
            <w:pPr>
              <w:pStyle w:val="TableContents"/>
              <w:bidi w:val="0"/>
              <w:spacing w:before="0" w:after="283"/>
              <w:jc w:val="left"/>
              <w:rPr/>
            </w:pPr>
            <w:r>
              <w:rPr/>
              <w:t>Lici Zhu</w:t>
            </w:r>
          </w:p>
        </w:tc>
        <w:tc>
          <w:tcPr>
            <w:tcW w:w="75" w:type="dxa"/>
            <w:tcBorders/>
            <w:vAlign w:val="center"/>
          </w:tcPr>
          <w:p>
            <w:pPr>
              <w:pStyle w:val="TableContents"/>
              <w:bidi w:val="0"/>
              <w:spacing w:before="0" w:after="283"/>
              <w:jc w:val="both"/>
              <w:rPr/>
            </w:pPr>
            <w:r>
              <w:rPr/>
              <w:t> </w:t>
            </w:r>
          </w:p>
        </w:tc>
      </w:tr>
      <w:tr>
        <w:trPr/>
        <w:tc>
          <w:tcPr>
            <w:tcW w:w="791" w:type="dxa"/>
            <w:tcBorders/>
            <w:vAlign w:val="center"/>
          </w:tcPr>
          <w:p>
            <w:pPr>
              <w:pStyle w:val="TableContents"/>
              <w:bidi w:val="0"/>
              <w:spacing w:before="0" w:after="283"/>
              <w:jc w:val="left"/>
              <w:rPr/>
            </w:pPr>
            <w:r>
              <w:rPr/>
              <w:t>Title:</w:t>
            </w:r>
          </w:p>
        </w:tc>
        <w:tc>
          <w:tcPr>
            <w:tcW w:w="2753" w:type="dxa"/>
            <w:tcBorders/>
            <w:vAlign w:val="center"/>
          </w:tcPr>
          <w:p>
            <w:pPr>
              <w:pStyle w:val="TableContents"/>
              <w:bidi w:val="0"/>
              <w:spacing w:before="0" w:after="283"/>
              <w:jc w:val="left"/>
              <w:rPr/>
            </w:pPr>
            <w:r>
              <w:rPr/>
              <w:t>Assistant Vice President</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of Condition of</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Trust Company</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251 Little Falls Drive, Wilmington, Delaware 19808</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close of business March 31, 2023, filed in accordance with 5 Del. Laws, c.9, §904</w:t>
      </w:r>
    </w:p>
    <w:p>
      <w:pPr>
        <w:pStyle w:val="TextBody"/>
        <w:bidi w:val="0"/>
        <w:spacing w:before="0" w:after="0"/>
        <w:ind w:left="0" w:right="0" w:hanging="0"/>
        <w:jc w:val="left"/>
        <w:rPr>
          <w:caps w:val="false"/>
          <w:smallCaps w:val="false"/>
        </w:rPr>
      </w:pPr>
      <w:r>
        <w:rPr>
          <w:caps w:val="false"/>
          <w:smallCaps w:val="false"/>
        </w:rPr>
        <w:t> </w:t>
      </w:r>
    </w:p>
    <w:tbl>
      <w:tblPr>
        <w:tblW w:w="7209" w:type="dxa"/>
        <w:jc w:val="left"/>
        <w:tblInd w:w="0" w:type="dxa"/>
        <w:tblLayout w:type="fixed"/>
        <w:tblCellMar>
          <w:top w:w="0" w:type="dxa"/>
          <w:left w:w="0" w:type="dxa"/>
          <w:bottom w:w="0" w:type="dxa"/>
          <w:right w:w="0" w:type="dxa"/>
        </w:tblCellMar>
      </w:tblPr>
      <w:tblGrid>
        <w:gridCol w:w="5765"/>
        <w:gridCol w:w="60"/>
        <w:gridCol w:w="104"/>
        <w:gridCol w:w="1205"/>
        <w:gridCol w:w="75"/>
      </w:tblGrid>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57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Cash and balances due from depository institutions: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Noninterest-bearing balances and currency and coin</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Interest-bearing balances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6,782</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Securities: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Held-to-maturity securities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Available-for-sale securities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Federal funds sold and 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Federal funds sold in domestic offices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Securities purchased under agreements to resell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 financing receivables: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Loans and leases held for sale</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leases, net of unearned income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LESS: Allowance for loan and lease losses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Loans and leases, net of unearned income and allowance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0</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Trading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Premises and fixed assets (including capitalized leases)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191</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Other real estate owned</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Investments in unconsolidated subsidiaries and associated companies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Direct and indirect investments in real estate ventures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Goodwill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sz w:val="20"/>
              </w:rPr>
            </w:pPr>
            <w:r>
              <w:rPr>
                <w:sz w:val="20"/>
              </w:rPr>
              <w:t>Other intangible assets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1,121</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Other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110,816</w:t>
            </w:r>
          </w:p>
        </w:tc>
        <w:tc>
          <w:tcPr>
            <w:tcW w:w="75" w:type="dxa"/>
            <w:tcBorders/>
            <w:shd w:fill="FFFFFF" w:val="clear"/>
            <w:vAlign w:val="center"/>
          </w:tcPr>
          <w:p>
            <w:pPr>
              <w:pStyle w:val="TableContents"/>
              <w:bidi w:val="0"/>
              <w:spacing w:before="0" w:after="283"/>
              <w:jc w:val="left"/>
              <w:rPr/>
            </w:pPr>
            <w:r>
              <w:rPr/>
              <w:t> </w:t>
            </w:r>
          </w:p>
        </w:tc>
      </w:tr>
      <w:tr>
        <w:trPr/>
        <w:tc>
          <w:tcPr>
            <w:tcW w:w="57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65"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118,910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7644" w:type="dxa"/>
        <w:jc w:val="left"/>
        <w:tblInd w:w="0" w:type="dxa"/>
        <w:tblLayout w:type="fixed"/>
        <w:tblCellMar>
          <w:top w:w="0" w:type="dxa"/>
          <w:left w:w="0" w:type="dxa"/>
          <w:bottom w:w="0" w:type="dxa"/>
          <w:right w:w="0" w:type="dxa"/>
        </w:tblCellMar>
      </w:tblPr>
      <w:tblGrid>
        <w:gridCol w:w="6200"/>
        <w:gridCol w:w="60"/>
        <w:gridCol w:w="104"/>
        <w:gridCol w:w="1205"/>
        <w:gridCol w:w="75"/>
      </w:tblGrid>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vAlign w:val="center"/>
          </w:tcPr>
          <w:p>
            <w:pPr>
              <w:pStyle w:val="TableContents"/>
              <w:bidi w:val="0"/>
              <w:spacing w:before="0" w:after="283"/>
              <w:jc w:val="center"/>
              <w:rPr>
                <w:sz w:val="20"/>
              </w:rPr>
            </w:pPr>
            <w:r>
              <w:rPr>
                <w:sz w:val="20"/>
              </w:rPr>
              <w:t>Dollar Amounts</w:t>
            </w:r>
          </w:p>
        </w:tc>
        <w:tc>
          <w:tcPr>
            <w:tcW w:w="75" w:type="dxa"/>
            <w:tcBorders/>
            <w:vAlign w:val="center"/>
          </w:tcPr>
          <w:p>
            <w:pPr>
              <w:pStyle w:val="TableContents"/>
              <w:bidi w:val="0"/>
              <w:spacing w:before="0" w:after="283"/>
              <w:jc w:val="left"/>
              <w:rPr/>
            </w:pPr>
            <w:r>
              <w:rPr/>
              <w:t> </w:t>
            </w:r>
          </w:p>
        </w:tc>
      </w:tr>
      <w:tr>
        <w:trPr/>
        <w:tc>
          <w:tcPr>
            <w:tcW w:w="62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center"/>
          </w:tcPr>
          <w:p>
            <w:pPr>
              <w:pStyle w:val="TableContents"/>
              <w:bidi w:val="0"/>
              <w:spacing w:before="0" w:after="283"/>
              <w:jc w:val="center"/>
              <w:rPr>
                <w:sz w:val="20"/>
              </w:rPr>
            </w:pPr>
            <w:r>
              <w:rPr>
                <w:sz w:val="20"/>
              </w:rPr>
              <w:t>In Thousands</w:t>
            </w:r>
          </w:p>
        </w:tc>
        <w:tc>
          <w:tcPr>
            <w:tcW w:w="75" w:type="dxa"/>
            <w:tcBorders/>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LIABILITIES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Deposits: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In domestic offices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Noninterest-bearing</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Interest-bearing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 foreign offices, Edge and Agreement subsidiaries, and IBFs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Noninterest-bearing</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Interest-bearing</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Federal funds purchased and securities sold under agreements to repurchase: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Federal funds purchased in domestic offices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Securities sold under agreements to repurchase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Trading liabilities</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Other borrowed money</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(includes mortgage indebtedness and obligations under capitalized leases)</w:t>
            </w:r>
          </w:p>
        </w:tc>
        <w:tc>
          <w:tcPr>
            <w:tcW w:w="60" w:type="dxa"/>
            <w:tcBorders/>
            <w:shd w:fill="FFFFFF" w:val="clear"/>
            <w:vAlign w:val="center"/>
          </w:tcPr>
          <w:p>
            <w:pPr>
              <w:pStyle w:val="TableContents"/>
              <w:bidi w:val="0"/>
              <w:spacing w:before="0" w:after="283"/>
              <w:jc w:val="left"/>
              <w:rPr/>
            </w:pPr>
            <w:r>
              <w:rPr/>
              <w:t> </w:t>
            </w:r>
          </w:p>
        </w:tc>
        <w:tc>
          <w:tcPr>
            <w:tcW w:w="1309" w:type="dxa"/>
            <w:gridSpan w:val="2"/>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Subordinated notes and debentures</w:t>
            </w:r>
          </w:p>
        </w:tc>
        <w:tc>
          <w:tcPr>
            <w:tcW w:w="60" w:type="dxa"/>
            <w:tcBorders/>
            <w:shd w:fill="CCEEFF" w:val="clear"/>
            <w:vAlign w:val="center"/>
          </w:tcPr>
          <w:p>
            <w:pPr>
              <w:pStyle w:val="TableContents"/>
              <w:bidi w:val="0"/>
              <w:spacing w:before="0" w:after="283"/>
              <w:jc w:val="left"/>
              <w:rPr/>
            </w:pPr>
            <w:r>
              <w:rPr/>
              <w:t> </w:t>
            </w:r>
          </w:p>
        </w:tc>
        <w:tc>
          <w:tcPr>
            <w:tcW w:w="1309" w:type="dxa"/>
            <w:gridSpan w:val="2"/>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Other liabilities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right"/>
              <w:rPr/>
            </w:pPr>
            <w:r>
              <w:rPr/>
              <w:t> </w:t>
            </w:r>
          </w:p>
        </w:tc>
        <w:tc>
          <w:tcPr>
            <w:tcW w:w="1205" w:type="dxa"/>
            <w:tcBorders/>
            <w:shd w:fill="FFFFFF" w:val="clear"/>
            <w:vAlign w:val="center"/>
          </w:tcPr>
          <w:p>
            <w:pPr>
              <w:pStyle w:val="TableContents"/>
              <w:bidi w:val="0"/>
              <w:spacing w:before="0" w:after="283"/>
              <w:jc w:val="right"/>
              <w:rPr>
                <w:sz w:val="20"/>
              </w:rPr>
            </w:pPr>
            <w:r>
              <w:rPr>
                <w:sz w:val="20"/>
              </w:rPr>
              <w:t>3,059</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3,059</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EQUITY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Perpetual preferred stock and related surplus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Common stock</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500</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Surplus (exclude all surplus related to preferred stock)</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sz w:val="20"/>
              </w:rPr>
            </w:pPr>
            <w:r>
              <w:rPr>
                <w:sz w:val="20"/>
              </w:rPr>
              <w:t>105,803</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9,548</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Accumulated other comprehensive income</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Other equity capital components</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sz w:val="20"/>
              </w:rPr>
            </w:pPr>
            <w:r>
              <w:rPr>
                <w:sz w:val="20"/>
              </w:rPr>
              <w:t>Total institution equity capital</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115,851</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Noncontrolling (minority) interests in consolidated subsidiaries</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Total equity capital</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sz w:val="20"/>
              </w:rPr>
            </w:pPr>
            <w:r>
              <w:rPr>
                <w:sz w:val="20"/>
              </w:rPr>
              <w:t>115,851</w:t>
            </w:r>
          </w:p>
        </w:tc>
        <w:tc>
          <w:tcPr>
            <w:tcW w:w="75" w:type="dxa"/>
            <w:tcBorders/>
            <w:shd w:fill="FFFFFF" w:val="clear"/>
            <w:vAlign w:val="center"/>
          </w:tcPr>
          <w:p>
            <w:pPr>
              <w:pStyle w:val="TableContents"/>
              <w:bidi w:val="0"/>
              <w:spacing w:before="0" w:after="283"/>
              <w:jc w:val="left"/>
              <w:rPr/>
            </w:pPr>
            <w:r>
              <w:rPr/>
              <w:t> </w:t>
            </w:r>
          </w:p>
        </w:tc>
      </w:tr>
      <w:tr>
        <w:trPr/>
        <w:tc>
          <w:tcPr>
            <w:tcW w:w="6200" w:type="dxa"/>
            <w:tcBorders/>
            <w:shd w:fill="CCEEFF" w:val="clear"/>
            <w:vAlign w:val="center"/>
          </w:tcPr>
          <w:p>
            <w:pPr>
              <w:pStyle w:val="TableContents"/>
              <w:bidi w:val="0"/>
              <w:spacing w:before="0" w:after="283"/>
              <w:jc w:val="left"/>
              <w:rPr>
                <w:sz w:val="20"/>
              </w:rPr>
            </w:pPr>
            <w:r>
              <w:rPr>
                <w:sz w:val="20"/>
              </w:rPr>
              <w:t>Total liabilities, and equity capital</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05" w:type="dxa"/>
            <w:tcBorders>
              <w:bottom w:val="double" w:sz="6" w:space="0" w:color="000000"/>
            </w:tcBorders>
            <w:shd w:fill="CCEEFF" w:val="clear"/>
            <w:tcMar>
              <w:bottom w:w="28" w:type="dxa"/>
            </w:tcMar>
            <w:vAlign w:val="center"/>
          </w:tcPr>
          <w:p>
            <w:pPr>
              <w:pStyle w:val="TableContents"/>
              <w:bidi w:val="0"/>
              <w:spacing w:before="0" w:after="283"/>
              <w:jc w:val="right"/>
              <w:rPr>
                <w:sz w:val="20"/>
              </w:rPr>
            </w:pPr>
            <w:r>
              <w:rPr>
                <w:sz w:val="20"/>
              </w:rPr>
              <w:t>118,910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Amanda Albert, Controller of the above-named State Non-Depository Trust Company, do hereby declare that this Report of Condition has been prepared in conformance with the instructions issued by the appropriate State regulatory authority and is true to the best of my knowledge and belief.</w:t>
      </w:r>
    </w:p>
    <w:p>
      <w:pPr>
        <w:pStyle w:val="TextBody"/>
        <w:bidi w:val="0"/>
        <w:spacing w:before="0" w:after="0"/>
        <w:ind w:left="0" w:right="0" w:hanging="0"/>
        <w:jc w:val="left"/>
        <w:rPr>
          <w:caps w:val="false"/>
          <w:smallCaps w:val="false"/>
        </w:rPr>
      </w:pPr>
      <w:r>
        <w:rPr>
          <w:caps w:val="false"/>
          <w:smallCaps w:val="false"/>
        </w:rPr>
        <w:t> </w:t>
      </w:r>
    </w:p>
    <w:tbl>
      <w:tblPr>
        <w:tblW w:w="1910" w:type="dxa"/>
        <w:jc w:val="left"/>
        <w:tblInd w:w="0" w:type="dxa"/>
        <w:tblLayout w:type="fixed"/>
        <w:tblCellMar>
          <w:top w:w="0" w:type="dxa"/>
          <w:left w:w="0" w:type="dxa"/>
          <w:bottom w:w="28" w:type="dxa"/>
          <w:right w:w="0" w:type="dxa"/>
        </w:tblCellMar>
      </w:tblPr>
      <w:tblGrid>
        <w:gridCol w:w="1775"/>
        <w:gridCol w:w="60"/>
        <w:gridCol w:w="75"/>
      </w:tblGrid>
      <w:tr>
        <w:trPr/>
        <w:tc>
          <w:tcPr>
            <w:tcW w:w="1775" w:type="dxa"/>
            <w:tcBorders>
              <w:bottom w:val="single" w:sz="8" w:space="0" w:color="000000"/>
            </w:tcBorders>
            <w:vAlign w:val="center"/>
          </w:tcPr>
          <w:p>
            <w:pPr>
              <w:pStyle w:val="TableContents"/>
              <w:bidi w:val="0"/>
              <w:spacing w:before="0" w:after="283"/>
              <w:jc w:val="left"/>
              <w:rPr/>
            </w:pPr>
            <w:r>
              <w:rPr/>
              <w:t>/s/ Amanda Albert</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left"/>
              <w:rPr/>
            </w:pPr>
            <w:r>
              <w:rPr/>
              <w:t>Amanda Albert</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r>
        <w:trPr/>
        <w:tc>
          <w:tcPr>
            <w:tcW w:w="1775" w:type="dxa"/>
            <w:tcBorders/>
            <w:tcMar>
              <w:bottom w:w="0" w:type="dxa"/>
            </w:tcMar>
            <w:vAlign w:val="center"/>
          </w:tcPr>
          <w:p>
            <w:pPr>
              <w:pStyle w:val="TableContents"/>
              <w:bidi w:val="0"/>
              <w:spacing w:before="0" w:after="283"/>
              <w:jc w:val="left"/>
              <w:rPr/>
            </w:pPr>
            <w:r>
              <w:rPr/>
              <w:t>Controller</w:t>
            </w:r>
          </w:p>
        </w:tc>
        <w:tc>
          <w:tcPr>
            <w:tcW w:w="60" w:type="dxa"/>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both"/>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undersigned directors, attest to the correctness of this Report of Condition and declare that it has been examined by us and to the best of our knowledge and belief has been prepared in conformance with the instructions issued by the appropriate State regulatory authority and is true and correct.</w:t>
      </w:r>
    </w:p>
    <w:p>
      <w:pPr>
        <w:pStyle w:val="TextBody"/>
        <w:bidi w:val="0"/>
        <w:spacing w:before="0" w:after="0"/>
        <w:ind w:left="0" w:right="0" w:hanging="0"/>
        <w:jc w:val="left"/>
        <w:rPr>
          <w:caps w:val="false"/>
          <w:smallCaps w:val="false"/>
        </w:rPr>
      </w:pPr>
      <w:r>
        <w:rPr>
          <w:caps w:val="false"/>
          <w:smallCaps w:val="false"/>
        </w:rPr>
        <w:t> </w:t>
      </w:r>
    </w:p>
    <w:tbl>
      <w:tblPr>
        <w:tblW w:w="3280" w:type="dxa"/>
        <w:jc w:val="left"/>
        <w:tblInd w:w="0" w:type="dxa"/>
        <w:tblLayout w:type="fixed"/>
        <w:tblCellMar>
          <w:top w:w="0" w:type="dxa"/>
          <w:left w:w="0" w:type="dxa"/>
          <w:bottom w:w="28" w:type="dxa"/>
          <w:right w:w="0" w:type="dxa"/>
        </w:tblCellMar>
      </w:tblPr>
      <w:tblGrid>
        <w:gridCol w:w="1730"/>
        <w:gridCol w:w="60"/>
        <w:gridCol w:w="1490"/>
      </w:tblGrid>
      <w:tr>
        <w:trPr/>
        <w:tc>
          <w:tcPr>
            <w:tcW w:w="1730" w:type="dxa"/>
            <w:tcBorders>
              <w:bottom w:val="single" w:sz="8" w:space="0" w:color="000000"/>
            </w:tcBorders>
            <w:vAlign w:val="center"/>
          </w:tcPr>
          <w:p>
            <w:pPr>
              <w:pStyle w:val="TableContents"/>
              <w:bidi w:val="0"/>
              <w:spacing w:before="0" w:after="283"/>
              <w:jc w:val="left"/>
              <w:rPr/>
            </w:pPr>
            <w:r>
              <w:rPr/>
              <w:t>/s/ Rodman Ward</w:t>
            </w:r>
          </w:p>
        </w:tc>
        <w:tc>
          <w:tcPr>
            <w:tcW w:w="60" w:type="dxa"/>
            <w:tcBorders/>
            <w:tcMar>
              <w:bottom w:w="0" w:type="dxa"/>
            </w:tcMar>
            <w:vAlign w:val="center"/>
          </w:tcPr>
          <w:p>
            <w:pPr>
              <w:pStyle w:val="TableContents"/>
              <w:bidi w:val="0"/>
              <w:spacing w:before="0" w:after="283"/>
              <w:jc w:val="left"/>
              <w:rPr/>
            </w:pPr>
            <w:r>
              <w:rPr/>
              <w:t> </w:t>
            </w:r>
          </w:p>
        </w:tc>
        <w:tc>
          <w:tcPr>
            <w:tcW w:w="1490" w:type="dxa"/>
            <w:tcBorders>
              <w:bottom w:val="single" w:sz="8" w:space="0" w:color="000000"/>
            </w:tcBorders>
            <w:vAlign w:val="center"/>
          </w:tcPr>
          <w:p>
            <w:pPr>
              <w:pStyle w:val="TableContents"/>
              <w:bidi w:val="0"/>
              <w:spacing w:before="0" w:after="283"/>
              <w:jc w:val="left"/>
              <w:rPr/>
            </w:pPr>
            <w:r>
              <w:rPr/>
              <w:t>/s/ John Hebert</w:t>
            </w:r>
          </w:p>
        </w:tc>
      </w:tr>
      <w:tr>
        <w:trPr/>
        <w:tc>
          <w:tcPr>
            <w:tcW w:w="1730" w:type="dxa"/>
            <w:tcBorders/>
            <w:tcMar>
              <w:bottom w:w="0" w:type="dxa"/>
            </w:tcMar>
            <w:vAlign w:val="center"/>
          </w:tcPr>
          <w:p>
            <w:pPr>
              <w:pStyle w:val="TableContents"/>
              <w:bidi w:val="0"/>
              <w:spacing w:before="0" w:after="283"/>
              <w:jc w:val="left"/>
              <w:rPr/>
            </w:pPr>
            <w:r>
              <w:rPr/>
              <w:t>     </w:t>
            </w:r>
            <w:r>
              <w:rPr/>
              <w:t>Rodman Ward</w:t>
            </w:r>
          </w:p>
        </w:tc>
        <w:tc>
          <w:tcPr>
            <w:tcW w:w="60" w:type="dxa"/>
            <w:tcBorders/>
            <w:tcMar>
              <w:bottom w:w="0" w:type="dxa"/>
            </w:tcMar>
            <w:vAlign w:val="center"/>
          </w:tcPr>
          <w:p>
            <w:pPr>
              <w:pStyle w:val="TableContents"/>
              <w:bidi w:val="0"/>
              <w:spacing w:before="0" w:after="283"/>
              <w:jc w:val="left"/>
              <w:rPr/>
            </w:pPr>
            <w:r>
              <w:rPr/>
              <w:t> </w:t>
            </w:r>
          </w:p>
        </w:tc>
        <w:tc>
          <w:tcPr>
            <w:tcW w:w="1490" w:type="dxa"/>
            <w:tcBorders/>
            <w:tcMar>
              <w:bottom w:w="0" w:type="dxa"/>
            </w:tcMar>
            <w:vAlign w:val="center"/>
          </w:tcPr>
          <w:p>
            <w:pPr>
              <w:pStyle w:val="TableContents"/>
              <w:bidi w:val="0"/>
              <w:spacing w:before="0" w:after="283"/>
              <w:jc w:val="left"/>
              <w:rPr/>
            </w:pPr>
            <w:r>
              <w:rPr/>
              <w:t>     </w:t>
            </w:r>
            <w:r>
              <w:rPr/>
              <w:t>John Hebert</w:t>
            </w:r>
          </w:p>
        </w:tc>
      </w:tr>
    </w:tbl>
    <w:p>
      <w:pPr>
        <w:pStyle w:val="TextBody"/>
        <w:shd w:fill="FFFFFF" w:val="clear"/>
        <w:bidi w:val="0"/>
        <w:spacing w:before="0" w:after="0"/>
        <w:ind w:left="0" w:right="0" w:hanging="0"/>
        <w:jc w:val="left"/>
        <w:rPr>
          <w:caps w:val="false"/>
          <w:smallCaps w:val="false"/>
        </w:rPr>
      </w:pPr>
      <w:r>
        <w:rPr>
          <w:caps w:val="false"/>
          <w:smallCaps w:val="false"/>
        </w:rPr>
        <w:t> </w:t>
      </w:r>
    </w:p>
    <w:tbl>
      <w:tblPr>
        <w:tblW w:w="173" w:type="dxa"/>
        <w:jc w:val="left"/>
        <w:tblInd w:w="0" w:type="dxa"/>
        <w:tblLayout w:type="fixed"/>
        <w:tblCellMar>
          <w:top w:w="0" w:type="dxa"/>
          <w:left w:w="0" w:type="dxa"/>
          <w:bottom w:w="0" w:type="dxa"/>
          <w:right w:w="0" w:type="dxa"/>
        </w:tblCellMar>
      </w:tblPr>
      <w:tblGrid>
        <w:gridCol w:w="75"/>
        <w:gridCol w:w="23"/>
        <w:gridCol w:w="75"/>
      </w:tblGrid>
      <w:tr>
        <w:trPr/>
        <w:tc>
          <w:tcPr>
            <w:tcW w:w="75"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righ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jc w:val="left"/>
        <w:rPr/>
      </w:pPr>
      <w:bookmarkStart w:id="26" w:name="tm2322934d2_ex-filingfees.htm"/>
      <w:bookmarkStart w:id="27" w:name="kstm2322934d2_exfilingfees"/>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107</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Calculation of Filing Fee Tables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Form S-3</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Type)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Clearway Energy, Inc.</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1: Newly Registered and Carry Forward Securities</w:t>
      </w:r>
    </w:p>
    <w:p>
      <w:pPr>
        <w:pStyle w:val="TextBody"/>
        <w:bidi w:val="0"/>
        <w:spacing w:before="0" w:after="0"/>
        <w:ind w:left="0" w:right="0" w:hanging="0"/>
        <w:jc w:val="left"/>
        <w:rPr>
          <w:caps w:val="false"/>
          <w:smallCaps w:val="false"/>
        </w:rPr>
      </w:pPr>
      <w:r>
        <w:rPr>
          <w:caps w:val="false"/>
          <w:smallCaps w:val="false"/>
        </w:rPr>
        <w:t> </w:t>
      </w:r>
    </w:p>
    <w:tbl>
      <w:tblPr>
        <w:tblW w:w="12110" w:type="dxa"/>
        <w:jc w:val="left"/>
        <w:tblInd w:w="-10" w:type="dxa"/>
        <w:tblLayout w:type="fixed"/>
        <w:tblCellMar>
          <w:top w:w="28" w:type="dxa"/>
          <w:left w:w="28" w:type="dxa"/>
          <w:bottom w:w="28" w:type="dxa"/>
          <w:right w:w="28" w:type="dxa"/>
        </w:tblCellMar>
      </w:tblPr>
      <w:tblGrid>
        <w:gridCol w:w="1040"/>
        <w:gridCol w:w="800"/>
        <w:gridCol w:w="905"/>
        <w:gridCol w:w="1100"/>
        <w:gridCol w:w="1025"/>
        <w:gridCol w:w="995"/>
        <w:gridCol w:w="1010"/>
        <w:gridCol w:w="455"/>
        <w:gridCol w:w="1160"/>
        <w:gridCol w:w="830"/>
        <w:gridCol w:w="830"/>
        <w:gridCol w:w="830"/>
        <w:gridCol w:w="1130"/>
      </w:tblGrid>
      <w:tr>
        <w:trPr/>
        <w:tc>
          <w:tcPr>
            <w:tcW w:w="1040"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 </w:t>
            </w:r>
          </w:p>
        </w:tc>
        <w:tc>
          <w:tcPr>
            <w:tcW w:w="8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Security</w:t>
              <w:br/>
              <w:t>Type</w:t>
            </w:r>
          </w:p>
        </w:tc>
        <w:tc>
          <w:tcPr>
            <w:tcW w:w="90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Security</w:t>
              <w:br/>
              <w:t>Class</w:t>
              <w:br/>
              <w:t>Title</w:t>
            </w:r>
          </w:p>
        </w:tc>
        <w:tc>
          <w:tcPr>
            <w:tcW w:w="110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Fee</w:t>
              <w:br/>
              <w:t>Calculation</w:t>
              <w:br/>
              <w:t>or Carry</w:t>
              <w:br/>
              <w:t>Forward</w:t>
              <w:br/>
              <w:t>Rule</w:t>
            </w:r>
          </w:p>
        </w:tc>
        <w:tc>
          <w:tcPr>
            <w:tcW w:w="102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Amount</w:t>
              <w:br/>
              <w:t>Registered</w:t>
            </w:r>
          </w:p>
        </w:tc>
        <w:tc>
          <w:tcPr>
            <w:tcW w:w="99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Proposed</w:t>
              <w:br/>
              <w:t>Maximum</w:t>
              <w:br/>
              <w:t>Offering</w:t>
              <w:br/>
              <w:t>Price Per</w:t>
              <w:br/>
              <w:t>Unit</w:t>
            </w:r>
          </w:p>
        </w:tc>
        <w:tc>
          <w:tcPr>
            <w:tcW w:w="101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Maximum</w:t>
              <w:br/>
              <w:t>Aggregate</w:t>
              <w:br/>
              <w:t>Offering</w:t>
              <w:br/>
              <w:t>Price</w:t>
            </w:r>
          </w:p>
        </w:tc>
        <w:tc>
          <w:tcPr>
            <w:tcW w:w="455"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Fee</w:t>
              <w:br/>
              <w:t>Rate</w:t>
            </w:r>
          </w:p>
        </w:tc>
        <w:tc>
          <w:tcPr>
            <w:tcW w:w="116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Amount of</w:t>
              <w:br/>
              <w:t>Registration</w:t>
              <w:br/>
              <w:t>Fee</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Carry</w:t>
              <w:br/>
              <w:t>Forward</w:t>
              <w:br/>
              <w:t>Form </w:t>
              <w:br/>
              <w:t>Type</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Carry</w:t>
              <w:br/>
              <w:t>Forward</w:t>
              <w:br/>
              <w:t>File</w:t>
              <w:br/>
              <w:t>Number</w:t>
            </w:r>
          </w:p>
        </w:tc>
        <w:tc>
          <w:tcPr>
            <w:tcW w:w="8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Carry</w:t>
              <w:br/>
              <w:t>Forward</w:t>
              <w:br/>
              <w:t>Initial</w:t>
              <w:br/>
              <w:t>effective</w:t>
              <w:br/>
              <w:t>date</w:t>
            </w:r>
          </w:p>
        </w:tc>
        <w:tc>
          <w:tcPr>
            <w:tcW w:w="113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pPr>
            <w:r>
              <w:rPr/>
              <w:t>Filing Fee</w:t>
              <w:br/>
              <w:t>Previously Paid</w:t>
              <w:br/>
              <w:t>In Connection</w:t>
              <w:br/>
              <w:t>with Unsold</w:t>
              <w:br/>
              <w:t>Securities to be</w:t>
              <w:br/>
              <w:t>Carried Forward</w:t>
            </w:r>
          </w:p>
        </w:tc>
      </w:tr>
      <w:tr>
        <w:trPr/>
        <w:tc>
          <w:tcPr>
            <w:tcW w:w="12110" w:type="dxa"/>
            <w:gridSpan w:val="1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Newly Registered Securities</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Fees to Be Paid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Equity</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Class A Common stock, par value $0.01 per share</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Rule 456(b) and Rule 457(r)(1)</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Equity</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Class C Common stock, par value $0.01 per share</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Rule 456(b) and Rule 457(r)(1)</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Debt</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Debt securities</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Rule 456(b) and Rule 457(r)(1)</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Equity</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Preferred stock, par value $0.01 per share</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Rule 456(b) and Rule 457(r)(1)</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(2)</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(1)</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Fees Previously Paid</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2110" w:type="dxa"/>
            <w:gridSpan w:val="13"/>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Carry Forward Securities</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Carry Forward Securities</w:t>
            </w:r>
          </w:p>
        </w:tc>
        <w:tc>
          <w:tcPr>
            <w:tcW w:w="8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90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10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02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83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Total Offering Amounts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83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Total Fees Previously Paid</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83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Total Fee Offsets</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r>
        <w:trPr/>
        <w:tc>
          <w:tcPr>
            <w:tcW w:w="1040"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pPr>
            <w:r>
              <w:rPr/>
              <w:t> </w:t>
            </w:r>
          </w:p>
        </w:tc>
        <w:tc>
          <w:tcPr>
            <w:tcW w:w="3830" w:type="dxa"/>
            <w:gridSpan w:val="4"/>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Net Fee Due</w:t>
            </w:r>
          </w:p>
        </w:tc>
        <w:tc>
          <w:tcPr>
            <w:tcW w:w="99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01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455"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6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N/A</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8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c>
          <w:tcPr>
            <w:tcW w:w="113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4"/>
        <w:gridCol w:w="9924"/>
      </w:tblGrid>
      <w:tr>
        <w:trPr/>
        <w:tc>
          <w:tcPr>
            <w:tcW w:w="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pPr>
            <w:r>
              <w:rPr/>
              <w:t>(1)</w:t>
            </w:r>
          </w:p>
        </w:tc>
        <w:tc>
          <w:tcPr>
            <w:tcW w:w="9924" w:type="dxa"/>
            <w:tcBorders/>
            <w:vAlign w:val="center"/>
          </w:tcPr>
          <w:p>
            <w:pPr>
              <w:pStyle w:val="TableContents"/>
              <w:bidi w:val="0"/>
              <w:spacing w:before="0" w:after="283"/>
              <w:jc w:val="left"/>
              <w:rPr/>
            </w:pPr>
            <w:r>
              <w:rPr/>
              <w:t>The Registrant is deferring payment of the registration fee pursuant to Rule 456(b) under the Securities Act of 1933, as amended (the “Securities Act”) and is omitting this information in reliance on Rule 456(b) and Rule 457(r)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27"/>
        <w:gridCol w:w="9941"/>
      </w:tblGrid>
      <w:tr>
        <w:trPr/>
        <w:tc>
          <w:tcPr>
            <w:tcW w:w="3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283"/>
              <w:jc w:val="left"/>
              <w:rPr/>
            </w:pPr>
            <w:r>
              <w:rPr/>
              <w:t>An unspecified aggregate initial offering price, principal amount or number of securities of each identified class is being registered as may from time to time be issued at unspecified prices or upon conversion of, or in exchange for, or upon exercise of securities registered hereunder to the extent any such securities are, by their terms, convertible into, or exchangeable or exercisable for, such securities. Separate consideration may or may not be received for securities that are issuable upon conversion of, or in exchange for, or upon exercise of, convertible or exchangeable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567683/000156768323000011/cwen-20221231.htm" TargetMode="External"/><Relationship Id="rId4" Type="http://schemas.openxmlformats.org/officeDocument/2006/relationships/hyperlink" Target="http://www.sec.gov/ix?doc=/Archives/edgar/data/1567683/000110465923033487/tm231919-1_def14a.htm" TargetMode="External"/><Relationship Id="rId5" Type="http://schemas.openxmlformats.org/officeDocument/2006/relationships/hyperlink" Target="http://www.sec.gov/ix?doc=/Archives/edgar/data/1567683/000156768323000018/cwen-20230331.htm" TargetMode="External"/><Relationship Id="rId6" Type="http://schemas.openxmlformats.org/officeDocument/2006/relationships/hyperlink" Target="https://www.sec.gov/ix?doc=/Archives/edgar/data/1567683/000156768323000026/cwen-20230630.htm" TargetMode="External"/><Relationship Id="rId7" Type="http://schemas.openxmlformats.org/officeDocument/2006/relationships/hyperlink" Target="http://www.sec.gov/ix?doc=/Archives/edgar/data/1567683/000110465923023548/tm237375d1_8k.htm" TargetMode="External"/><Relationship Id="rId8" Type="http://schemas.openxmlformats.org/officeDocument/2006/relationships/hyperlink" Target="http://www.sec.gov/ix?doc=/Archives/edgar/data/1567683/000110465923034463/tm239756d1_8k.htm" TargetMode="External"/><Relationship Id="rId9" Type="http://schemas.openxmlformats.org/officeDocument/2006/relationships/hyperlink" Target="http://www.sec.gov/ix?doc=/Archives/edgar/data/1567683/000110465923046217/tm2312886d1_8k.htm" TargetMode="External"/><Relationship Id="rId10" Type="http://schemas.openxmlformats.org/officeDocument/2006/relationships/hyperlink" Target="http://www.sec.gov/ix?doc=/Archives/edgar/data/1567683/000110465923054500/tm2314161d1_8k.htm" TargetMode="External"/><Relationship Id="rId11" Type="http://schemas.openxmlformats.org/officeDocument/2006/relationships/hyperlink" Target="http://www.sec.gov/ix?doc=/Archives/edgar/data/1567683/000110465923064128/tm2316668d1_8k.htm" TargetMode="External"/><Relationship Id="rId12" Type="http://schemas.openxmlformats.org/officeDocument/2006/relationships/hyperlink" Target="http://www.sec.gov/Archives/edgar/data/1567683/000110465915036311/a15-11016_18a12ba.htm" TargetMode="External"/><Relationship Id="rId13" Type="http://schemas.openxmlformats.org/officeDocument/2006/relationships/hyperlink" Target="http://www.sec.gov/Archives/edgar/data/1567683/000110465920056290/tm203404d2_ex3-1.htm" TargetMode="External"/><Relationship Id="rId14" Type="http://schemas.openxmlformats.org/officeDocument/2006/relationships/hyperlink" Target="http://www.sec.gov/Archives/edgar/data/1567683/000110465915036311/a15-11016_1ex4d1.htm" TargetMode="External"/><Relationship Id="rId15" Type="http://schemas.openxmlformats.org/officeDocument/2006/relationships/hyperlink" Target="http://www.sec.gov/Archives/edgar/data/1567683/000110465915036311/a15-11016_1ex4d2.htm" TargetMode="External"/><Relationship Id="rId16" Type="http://schemas.openxmlformats.org/officeDocument/2006/relationships/image" Target="media/image2.gif"/><Relationship Id="rId17" Type="http://schemas.openxmlformats.org/officeDocument/2006/relationships/image" Target="media/image3.jpeg"/><Relationship Id="rId18" Type="http://schemas.openxmlformats.org/officeDocument/2006/relationships/image" Target="media/image3.jpeg"/><Relationship Id="rId19" Type="http://schemas.openxmlformats.org/officeDocument/2006/relationships/image" Target="media/image4.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41693</Words>
  <Characters>214163</Characters>
  <CharactersWithSpaces>259271</CharactersWithSpaces>
  <Paragraphs>3695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