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238760</wp:posOffset>
            </wp:positionH>
            <wp:positionV relativeFrom="page">
              <wp:posOffset>701675</wp:posOffset>
            </wp:positionV>
            <wp:extent cx="70840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4060" cy="698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619760</wp:posOffset>
            </wp:positionV>
            <wp:extent cx="708406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4060" cy="20320"/>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jc w:val="center"/>
        <w:ind w:right="-19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115" w:lineRule="exact"/>
        <w:rPr>
          <w:sz w:val="24"/>
          <w:szCs w:val="24"/>
          <w:color w:val="auto"/>
        </w:rPr>
      </w:pPr>
    </w:p>
    <w:p>
      <w:pPr>
        <w:ind w:left="480" w:right="4000" w:hanging="333"/>
        <w:spacing w:after="0" w:line="294" w:lineRule="auto"/>
        <w:tabs>
          <w:tab w:leader="none" w:pos="4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2016.</w:t>
      </w:r>
    </w:p>
    <w:p>
      <w:pPr>
        <w:spacing w:after="0" w:line="88" w:lineRule="exact"/>
        <w:rPr>
          <w:sz w:val="24"/>
          <w:szCs w:val="24"/>
          <w:color w:val="auto"/>
        </w:rPr>
      </w:pPr>
    </w:p>
    <w:p>
      <w:pPr>
        <w:ind w:left="480" w:hanging="333"/>
        <w:spacing w:after="0"/>
        <w:tabs>
          <w:tab w:leader="none" w:pos="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1460"/>
          </w:cols>
          <w:pgMar w:left="220" w:top="1186" w:right="219" w:bottom="1440" w:gutter="0" w:footer="0" w:header="0"/>
        </w:sectPr>
      </w:pPr>
    </w:p>
    <w:p>
      <w:pPr>
        <w:spacing w:after="0" w:line="26" w:lineRule="exact"/>
        <w:rPr>
          <w:sz w:val="24"/>
          <w:szCs w:val="24"/>
          <w:color w:val="auto"/>
        </w:rPr>
      </w:pPr>
    </w:p>
    <w:p>
      <w:pPr>
        <w:ind w:left="480"/>
        <w:spacing w:after="0"/>
        <w:tabs>
          <w:tab w:leader="none" w:pos="3140" w:val="left"/>
          <w:tab w:leader="none" w:pos="40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r>
        <w:rPr>
          <w:sz w:val="20"/>
          <w:szCs w:val="20"/>
          <w:color w:val="auto"/>
        </w:rPr>
        <w:tab/>
      </w:r>
      <w:r>
        <w:rPr>
          <w:rFonts w:ascii="Times New Roman" w:cs="Times New Roman" w:eastAsia="Times New Roman" w:hAnsi="Times New Roman"/>
          <w:sz w:val="14"/>
          <w:szCs w:val="14"/>
          <w:b w:val="1"/>
          <w:bCs w:val="1"/>
          <w:color w:val="auto"/>
        </w:rPr>
        <w:t>.</w:t>
      </w:r>
    </w:p>
    <w:p>
      <w:pPr>
        <w:sectPr>
          <w:pgSz w:w="11900" w:h="16838" w:orient="portrait"/>
          <w:cols w:equalWidth="0" w:num="1">
            <w:col w:w="11460"/>
          </w:cols>
          <w:pgMar w:left="220" w:top="1186" w:right="219" w:bottom="1440" w:gutter="0" w:footer="0" w:header="0"/>
          <w:type w:val="continuous"/>
        </w:sectPr>
      </w:pP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Commission File Number: 333-203369</w:t>
      </w:r>
    </w:p>
    <w:p>
      <w:pPr>
        <w:spacing w:after="0" w:line="4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1"/>
          <w:szCs w:val="31"/>
          <w:b w:val="1"/>
          <w:bCs w:val="1"/>
          <w:color w:val="auto"/>
        </w:rPr>
        <w:t>NRG Yield LLC</w:t>
      </w:r>
    </w:p>
    <w:p>
      <w:pPr>
        <w:spacing w:after="0" w:line="9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ectPr>
          <w:pgSz w:w="11900" w:h="16838" w:orient="portrait"/>
          <w:cols w:equalWidth="0" w:num="1">
            <w:col w:w="11460"/>
          </w:cols>
          <w:pgMar w:left="220" w:top="1186" w:right="219" w:bottom="1440" w:gutter="0" w:footer="0" w:header="0"/>
          <w:type w:val="continuous"/>
        </w:sectPr>
      </w:pPr>
    </w:p>
    <w:p>
      <w:pPr>
        <w:spacing w:after="0" w:line="15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32-0407370</w:t>
      </w:r>
    </w:p>
    <w:p>
      <w:pPr>
        <w:spacing w:after="0" w:line="31" w:lineRule="exact"/>
        <w:rPr>
          <w:sz w:val="24"/>
          <w:szCs w:val="24"/>
          <w:color w:val="auto"/>
        </w:rPr>
      </w:pPr>
    </w:p>
    <w:p>
      <w:pPr>
        <w:sectPr>
          <w:pgSz w:w="11900" w:h="16838" w:orient="portrait"/>
          <w:cols w:equalWidth="0" w:num="2">
            <w:col w:w="7520" w:space="720"/>
            <w:col w:w="3220"/>
          </w:cols>
          <w:pgMar w:left="220" w:top="1186" w:right="21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2"/>
          <w:szCs w:val="12"/>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i w:val="1"/>
          <w:iCs w:val="1"/>
          <w:color w:val="auto"/>
        </w:rPr>
        <w:t>(I.R.S. Employer Identification No.)</w:t>
      </w:r>
    </w:p>
    <w:p>
      <w:pPr>
        <w:spacing w:after="0" w:line="165" w:lineRule="exact"/>
        <w:rPr>
          <w:sz w:val="24"/>
          <w:szCs w:val="24"/>
          <w:color w:val="auto"/>
        </w:rPr>
      </w:pPr>
    </w:p>
    <w:p>
      <w:pPr>
        <w:sectPr>
          <w:pgSz w:w="11900" w:h="16838" w:orient="portrait"/>
          <w:cols w:equalWidth="0" w:num="2">
            <w:col w:w="6900" w:space="720"/>
            <w:col w:w="3840"/>
          </w:cols>
          <w:pgMar w:left="220" w:top="1186" w:right="21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2"/>
          <w:szCs w:val="12"/>
          <w:b w:val="1"/>
          <w:bCs w:val="1"/>
          <w:color w:val="auto"/>
        </w:rPr>
        <w:t>804 Carnegie Center, Princeton, 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08540</w:t>
      </w:r>
    </w:p>
    <w:p>
      <w:pPr>
        <w:spacing w:after="0" w:line="31" w:lineRule="exact"/>
        <w:rPr>
          <w:sz w:val="24"/>
          <w:szCs w:val="24"/>
          <w:color w:val="auto"/>
        </w:rPr>
      </w:pPr>
    </w:p>
    <w:p>
      <w:pPr>
        <w:sectPr>
          <w:pgSz w:w="11900" w:h="16838" w:orient="portrait"/>
          <w:cols w:equalWidth="0" w:num="2">
            <w:col w:w="7660" w:space="720"/>
            <w:col w:w="3080"/>
          </w:cols>
          <w:pgMar w:left="220" w:top="1186" w:right="21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i w:val="1"/>
          <w:iCs w:val="1"/>
          <w:color w:val="auto"/>
        </w:rPr>
        <w:t>(Zip Code)</w:t>
      </w:r>
    </w:p>
    <w:p>
      <w:pPr>
        <w:spacing w:after="0" w:line="36" w:lineRule="exact"/>
        <w:rPr>
          <w:sz w:val="24"/>
          <w:szCs w:val="24"/>
          <w:color w:val="auto"/>
        </w:rPr>
      </w:pPr>
    </w:p>
    <w:p>
      <w:pPr>
        <w:sectPr>
          <w:pgSz w:w="11900" w:h="16838" w:orient="portrait"/>
          <w:cols w:equalWidth="0" w:num="2">
            <w:col w:w="7540" w:space="720"/>
            <w:col w:w="3200"/>
          </w:cols>
          <w:pgMar w:left="220" w:top="1186" w:right="219" w:bottom="1440" w:gutter="0" w:footer="0" w:header="0"/>
          <w:type w:val="continuous"/>
        </w:sectPr>
      </w:pPr>
    </w:p>
    <w:p>
      <w:pPr>
        <w:ind w:left="5420"/>
        <w:spacing w:after="0"/>
        <w:rPr>
          <w:sz w:val="20"/>
          <w:szCs w:val="20"/>
          <w:color w:val="auto"/>
        </w:rPr>
      </w:pPr>
      <w:r>
        <w:rPr>
          <w:rFonts w:ascii="Times New Roman" w:cs="Times New Roman" w:eastAsia="Times New Roman" w:hAnsi="Times New Roman"/>
          <w:sz w:val="13"/>
          <w:szCs w:val="13"/>
          <w:b w:val="1"/>
          <w:bCs w:val="1"/>
          <w:color w:val="auto"/>
        </w:rPr>
        <w:t>(609) 524-4500</w:t>
      </w:r>
    </w:p>
    <w:p>
      <w:pPr>
        <w:spacing w:after="0" w:line="1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3"/>
          <w:szCs w:val="13"/>
          <w:i w:val="1"/>
          <w:iCs w:val="1"/>
          <w:color w:val="auto"/>
        </w:rPr>
        <w:t>(Registrant’s telephone number, including area code)</w:t>
      </w:r>
    </w:p>
    <w:p>
      <w:pPr>
        <w:spacing w:after="0" w:line="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12" w:lineRule="exact"/>
        <w:rPr>
          <w:sz w:val="24"/>
          <w:szCs w:val="24"/>
          <w:color w:val="auto"/>
        </w:rPr>
      </w:pPr>
    </w:p>
    <w:p>
      <w:pPr>
        <w:ind w:left="560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w:t>
      </w:r>
    </w:p>
    <w:p>
      <w:pPr>
        <w:spacing w:after="0" w:line="12" w:lineRule="exact"/>
        <w:rPr>
          <w:sz w:val="24"/>
          <w:szCs w:val="24"/>
          <w:color w:val="auto"/>
        </w:rPr>
      </w:pPr>
    </w:p>
    <w:p>
      <w:pPr>
        <w:ind w:left="5600"/>
        <w:spacing w:after="0"/>
        <w:rPr>
          <w:sz w:val="20"/>
          <w:szCs w:val="20"/>
          <w:color w:val="auto"/>
        </w:rPr>
      </w:pPr>
      <w:r>
        <w:rPr>
          <w:rFonts w:ascii="Times New Roman" w:cs="Times New Roman" w:eastAsia="Times New Roman" w:hAnsi="Times New Roman"/>
          <w:sz w:val="13"/>
          <w:szCs w:val="13"/>
          <w:b w:val="1"/>
          <w:bCs w:val="1"/>
          <w:color w:val="auto"/>
        </w:rPr>
        <w:t>None</w:t>
      </w:r>
    </w:p>
    <w:p>
      <w:pPr>
        <w:sectPr>
          <w:pgSz w:w="11900" w:h="16838" w:orient="portrait"/>
          <w:cols w:equalWidth="0" w:num="1">
            <w:col w:w="11460"/>
          </w:cols>
          <w:pgMar w:left="220" w:top="1186" w:right="219" w:bottom="1440" w:gutter="0" w:footer="0" w:header="0"/>
          <w:type w:val="continuous"/>
        </w:sectPr>
      </w:pPr>
    </w:p>
    <w:p>
      <w:pPr>
        <w:spacing w:after="0" w:line="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0"/>
          <w:szCs w:val="10"/>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No x</w:t>
      </w:r>
    </w:p>
    <w:p>
      <w:pPr>
        <w:spacing w:after="0" w:line="109" w:lineRule="exact"/>
        <w:rPr>
          <w:sz w:val="24"/>
          <w:szCs w:val="24"/>
          <w:color w:val="auto"/>
        </w:rPr>
      </w:pPr>
    </w:p>
    <w:p>
      <w:pPr>
        <w:sectPr>
          <w:pgSz w:w="11900" w:h="16838" w:orient="portrait"/>
          <w:cols w:equalWidth="0" w:num="3">
            <w:col w:w="5560" w:space="120"/>
            <w:col w:w="240" w:space="120"/>
            <w:col w:w="5420"/>
          </w:cols>
          <w:pgMar w:left="220" w:top="1186" w:right="21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Exchange Act.  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No o</w:t>
      </w:r>
    </w:p>
    <w:p>
      <w:pPr>
        <w:spacing w:after="0" w:line="131" w:lineRule="exact"/>
        <w:rPr>
          <w:sz w:val="24"/>
          <w:szCs w:val="24"/>
          <w:color w:val="auto"/>
        </w:rPr>
      </w:pPr>
    </w:p>
    <w:p>
      <w:pPr>
        <w:sectPr>
          <w:pgSz w:w="11900" w:h="16838" w:orient="portrait"/>
          <w:cols w:equalWidth="0" w:num="2">
            <w:col w:w="6480" w:space="120"/>
            <w:col w:w="4860"/>
          </w:cols>
          <w:pgMar w:left="220" w:top="1186" w:right="219" w:bottom="1440" w:gutter="0" w:footer="0" w:header="0"/>
          <w:type w:val="continuous"/>
        </w:sectPr>
      </w:pPr>
    </w:p>
    <w:p>
      <w:pPr>
        <w:jc w:val="both"/>
        <w:ind w:firstLine="193"/>
        <w:spacing w:after="0" w:line="259" w:lineRule="auto"/>
        <w:rPr>
          <w:sz w:val="20"/>
          <w:szCs w:val="20"/>
          <w:color w:val="auto"/>
        </w:rPr>
      </w:pPr>
      <w:r>
        <w:rPr>
          <w:rFonts w:ascii="Times New Roman" w:cs="Times New Roman" w:eastAsia="Times New Roman" w:hAnsi="Times New Roman"/>
          <w:sz w:val="11"/>
          <w:szCs w:val="11"/>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Yes o No o</w:t>
      </w:r>
    </w:p>
    <w:p>
      <w:pPr>
        <w:spacing w:after="0" w:line="234" w:lineRule="exact"/>
        <w:rPr>
          <w:sz w:val="24"/>
          <w:szCs w:val="24"/>
          <w:color w:val="auto"/>
        </w:rPr>
      </w:pPr>
    </w:p>
    <w:p>
      <w:pPr>
        <w:jc w:val="both"/>
        <w:ind w:firstLine="193"/>
        <w:spacing w:after="0" w:line="255" w:lineRule="auto"/>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jc w:val="both"/>
        <w:ind w:firstLine="193"/>
        <w:spacing w:after="0" w:line="250" w:lineRule="auto"/>
        <w:rPr>
          <w:sz w:val="20"/>
          <w:szCs w:val="20"/>
          <w:color w:val="auto"/>
        </w:rPr>
      </w:pPr>
      <w:r>
        <w:rPr>
          <w:rFonts w:ascii="Times New Roman" w:cs="Times New Roman" w:eastAsia="Times New Roman" w:hAnsi="Times New Roman"/>
          <w:sz w:val="11"/>
          <w:szCs w:val="11"/>
          <w:color w:val="auto"/>
        </w:rPr>
        <w:t>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jc w:val="both"/>
        <w:ind w:firstLine="193"/>
        <w:spacing w:after="0" w:line="26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r>
        <w:rPr>
          <w:rFonts w:ascii="Times New Roman" w:cs="Times New Roman" w:eastAsia="Times New Roman" w:hAnsi="Times New Roman"/>
          <w:sz w:val="12"/>
          <w:szCs w:val="12"/>
          <w:color w:val="auto"/>
        </w:rPr>
        <w:t>.</w:t>
      </w:r>
    </w:p>
    <w:p>
      <w:pPr>
        <w:sectPr>
          <w:pgSz w:w="11900" w:h="16838" w:orient="portrait"/>
          <w:cols w:equalWidth="0" w:num="1">
            <w:col w:w="11460"/>
          </w:cols>
          <w:pgMar w:left="220" w:top="1186" w:right="219" w:bottom="1440" w:gutter="0" w:footer="0" w:header="0"/>
          <w:type w:val="continuous"/>
        </w:sectPr>
      </w:pPr>
    </w:p>
    <w:p>
      <w:pPr>
        <w:spacing w:after="0" w:line="11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Non-accelerated filer x</w:t>
      </w:r>
    </w:p>
    <w:p>
      <w:pPr>
        <w:spacing w:after="0" w:line="6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 o</w:t>
      </w:r>
    </w:p>
    <w:p>
      <w:pPr>
        <w:spacing w:after="0" w:line="297" w:lineRule="exact"/>
        <w:rPr>
          <w:sz w:val="24"/>
          <w:szCs w:val="24"/>
          <w:color w:val="auto"/>
        </w:rPr>
      </w:pPr>
    </w:p>
    <w:p>
      <w:pPr>
        <w:sectPr>
          <w:pgSz w:w="11900" w:h="16838" w:orient="portrait"/>
          <w:cols w:equalWidth="0" w:num="4">
            <w:col w:w="3060" w:space="720"/>
            <w:col w:w="1420" w:space="720"/>
            <w:col w:w="2620" w:space="720"/>
            <w:col w:w="2200"/>
          </w:cols>
          <w:pgMar w:left="220" w:top="1186" w:right="219" w:bottom="1440" w:gutter="0" w:footer="0" w:header="0"/>
          <w:type w:val="continuous"/>
        </w:sectPr>
      </w:pPr>
    </w:p>
    <w:p>
      <w:pPr>
        <w:ind w:left="200"/>
        <w:spacing w:after="0"/>
        <w:tabs>
          <w:tab w:leader="none" w:pos="5300" w:val="left"/>
          <w:tab w:leader="none" w:pos="570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tab/>
        <w:t>Yes o</w:t>
        <w:tab/>
        <w:t>No x</w:t>
      </w:r>
    </w:p>
    <w:p>
      <w:pPr>
        <w:sectPr>
          <w:pgSz w:w="11900" w:h="16838" w:orient="portrait"/>
          <w:cols w:equalWidth="0" w:num="1">
            <w:col w:w="11460"/>
          </w:cols>
          <w:pgMar w:left="220" w:top="1186" w:right="219" w:bottom="1440" w:gutter="0" w:footer="0" w:header="0"/>
          <w:type w:val="continuous"/>
        </w:sectPr>
      </w:pPr>
    </w:p>
    <w:p>
      <w:pPr>
        <w:spacing w:after="0" w:line="20"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NRG Yield LLC's outstanding equity interests are held by NRG Yield, Inc. and NRG Energy, Inc. and there are no equity interests held by non-affiliates.</w:t>
      </w:r>
    </w:p>
    <w:p>
      <w:pPr>
        <w:spacing w:after="0" w:line="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Indicate the number of shares outstanding of each of the registrant's classes of common stock as of the latest practicable date. There is no public market for the registrant's outstanding units.</w:t>
      </w:r>
    </w:p>
    <w:p>
      <w:pPr>
        <w:spacing w:after="0" w:line="186" w:lineRule="exact"/>
        <w:rPr>
          <w:sz w:val="24"/>
          <w:szCs w:val="24"/>
          <w:color w:val="auto"/>
        </w:rPr>
      </w:pPr>
    </w:p>
    <w:tbl>
      <w:tblPr>
        <w:tblLayout w:type="fixed"/>
        <w:tblInd w:w="4040" w:type="dxa"/>
        <w:tblCellMar>
          <w:top w:w="0" w:type="dxa"/>
          <w:left w:w="0" w:type="dxa"/>
          <w:bottom w:w="0" w:type="dxa"/>
          <w:right w:w="0" w:type="dxa"/>
        </w:tblCellMar>
      </w:tblPr>
      <w:tr>
        <w:trPr>
          <w:trHeight w:val="131"/>
        </w:trPr>
        <w:tc>
          <w:tcPr>
            <w:tcW w:w="1560" w:type="dxa"/>
            <w:vAlign w:val="bottom"/>
          </w:tcPr>
          <w:p>
            <w:pPr>
              <w:jc w:val="center"/>
              <w:ind w:right="970"/>
              <w:spacing w:after="0"/>
              <w:rPr>
                <w:sz w:val="20"/>
                <w:szCs w:val="20"/>
                <w:color w:val="auto"/>
              </w:rPr>
            </w:pPr>
            <w:r>
              <w:rPr>
                <w:rFonts w:ascii="Times New Roman" w:cs="Times New Roman" w:eastAsia="Times New Roman" w:hAnsi="Times New Roman"/>
                <w:sz w:val="10"/>
                <w:szCs w:val="10"/>
                <w:b w:val="1"/>
                <w:bCs w:val="1"/>
                <w:color w:val="auto"/>
                <w:w w:val="96"/>
              </w:rPr>
              <w:t>Class</w:t>
            </w:r>
          </w:p>
        </w:tc>
        <w:tc>
          <w:tcPr>
            <w:tcW w:w="2400" w:type="dxa"/>
            <w:vAlign w:val="bottom"/>
          </w:tcPr>
          <w:p>
            <w:pPr>
              <w:jc w:val="center"/>
              <w:ind w:left="970"/>
              <w:spacing w:after="0"/>
              <w:rPr>
                <w:sz w:val="20"/>
                <w:szCs w:val="20"/>
                <w:color w:val="auto"/>
              </w:rPr>
            </w:pPr>
            <w:r>
              <w:rPr>
                <w:rFonts w:ascii="Times New Roman" w:cs="Times New Roman" w:eastAsia="Times New Roman" w:hAnsi="Times New Roman"/>
                <w:sz w:val="10"/>
                <w:szCs w:val="10"/>
                <w:b w:val="1"/>
                <w:bCs w:val="1"/>
                <w:color w:val="auto"/>
                <w:w w:val="98"/>
              </w:rPr>
              <w:t>Outstanding at January 31, 2017</w:t>
            </w:r>
          </w:p>
        </w:tc>
      </w:tr>
      <w:tr>
        <w:trPr>
          <w:trHeight w:val="214"/>
        </w:trPr>
        <w:tc>
          <w:tcPr>
            <w:tcW w:w="1560" w:type="dxa"/>
            <w:vAlign w:val="bottom"/>
          </w:tcPr>
          <w:p>
            <w:pPr>
              <w:jc w:val="center"/>
              <w:ind w:right="970"/>
              <w:spacing w:after="0"/>
              <w:rPr>
                <w:sz w:val="20"/>
                <w:szCs w:val="20"/>
                <w:color w:val="auto"/>
              </w:rPr>
            </w:pPr>
            <w:r>
              <w:rPr>
                <w:rFonts w:ascii="Times New Roman" w:cs="Times New Roman" w:eastAsia="Times New Roman" w:hAnsi="Times New Roman"/>
                <w:sz w:val="10"/>
                <w:szCs w:val="10"/>
                <w:color w:val="auto"/>
                <w:w w:val="97"/>
              </w:rPr>
              <w:t>Class A Units</w:t>
            </w:r>
          </w:p>
        </w:tc>
        <w:tc>
          <w:tcPr>
            <w:tcW w:w="2400" w:type="dxa"/>
            <w:vAlign w:val="bottom"/>
          </w:tcPr>
          <w:p>
            <w:pPr>
              <w:jc w:val="center"/>
              <w:ind w:left="970"/>
              <w:spacing w:after="0"/>
              <w:rPr>
                <w:sz w:val="20"/>
                <w:szCs w:val="20"/>
                <w:color w:val="auto"/>
              </w:rPr>
            </w:pPr>
            <w:r>
              <w:rPr>
                <w:rFonts w:ascii="Times New Roman" w:cs="Times New Roman" w:eastAsia="Times New Roman" w:hAnsi="Times New Roman"/>
                <w:sz w:val="10"/>
                <w:szCs w:val="10"/>
                <w:color w:val="auto"/>
              </w:rPr>
              <w:t>34,586,250</w:t>
            </w:r>
          </w:p>
        </w:tc>
      </w:tr>
      <w:tr>
        <w:trPr>
          <w:trHeight w:val="214"/>
        </w:trPr>
        <w:tc>
          <w:tcPr>
            <w:tcW w:w="1560" w:type="dxa"/>
            <w:vAlign w:val="bottom"/>
          </w:tcPr>
          <w:p>
            <w:pPr>
              <w:jc w:val="center"/>
              <w:ind w:right="970"/>
              <w:spacing w:after="0"/>
              <w:rPr>
                <w:sz w:val="20"/>
                <w:szCs w:val="20"/>
                <w:color w:val="auto"/>
              </w:rPr>
            </w:pPr>
            <w:r>
              <w:rPr>
                <w:rFonts w:ascii="Times New Roman" w:cs="Times New Roman" w:eastAsia="Times New Roman" w:hAnsi="Times New Roman"/>
                <w:sz w:val="10"/>
                <w:szCs w:val="10"/>
                <w:color w:val="auto"/>
                <w:w w:val="98"/>
              </w:rPr>
              <w:t>Class B Units</w:t>
            </w:r>
          </w:p>
        </w:tc>
        <w:tc>
          <w:tcPr>
            <w:tcW w:w="2400" w:type="dxa"/>
            <w:vAlign w:val="bottom"/>
          </w:tcPr>
          <w:p>
            <w:pPr>
              <w:jc w:val="center"/>
              <w:ind w:left="970"/>
              <w:spacing w:after="0"/>
              <w:rPr>
                <w:sz w:val="20"/>
                <w:szCs w:val="20"/>
                <w:color w:val="auto"/>
              </w:rPr>
            </w:pPr>
            <w:r>
              <w:rPr>
                <w:rFonts w:ascii="Times New Roman" w:cs="Times New Roman" w:eastAsia="Times New Roman" w:hAnsi="Times New Roman"/>
                <w:sz w:val="10"/>
                <w:szCs w:val="10"/>
                <w:color w:val="auto"/>
              </w:rPr>
              <w:t>42,738,750</w:t>
            </w:r>
          </w:p>
        </w:tc>
      </w:tr>
      <w:tr>
        <w:trPr>
          <w:trHeight w:val="214"/>
        </w:trPr>
        <w:tc>
          <w:tcPr>
            <w:tcW w:w="1560" w:type="dxa"/>
            <w:vAlign w:val="bottom"/>
          </w:tcPr>
          <w:p>
            <w:pPr>
              <w:jc w:val="center"/>
              <w:ind w:right="970"/>
              <w:spacing w:after="0"/>
              <w:rPr>
                <w:sz w:val="20"/>
                <w:szCs w:val="20"/>
                <w:color w:val="auto"/>
              </w:rPr>
            </w:pPr>
            <w:r>
              <w:rPr>
                <w:rFonts w:ascii="Times New Roman" w:cs="Times New Roman" w:eastAsia="Times New Roman" w:hAnsi="Times New Roman"/>
                <w:sz w:val="10"/>
                <w:szCs w:val="10"/>
                <w:color w:val="auto"/>
                <w:w w:val="98"/>
              </w:rPr>
              <w:t>Class C Units</w:t>
            </w:r>
          </w:p>
        </w:tc>
        <w:tc>
          <w:tcPr>
            <w:tcW w:w="2400" w:type="dxa"/>
            <w:vAlign w:val="bottom"/>
          </w:tcPr>
          <w:p>
            <w:pPr>
              <w:jc w:val="center"/>
              <w:ind w:left="970"/>
              <w:spacing w:after="0"/>
              <w:rPr>
                <w:sz w:val="20"/>
                <w:szCs w:val="20"/>
                <w:color w:val="auto"/>
              </w:rPr>
            </w:pPr>
            <w:r>
              <w:rPr>
                <w:rFonts w:ascii="Times New Roman" w:cs="Times New Roman" w:eastAsia="Times New Roman" w:hAnsi="Times New Roman"/>
                <w:sz w:val="10"/>
                <w:szCs w:val="10"/>
                <w:color w:val="auto"/>
              </w:rPr>
              <w:t>62,789,804</w:t>
            </w:r>
          </w:p>
        </w:tc>
      </w:tr>
      <w:tr>
        <w:trPr>
          <w:trHeight w:val="214"/>
        </w:trPr>
        <w:tc>
          <w:tcPr>
            <w:tcW w:w="1560" w:type="dxa"/>
            <w:vAlign w:val="bottom"/>
          </w:tcPr>
          <w:p>
            <w:pPr>
              <w:jc w:val="center"/>
              <w:ind w:right="970"/>
              <w:spacing w:after="0"/>
              <w:rPr>
                <w:sz w:val="20"/>
                <w:szCs w:val="20"/>
                <w:color w:val="auto"/>
              </w:rPr>
            </w:pPr>
            <w:r>
              <w:rPr>
                <w:rFonts w:ascii="Times New Roman" w:cs="Times New Roman" w:eastAsia="Times New Roman" w:hAnsi="Times New Roman"/>
                <w:sz w:val="10"/>
                <w:szCs w:val="10"/>
                <w:color w:val="auto"/>
                <w:w w:val="97"/>
              </w:rPr>
              <w:t>Class D Units</w:t>
            </w:r>
          </w:p>
        </w:tc>
        <w:tc>
          <w:tcPr>
            <w:tcW w:w="2400" w:type="dxa"/>
            <w:vAlign w:val="bottom"/>
          </w:tcPr>
          <w:p>
            <w:pPr>
              <w:jc w:val="center"/>
              <w:ind w:left="970"/>
              <w:spacing w:after="0"/>
              <w:rPr>
                <w:sz w:val="20"/>
                <w:szCs w:val="20"/>
                <w:color w:val="auto"/>
              </w:rPr>
            </w:pPr>
            <w:r>
              <w:rPr>
                <w:rFonts w:ascii="Times New Roman" w:cs="Times New Roman" w:eastAsia="Times New Roman" w:hAnsi="Times New Roman"/>
                <w:sz w:val="10"/>
                <w:szCs w:val="10"/>
                <w:color w:val="auto"/>
              </w:rPr>
              <w:t>42,738,750</w:t>
            </w:r>
          </w:p>
        </w:tc>
      </w:tr>
    </w:tbl>
    <w:p>
      <w:pPr>
        <w:ind w:left="472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3" w:lineRule="exact"/>
        <w:rPr>
          <w:sz w:val="24"/>
          <w:szCs w:val="24"/>
          <w:color w:val="auto"/>
        </w:rPr>
      </w:pPr>
    </w:p>
    <w:p>
      <w:pPr>
        <w:ind w:left="5680"/>
        <w:spacing w:after="0"/>
        <w:rPr>
          <w:sz w:val="20"/>
          <w:szCs w:val="20"/>
          <w:color w:val="auto"/>
        </w:rPr>
      </w:pPr>
      <w:r>
        <w:rPr>
          <w:rFonts w:ascii="Times New Roman" w:cs="Times New Roman" w:eastAsia="Times New Roman" w:hAnsi="Times New Roman"/>
          <w:sz w:val="12"/>
          <w:szCs w:val="12"/>
          <w:b w:val="1"/>
          <w:bCs w:val="1"/>
          <w:color w:val="auto"/>
        </w:rPr>
        <w:t>None.</w:t>
      </w:r>
    </w:p>
    <w:p>
      <w:pPr>
        <w:spacing w:after="0" w:line="1" w:lineRule="exact"/>
        <w:rPr>
          <w:sz w:val="24"/>
          <w:szCs w:val="24"/>
          <w:color w:val="auto"/>
        </w:rPr>
      </w:pPr>
    </w:p>
    <w:p>
      <w:pPr>
        <w:ind w:right="260"/>
        <w:spacing w:after="0" w:line="253" w:lineRule="auto"/>
        <w:rPr>
          <w:sz w:val="20"/>
          <w:szCs w:val="20"/>
          <w:color w:val="auto"/>
        </w:rPr>
      </w:pPr>
      <w:r>
        <w:rPr>
          <w:rFonts w:ascii="Times New Roman" w:cs="Times New Roman" w:eastAsia="Times New Roman" w:hAnsi="Times New Roman"/>
          <w:sz w:val="12"/>
          <w:szCs w:val="12"/>
          <w:color w:val="auto"/>
        </w:rPr>
        <w:t>NOTE: WHEREAS NRG YIELD LLC MEETS THE CONDITIONS SET FORTH IN GENERAL INSTRUCTION I(1)(a) AND (b) OF FORM 10-K, THIS FORM 10-K IS BEING FILED WITH THE REDUCED DISCLOSURE FORMAT PURSUANT TO GENERAL INSTRUCTION I(2).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wp:posOffset>
            </wp:positionH>
            <wp:positionV relativeFrom="paragraph">
              <wp:posOffset>128905</wp:posOffset>
            </wp:positionV>
            <wp:extent cx="708406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4060" cy="2032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60960</wp:posOffset>
            </wp:positionV>
            <wp:extent cx="70840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4060" cy="6985"/>
                    </a:xfrm>
                    <a:prstGeom prst="rect">
                      <a:avLst/>
                    </a:prstGeom>
                    <a:noFill/>
                  </pic:spPr>
                </pic:pic>
              </a:graphicData>
            </a:graphic>
          </wp:anchor>
        </w:drawing>
      </w:r>
    </w:p>
    <w:p>
      <w:pPr>
        <w:sectPr>
          <w:pgSz w:w="11900" w:h="16838" w:orient="portrait"/>
          <w:cols w:equalWidth="0" w:num="1">
            <w:col w:w="11460"/>
          </w:cols>
          <w:pgMar w:left="220" w:top="1186"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9200" w:type="dxa"/>
            <w:vAlign w:val="bottom"/>
          </w:tcPr>
          <w:p>
            <w:pPr>
              <w:jc w:val="center"/>
              <w:ind w:left="214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7"/>
        </w:trPr>
        <w:tc>
          <w:tcPr>
            <w:tcW w:w="9200" w:type="dxa"/>
            <w:vAlign w:val="bottom"/>
          </w:tcPr>
          <w:p>
            <w:pPr>
              <w:jc w:val="center"/>
              <w:ind w:left="2149"/>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9"/>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GLOSSARY OF TERMS</w:t>
            </w:r>
          </w:p>
        </w:tc>
        <w:tc>
          <w:tcPr>
            <w:tcW w:w="2140" w:type="dxa"/>
            <w:vAlign w:val="bottom"/>
            <w:gridSpan w:val="4"/>
          </w:tcPr>
          <w:p>
            <w:pPr>
              <w:spacing w:after="0"/>
              <w:rPr>
                <w:sz w:val="23"/>
                <w:szCs w:val="23"/>
                <w:color w:val="auto"/>
              </w:rPr>
            </w:pPr>
          </w:p>
        </w:tc>
        <w:tc>
          <w:tcPr>
            <w:tcW w:w="80" w:type="dxa"/>
            <w:vAlign w:val="bottom"/>
            <w:tcBorders>
              <w:bottom w:val="single" w:sz="8" w:color="0000EE"/>
            </w:tcBorders>
          </w:tcPr>
          <w:p>
            <w:pPr>
              <w:jc w:val="right"/>
              <w:spacing w:after="0"/>
              <w:rPr>
                <w:rFonts w:ascii="Times New Roman" w:cs="Times New Roman" w:eastAsia="Times New Roman" w:hAnsi="Times New Roman"/>
                <w:sz w:val="14"/>
                <w:szCs w:val="14"/>
                <w:b w:val="1"/>
                <w:bCs w:val="1"/>
                <w:color w:val="0000EE"/>
                <w:w w:val="84"/>
              </w:rPr>
            </w:pPr>
            <w:hyperlink w:anchor="page3">
              <w:r>
                <w:rPr>
                  <w:rFonts w:ascii="Times New Roman" w:cs="Times New Roman" w:eastAsia="Times New Roman" w:hAnsi="Times New Roman"/>
                  <w:sz w:val="14"/>
                  <w:szCs w:val="14"/>
                  <w:b w:val="1"/>
                  <w:bCs w:val="1"/>
                  <w:color w:val="0000EE"/>
                  <w:w w:val="84"/>
                </w:rPr>
                <w:t>3</w:t>
              </w:r>
            </w:hyperlink>
          </w:p>
        </w:tc>
      </w:tr>
      <w:tr>
        <w:trPr>
          <w:trHeight w:val="194"/>
        </w:trPr>
        <w:tc>
          <w:tcPr>
            <w:tcW w:w="9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2140" w:type="dxa"/>
            <w:vAlign w:val="bottom"/>
            <w:gridSpan w:val="4"/>
          </w:tcPr>
          <w:p>
            <w:pPr>
              <w:spacing w:after="0"/>
              <w:rPr>
                <w:sz w:val="16"/>
                <w:szCs w:val="16"/>
                <w:color w:val="auto"/>
              </w:rPr>
            </w:pPr>
          </w:p>
        </w:tc>
        <w:tc>
          <w:tcPr>
            <w:tcW w:w="80" w:type="dxa"/>
            <w:vAlign w:val="bottom"/>
            <w:tcBorders>
              <w:bottom w:val="single" w:sz="8" w:color="0000EE"/>
            </w:tcBorders>
          </w:tcPr>
          <w:p>
            <w:pPr>
              <w:jc w:val="right"/>
              <w:spacing w:after="0"/>
              <w:rPr>
                <w:rFonts w:ascii="Times New Roman" w:cs="Times New Roman" w:eastAsia="Times New Roman" w:hAnsi="Times New Roman"/>
                <w:sz w:val="14"/>
                <w:szCs w:val="14"/>
                <w:b w:val="1"/>
                <w:bCs w:val="1"/>
                <w:color w:val="0000EE"/>
                <w:w w:val="84"/>
              </w:rPr>
            </w:pPr>
            <w:hyperlink w:anchor="page6">
              <w:r>
                <w:rPr>
                  <w:rFonts w:ascii="Times New Roman" w:cs="Times New Roman" w:eastAsia="Times New Roman" w:hAnsi="Times New Roman"/>
                  <w:sz w:val="14"/>
                  <w:szCs w:val="14"/>
                  <w:b w:val="1"/>
                  <w:bCs w:val="1"/>
                  <w:color w:val="0000EE"/>
                  <w:w w:val="84"/>
                </w:rPr>
                <w:t>6</w:t>
              </w:r>
            </w:hyperlink>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1 — Business</w:t>
            </w:r>
          </w:p>
        </w:tc>
        <w:tc>
          <w:tcPr>
            <w:tcW w:w="2140" w:type="dxa"/>
            <w:vAlign w:val="bottom"/>
            <w:gridSpan w:val="4"/>
          </w:tcPr>
          <w:p>
            <w:pPr>
              <w:spacing w:after="0"/>
              <w:rPr>
                <w:sz w:val="16"/>
                <w:szCs w:val="16"/>
                <w:color w:val="auto"/>
              </w:rPr>
            </w:pPr>
          </w:p>
        </w:tc>
        <w:tc>
          <w:tcPr>
            <w:tcW w:w="80" w:type="dxa"/>
            <w:vAlign w:val="bottom"/>
            <w:tcBorders>
              <w:bottom w:val="single" w:sz="8" w:color="0000EE"/>
            </w:tcBorders>
          </w:tcPr>
          <w:p>
            <w:pPr>
              <w:jc w:val="right"/>
              <w:spacing w:after="0"/>
              <w:rPr>
                <w:rFonts w:ascii="Times New Roman" w:cs="Times New Roman" w:eastAsia="Times New Roman" w:hAnsi="Times New Roman"/>
                <w:sz w:val="14"/>
                <w:szCs w:val="14"/>
                <w:b w:val="1"/>
                <w:bCs w:val="1"/>
                <w:color w:val="0000EE"/>
                <w:w w:val="84"/>
              </w:rPr>
            </w:pPr>
            <w:hyperlink w:anchor="page6">
              <w:r>
                <w:rPr>
                  <w:rFonts w:ascii="Times New Roman" w:cs="Times New Roman" w:eastAsia="Times New Roman" w:hAnsi="Times New Roman"/>
                  <w:sz w:val="14"/>
                  <w:szCs w:val="14"/>
                  <w:b w:val="1"/>
                  <w:bCs w:val="1"/>
                  <w:color w:val="0000EE"/>
                  <w:w w:val="84"/>
                </w:rPr>
                <w:t>6</w:t>
              </w:r>
            </w:hyperlink>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1A — Risk Factors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12">
              <w:r>
                <w:rPr>
                  <w:rFonts w:ascii="Times New Roman" w:cs="Times New Roman" w:eastAsia="Times New Roman" w:hAnsi="Times New Roman"/>
                  <w:sz w:val="14"/>
                  <w:szCs w:val="14"/>
                  <w:b w:val="1"/>
                  <w:bCs w:val="1"/>
                  <w:color w:val="0000EE"/>
                </w:rPr>
                <w:t>12</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1B — Unresolved Staff Comments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27">
              <w:r>
                <w:rPr>
                  <w:rFonts w:ascii="Times New Roman" w:cs="Times New Roman" w:eastAsia="Times New Roman" w:hAnsi="Times New Roman"/>
                  <w:sz w:val="14"/>
                  <w:szCs w:val="14"/>
                  <w:b w:val="1"/>
                  <w:bCs w:val="1"/>
                  <w:color w:val="0000EE"/>
                </w:rPr>
                <w:t>27</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2 — Properties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28">
              <w:r>
                <w:rPr>
                  <w:rFonts w:ascii="Times New Roman" w:cs="Times New Roman" w:eastAsia="Times New Roman" w:hAnsi="Times New Roman"/>
                  <w:sz w:val="14"/>
                  <w:szCs w:val="14"/>
                  <w:b w:val="1"/>
                  <w:bCs w:val="1"/>
                  <w:color w:val="0000EE"/>
                </w:rPr>
                <w:t>28</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3 — Legal Proceedings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31">
              <w:r>
                <w:rPr>
                  <w:rFonts w:ascii="Times New Roman" w:cs="Times New Roman" w:eastAsia="Times New Roman" w:hAnsi="Times New Roman"/>
                  <w:sz w:val="14"/>
                  <w:szCs w:val="14"/>
                  <w:b w:val="1"/>
                  <w:bCs w:val="1"/>
                  <w:color w:val="0000EE"/>
                </w:rPr>
                <w:t>31</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4 — Mine Safety Disclosures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31">
              <w:r>
                <w:rPr>
                  <w:rFonts w:ascii="Times New Roman" w:cs="Times New Roman" w:eastAsia="Times New Roman" w:hAnsi="Times New Roman"/>
                  <w:sz w:val="14"/>
                  <w:szCs w:val="14"/>
                  <w:b w:val="1"/>
                  <w:bCs w:val="1"/>
                  <w:color w:val="0000EE"/>
                </w:rPr>
                <w:t>31</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32">
              <w:r>
                <w:rPr>
                  <w:rFonts w:ascii="Times New Roman" w:cs="Times New Roman" w:eastAsia="Times New Roman" w:hAnsi="Times New Roman"/>
                  <w:sz w:val="14"/>
                  <w:szCs w:val="14"/>
                  <w:b w:val="1"/>
                  <w:bCs w:val="1"/>
                  <w:color w:val="0000EE"/>
                </w:rPr>
                <w:t>32</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5 — Market for Registrant's Common Equity, Related Stockholder Matters and Issuer Purchases of Equity Securities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32">
              <w:r>
                <w:rPr>
                  <w:rFonts w:ascii="Times New Roman" w:cs="Times New Roman" w:eastAsia="Times New Roman" w:hAnsi="Times New Roman"/>
                  <w:sz w:val="14"/>
                  <w:szCs w:val="14"/>
                  <w:b w:val="1"/>
                  <w:bCs w:val="1"/>
                  <w:color w:val="0000EE"/>
                </w:rPr>
                <w:t>32</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6 — Selected Financial Data</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33">
              <w:r>
                <w:rPr>
                  <w:rFonts w:ascii="Times New Roman" w:cs="Times New Roman" w:eastAsia="Times New Roman" w:hAnsi="Times New Roman"/>
                  <w:sz w:val="14"/>
                  <w:szCs w:val="14"/>
                  <w:b w:val="1"/>
                  <w:bCs w:val="1"/>
                  <w:color w:val="0000EE"/>
                </w:rPr>
                <w:t>33</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7 — Management's Discussion and Analysis of Financial Condition and Results of Operations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34">
              <w:r>
                <w:rPr>
                  <w:rFonts w:ascii="Times New Roman" w:cs="Times New Roman" w:eastAsia="Times New Roman" w:hAnsi="Times New Roman"/>
                  <w:sz w:val="14"/>
                  <w:szCs w:val="14"/>
                  <w:b w:val="1"/>
                  <w:bCs w:val="1"/>
                  <w:color w:val="0000EE"/>
                </w:rPr>
                <w:t>34</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7A — Quantitative and Qualitative Disclosures About Market Risk</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6">
              <w:r>
                <w:rPr>
                  <w:rFonts w:ascii="Times New Roman" w:cs="Times New Roman" w:eastAsia="Times New Roman" w:hAnsi="Times New Roman"/>
                  <w:sz w:val="14"/>
                  <w:szCs w:val="14"/>
                  <w:b w:val="1"/>
                  <w:bCs w:val="1"/>
                  <w:color w:val="0000EE"/>
                </w:rPr>
                <w:t>56</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8 — Financial Statements and Supplementary Data</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6">
              <w:r>
                <w:rPr>
                  <w:rFonts w:ascii="Times New Roman" w:cs="Times New Roman" w:eastAsia="Times New Roman" w:hAnsi="Times New Roman"/>
                  <w:sz w:val="14"/>
                  <w:szCs w:val="14"/>
                  <w:b w:val="1"/>
                  <w:bCs w:val="1"/>
                  <w:color w:val="0000EE"/>
                </w:rPr>
                <w:t>56</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9 — Changes in Disagreements With Accountants on Accounting and Financial Disclosure</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7">
              <w:r>
                <w:rPr>
                  <w:rFonts w:ascii="Times New Roman" w:cs="Times New Roman" w:eastAsia="Times New Roman" w:hAnsi="Times New Roman"/>
                  <w:sz w:val="14"/>
                  <w:szCs w:val="14"/>
                  <w:b w:val="1"/>
                  <w:bCs w:val="1"/>
                  <w:color w:val="0000EE"/>
                </w:rPr>
                <w:t>57</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9A — Controls and Procedures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7">
              <w:r>
                <w:rPr>
                  <w:rFonts w:ascii="Times New Roman" w:cs="Times New Roman" w:eastAsia="Times New Roman" w:hAnsi="Times New Roman"/>
                  <w:sz w:val="14"/>
                  <w:szCs w:val="14"/>
                  <w:b w:val="1"/>
                  <w:bCs w:val="1"/>
                  <w:color w:val="0000EE"/>
                </w:rPr>
                <w:t>57</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9B — Other Information</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7">
              <w:r>
                <w:rPr>
                  <w:rFonts w:ascii="Times New Roman" w:cs="Times New Roman" w:eastAsia="Times New Roman" w:hAnsi="Times New Roman"/>
                  <w:sz w:val="14"/>
                  <w:szCs w:val="14"/>
                  <w:b w:val="1"/>
                  <w:bCs w:val="1"/>
                  <w:color w:val="0000EE"/>
                </w:rPr>
                <w:t>57</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8">
              <w:r>
                <w:rPr>
                  <w:rFonts w:ascii="Times New Roman" w:cs="Times New Roman" w:eastAsia="Times New Roman" w:hAnsi="Times New Roman"/>
                  <w:sz w:val="14"/>
                  <w:szCs w:val="14"/>
                  <w:b w:val="1"/>
                  <w:bCs w:val="1"/>
                  <w:color w:val="0000EE"/>
                </w:rPr>
                <w:t>58</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10 — Directors, Executive Officers and Corporate Governance</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8">
              <w:r>
                <w:rPr>
                  <w:rFonts w:ascii="Times New Roman" w:cs="Times New Roman" w:eastAsia="Times New Roman" w:hAnsi="Times New Roman"/>
                  <w:sz w:val="14"/>
                  <w:szCs w:val="14"/>
                  <w:b w:val="1"/>
                  <w:bCs w:val="1"/>
                  <w:color w:val="0000EE"/>
                </w:rPr>
                <w:t>58</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11 — Executive Compensation</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8">
              <w:r>
                <w:rPr>
                  <w:rFonts w:ascii="Times New Roman" w:cs="Times New Roman" w:eastAsia="Times New Roman" w:hAnsi="Times New Roman"/>
                  <w:sz w:val="14"/>
                  <w:szCs w:val="14"/>
                  <w:b w:val="1"/>
                  <w:bCs w:val="1"/>
                  <w:color w:val="0000EE"/>
                </w:rPr>
                <w:t>58</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12 — Security Ownership of Certain Beneficial Owners and Management and Related Stockholder Matters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8">
              <w:r>
                <w:rPr>
                  <w:rFonts w:ascii="Times New Roman" w:cs="Times New Roman" w:eastAsia="Times New Roman" w:hAnsi="Times New Roman"/>
                  <w:sz w:val="14"/>
                  <w:szCs w:val="14"/>
                  <w:b w:val="1"/>
                  <w:bCs w:val="1"/>
                  <w:color w:val="0000EE"/>
                </w:rPr>
                <w:t>58</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13 — Certain Relationships and Related Transactions, and Director Independence</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8">
              <w:r>
                <w:rPr>
                  <w:rFonts w:ascii="Times New Roman" w:cs="Times New Roman" w:eastAsia="Times New Roman" w:hAnsi="Times New Roman"/>
                  <w:sz w:val="14"/>
                  <w:szCs w:val="14"/>
                  <w:b w:val="1"/>
                  <w:bCs w:val="1"/>
                  <w:color w:val="0000EE"/>
                </w:rPr>
                <w:t>58</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14 — Principal Accounting Fees and Services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58">
              <w:r>
                <w:rPr>
                  <w:rFonts w:ascii="Times New Roman" w:cs="Times New Roman" w:eastAsia="Times New Roman" w:hAnsi="Times New Roman"/>
                  <w:sz w:val="14"/>
                  <w:szCs w:val="14"/>
                  <w:b w:val="1"/>
                  <w:bCs w:val="1"/>
                  <w:color w:val="0000EE"/>
                </w:rPr>
                <w:t>58</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60">
              <w:r>
                <w:rPr>
                  <w:rFonts w:ascii="Times New Roman" w:cs="Times New Roman" w:eastAsia="Times New Roman" w:hAnsi="Times New Roman"/>
                  <w:sz w:val="14"/>
                  <w:szCs w:val="14"/>
                  <w:b w:val="1"/>
                  <w:bCs w:val="1"/>
                  <w:color w:val="0000EE"/>
                </w:rPr>
                <w:t>60</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15 — Exhibits, Financial Statement Schedules</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60">
              <w:r>
                <w:rPr>
                  <w:rFonts w:ascii="Times New Roman" w:cs="Times New Roman" w:eastAsia="Times New Roman" w:hAnsi="Times New Roman"/>
                  <w:sz w:val="14"/>
                  <w:szCs w:val="14"/>
                  <w:b w:val="1"/>
                  <w:bCs w:val="1"/>
                  <w:color w:val="0000EE"/>
                </w:rPr>
                <w:t>60</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4"/>
        </w:trPr>
        <w:tc>
          <w:tcPr>
            <w:tcW w:w="9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118">
              <w:r>
                <w:rPr>
                  <w:rFonts w:ascii="Times New Roman" w:cs="Times New Roman" w:eastAsia="Times New Roman" w:hAnsi="Times New Roman"/>
                  <w:sz w:val="14"/>
                  <w:szCs w:val="14"/>
                  <w:b w:val="1"/>
                  <w:bCs w:val="1"/>
                  <w:color w:val="0000EE"/>
                </w:rPr>
                <w:t>118</w:t>
              </w:r>
            </w:hyperlink>
          </w:p>
        </w:tc>
      </w:tr>
      <w:tr>
        <w:trPr>
          <w:trHeight w:val="20"/>
        </w:trPr>
        <w:tc>
          <w:tcPr>
            <w:tcW w:w="9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94"/>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Item 16 — Form 10-K Summary</w:t>
            </w:r>
          </w:p>
        </w:tc>
        <w:tc>
          <w:tcPr>
            <w:tcW w:w="2220" w:type="dxa"/>
            <w:vAlign w:val="bottom"/>
            <w:gridSpan w:val="5"/>
          </w:tcPr>
          <w:p>
            <w:pPr>
              <w:jc w:val="right"/>
              <w:spacing w:after="0"/>
              <w:rPr>
                <w:rFonts w:ascii="Times New Roman" w:cs="Times New Roman" w:eastAsia="Times New Roman" w:hAnsi="Times New Roman"/>
                <w:sz w:val="14"/>
                <w:szCs w:val="14"/>
                <w:b w:val="1"/>
                <w:bCs w:val="1"/>
                <w:color w:val="0000EE"/>
              </w:rPr>
            </w:pPr>
            <w:hyperlink w:anchor="page122">
              <w:r>
                <w:rPr>
                  <w:rFonts w:ascii="Times New Roman" w:cs="Times New Roman" w:eastAsia="Times New Roman" w:hAnsi="Times New Roman"/>
                  <w:sz w:val="14"/>
                  <w:szCs w:val="14"/>
                  <w:b w:val="1"/>
                  <w:bCs w:val="1"/>
                  <w:color w:val="0000EE"/>
                </w:rPr>
                <w:t>122</w:t>
              </w:r>
            </w:hyperlink>
          </w:p>
        </w:tc>
      </w:tr>
      <w:tr>
        <w:trPr>
          <w:trHeight w:val="397"/>
        </w:trPr>
        <w:tc>
          <w:tcPr>
            <w:tcW w:w="9200" w:type="dxa"/>
            <w:vAlign w:val="bottom"/>
          </w:tcPr>
          <w:p>
            <w:pPr>
              <w:jc w:val="center"/>
              <w:ind w:left="2149"/>
              <w:spacing w:after="0"/>
              <w:rPr>
                <w:sz w:val="20"/>
                <w:szCs w:val="20"/>
                <w:color w:val="auto"/>
              </w:rPr>
            </w:pPr>
            <w:r>
              <w:rPr>
                <w:rFonts w:ascii="Times New Roman" w:cs="Times New Roman" w:eastAsia="Times New Roman" w:hAnsi="Times New Roman"/>
                <w:sz w:val="14"/>
                <w:szCs w:val="14"/>
                <w:color w:val="auto"/>
                <w:w w:val="85"/>
              </w:rPr>
              <w:t>2</w:t>
            </w:r>
          </w:p>
        </w:tc>
        <w:tc>
          <w:tcPr>
            <w:tcW w:w="20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420"/>
          </w:cols>
          <w:pgMar w:left="240" w:top="1023" w:right="23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4"/>
          <w:szCs w:val="14"/>
          <w:b w:val="1"/>
          <w:bCs w:val="1"/>
          <w:color w:val="auto"/>
        </w:rPr>
        <w:t>GLOSSARY OF TERMS</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p>
      <w:pPr>
        <w:sectPr>
          <w:pgSz w:w="11900" w:h="16838" w:orient="portrait"/>
          <w:cols w:equalWidth="0" w:num="1">
            <w:col w:w="11420"/>
          </w:cols>
          <w:pgMar w:left="240" w:top="766" w:right="239"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2017 Drop Down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2019 Convertible Notes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2020 Convertible Notes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Senior Notes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2026 Senior Notes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2037 Notes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Alta TE Holdco</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Alta Wind Portfolio</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AOCL</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ARO</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ARRA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ASU</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ATM Program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Buffalo Bear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CAFD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CfD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CFTC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Code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CVSR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CVSR Drop Down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CVSR Holdco</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DGPV Holdco 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DGPV Holdco 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Distributed Solar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Drop Down Assets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Economic Gross Margin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EDA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EGU</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 16% interest (approximately 31% of NRG's 51% interest) in the Agua Caliente solar farm and (ii) NRG's interests in seven utility-scale solar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farms located in Utah. Both are subject of the definitive purchase agreements that the Company entered into with NRG on February 24, 2017</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Yield, Inc.'s $345 million aggregate principal amount of 3.50% Convertible Notes due 2019</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Yield, Inc.'s $287.5 million aggregate principal amount of 3.25% Convertible Notes due 2020</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$500 million aggregate principal amount of 5.375% unsecured senior notes due 2024, issued by NRG Yield Operating LLC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$350 million aggregate principal amount of 5.00% unsecured senior notes due 2026, issued by NRG Yield Operating LLC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million aggregate principal amount of 4.68% senior secured notes due 2037, issued by CVSR Holdco</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Alta Wind X-XI TE Holdco LLC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Seven wind facilities that total 947 MW located in Tehachapi, California and a portfolio of associated land leases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Accumulated Other Comprehensive Loss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 Retirement Obligation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American Recovery and Reinvestment Act of 2009</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authoritative GAAP</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Standards Updates – updates to the ASC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At-The-Market Equity Offering Program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Buffalo Bear, LLC, the operating subsidiary of Tapestry Wind LLC, which owns the Buffalo Bear project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Clean Air Act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Available For Distribution, which the Company defines as net income before interest expense, income taxes, depreciation and amortization,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plus cash distributions from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unconsolidated affiliates, cash receipts from notes receivable, less cash distributions to noncontrolling interests, maintenance capital expenditures,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pro-rata EBITDA from unconsolidated affiliates, cash interest paid, income taxes paid, principal amortization of indebtedness and changes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accrued capacity payments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for Differences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Commodity Future Trading Commission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Commercial Operations Date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Internal Revenue Code of 1986, as amended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NRG Yield LLC, together with its consolidated subsidiaries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California Valley Solar Ranch</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acquisition from NRG of the remaining 51.05% interest of CVSR Holdco</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CVSR Holdco LLC, the indirect owner of CVSR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NRG DGPV Holdco 1 LLC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NRG DGPV Holdco 2 LLC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Solar power projects, typically less than 20 MW in size, that primarily sell power produced to customers for usage on site, or are interconnected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 power into the local distribution grid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Collectively, the June 2014 Drop Down Assets, January 2015 Drop Down Assets, November 2015 Drop Down Assets, and CVSR Drop Down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Energy and capacity revenue, less cost of fuels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 Distribution Agreement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Electric Utility Generating Unit</w:t>
      </w:r>
    </w:p>
    <w:p>
      <w:pPr>
        <w:spacing w:after="0" w:line="200" w:lineRule="exact"/>
        <w:rPr>
          <w:sz w:val="20"/>
          <w:szCs w:val="20"/>
          <w:color w:val="auto"/>
        </w:rPr>
      </w:pPr>
    </w:p>
    <w:p>
      <w:pPr>
        <w:sectPr>
          <w:pgSz w:w="11900" w:h="16838" w:orient="portrait"/>
          <w:cols w:equalWidth="0" w:num="2">
            <w:col w:w="2260" w:space="720"/>
            <w:col w:w="8440"/>
          </w:cols>
          <w:pgMar w:left="240" w:top="766"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420"/>
          </w:cols>
          <w:pgMar w:left="240" w:top="766"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El Segundo</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NRG West Holdings LLC, the subsidiary of Natural Gas Repowering LLC, which owns the El Segundo Energy Center project</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EME</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Edison Mission Energy</w:t>
            </w:r>
          </w:p>
        </w:tc>
        <w:tc>
          <w:tcPr>
            <w:tcW w:w="0" w:type="dxa"/>
            <w:vAlign w:val="bottom"/>
          </w:tcPr>
          <w:p>
            <w:pPr>
              <w:spacing w:after="0"/>
              <w:rPr>
                <w:sz w:val="1"/>
                <w:szCs w:val="1"/>
                <w:color w:val="auto"/>
              </w:rPr>
            </w:pPr>
          </w:p>
        </w:tc>
      </w:tr>
      <w:tr>
        <w:trPr>
          <w:trHeight w:val="201"/>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EME Assets</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January 2015 Drop Down Assets and the November 2015 Drop Down Assets (other than Elbow Creek), originally acquired by NRG from</w:t>
            </w: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EME on April 1, 2014</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EPC</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Engineering, Procurement and Construction</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ERCOT</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Electric Reliability Council of Texas, the ISO and the regional reliability coordinator of the various electricity systems within Texas</w:t>
            </w:r>
          </w:p>
        </w:tc>
        <w:tc>
          <w:tcPr>
            <w:tcW w:w="0" w:type="dxa"/>
            <w:vAlign w:val="bottom"/>
          </w:tcPr>
          <w:p>
            <w:pPr>
              <w:spacing w:after="0"/>
              <w:rPr>
                <w:sz w:val="1"/>
                <w:szCs w:val="1"/>
                <w:color w:val="auto"/>
              </w:rPr>
            </w:pPr>
          </w:p>
        </w:tc>
      </w:tr>
      <w:tr>
        <w:trPr>
          <w:trHeight w:val="386"/>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EWG</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Exempt Wholesale Generator</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Exchange Act</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FASB</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FERC</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Federal Energy Regulatory Commission</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FPA</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Federal Power Act</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GAAP</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GenConn</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GenConn Energy LLC</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GHG</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Greenhouse gas</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GW</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Gigawatt</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HLBV</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Hypothetical Liquidation at Book Value</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IASB</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International Accounting Standards Board</w:t>
            </w: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IRS</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Internal Revenue Service</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ISO</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Independent System Operator, also referred to as Regional Transmission Organization, or RTO</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ITC</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Investment Tax Credit</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January 2015 Drop Down Assets</w:t>
            </w:r>
          </w:p>
        </w:tc>
        <w:tc>
          <w:tcPr>
            <w:tcW w:w="89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The Laredo Ridge, Tapestry and Walnut Creek projects, which were acquired by Yield Operating LLC from NRG on January 2, 2015</w:t>
            </w: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8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June 2014 Drop Down Assets</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TA High Desert, Kansas South and El Segundo projects, which were acquired by Yield Operating LLC from NRG on June 30, 2014</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Kansas South</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NRG Solar Kansas South LLC, the operating subsidiary of NRG Solar Kansas South Holdings LLC, which owns the Kansas South project</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KPPH</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1,000 Pounds Per Hour</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Laredo Ridge</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Laredo Ridge Wind, LLC, the operating subsidiary of Mission Wind Laredo, LLC, which owns the Laredo Ridge project</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LIBOR</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London Inter-Bank Offered Rate</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Marsh Landing</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NRG Marsh Landing LLC, formerly GenOn Marsh Landing LLC</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MMBtu</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Million British Thermal Units</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MW</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Megawatt</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MWh</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MWt</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Megawatts Thermal Equivalent</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NECP</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NRG Energy Center Pittsburgh LLC</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NERC</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North American Electric Reliability Corporation</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Net Exposure</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Counterparty credit exposure to NRG Yield, Inc. net of collateral</w:t>
            </w:r>
          </w:p>
        </w:tc>
        <w:tc>
          <w:tcPr>
            <w:tcW w:w="0" w:type="dxa"/>
            <w:vAlign w:val="bottom"/>
          </w:tcPr>
          <w:p>
            <w:pPr>
              <w:spacing w:after="0"/>
              <w:rPr>
                <w:sz w:val="1"/>
                <w:szCs w:val="1"/>
                <w:color w:val="auto"/>
              </w:rPr>
            </w:pPr>
          </w:p>
        </w:tc>
      </w:tr>
      <w:tr>
        <w:trPr>
          <w:trHeight w:val="201"/>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November 2015 Drop Down Assets</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75% of the Class B interests of NRG Wind TE Holdco, which owns a portfolio of 12 wind facilities totaling 814 net MW, which was acquired by</w:t>
            </w: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Yield Operating LLC from NRG on November 3, 2015</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NO</w:t>
            </w:r>
            <w:r>
              <w:rPr>
                <w:rFonts w:ascii="Times New Roman" w:cs="Times New Roman" w:eastAsia="Times New Roman" w:hAnsi="Times New Roman"/>
                <w:sz w:val="9"/>
                <w:szCs w:val="9"/>
                <w:color w:val="auto"/>
              </w:rPr>
              <w:t>x</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Nitrogen Oxides</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NPNS</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Normal Purchases and Normal Sales</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NRG</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NRG Energy, Inc.</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NRG Wind TE Holdco</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NRG Wind TE Holdco LLC</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OCI/OCL</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comprehensive income/loss</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OSHA</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Occupational Safety and Health Administration</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PG&amp;E</w:t>
            </w:r>
          </w:p>
        </w:tc>
        <w:tc>
          <w:tcPr>
            <w:tcW w:w="8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Pacific Gas &amp; Electric Company</w:t>
            </w:r>
          </w:p>
        </w:tc>
        <w:tc>
          <w:tcPr>
            <w:tcW w:w="0" w:type="dxa"/>
            <w:vAlign w:val="bottom"/>
          </w:tcPr>
          <w:p>
            <w:pPr>
              <w:spacing w:after="0"/>
              <w:rPr>
                <w:sz w:val="1"/>
                <w:szCs w:val="1"/>
                <w:color w:val="auto"/>
              </w:rPr>
            </w:pPr>
          </w:p>
        </w:tc>
      </w:tr>
      <w:tr>
        <w:trPr>
          <w:trHeight w:val="386"/>
        </w:trPr>
        <w:tc>
          <w:tcPr>
            <w:tcW w:w="2520" w:type="dxa"/>
            <w:vAlign w:val="bottom"/>
          </w:tcPr>
          <w:p>
            <w:pPr>
              <w:spacing w:after="0"/>
              <w:rPr>
                <w:sz w:val="24"/>
                <w:szCs w:val="24"/>
                <w:color w:val="auto"/>
              </w:rPr>
            </w:pPr>
          </w:p>
        </w:tc>
        <w:tc>
          <w:tcPr>
            <w:tcW w:w="890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896"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Pinnacle</w:t>
      </w:r>
    </w:p>
    <w:p>
      <w:pPr>
        <w:spacing w:after="0" w:line="20" w:lineRule="exact"/>
        <w:rPr>
          <w:sz w:val="20"/>
          <w:szCs w:val="20"/>
          <w:color w:val="auto"/>
        </w:rPr>
      </w:pPr>
      <w:r>
        <w:rPr>
          <w:sz w:val="20"/>
          <w:szCs w:val="20"/>
          <w:color w:val="auto"/>
        </w:rPr>
        <w:br w:type="column"/>
      </w:r>
    </w:p>
    <w:p>
      <w:pPr>
        <w:jc w:val="center"/>
        <w:ind w:right="2540"/>
        <w:spacing w:after="0"/>
        <w:rPr>
          <w:sz w:val="20"/>
          <w:szCs w:val="20"/>
          <w:color w:val="auto"/>
        </w:rPr>
      </w:pPr>
      <w:r>
        <w:rPr>
          <w:rFonts w:ascii="Times New Roman" w:cs="Times New Roman" w:eastAsia="Times New Roman" w:hAnsi="Times New Roman"/>
          <w:sz w:val="14"/>
          <w:szCs w:val="14"/>
          <w:color w:val="auto"/>
        </w:rPr>
        <w:t>Pinnacle Wind, LLC, the operating subsidiary of Tapestry Wind LLC, which owns the Pinnacle project</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PJM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PJM Interconnection, LLC</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Power Purchase Agreement</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PTC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Production Tax Credit</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PUCT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Public Utility Commission of Texas</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PUHCA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Public Utility Holding Company Act of 2005</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PURPA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Public Utility Regulatory Policies Act of 1978</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QF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Qualifying Facility under PURPA</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REC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Renewable Energy Certificate</w:t>
      </w:r>
    </w:p>
    <w:p>
      <w:pPr>
        <w:spacing w:after="0" w:line="19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Recapitalization</w:t>
      </w:r>
    </w:p>
    <w:p>
      <w:pPr>
        <w:spacing w:after="0" w:line="20" w:lineRule="exact"/>
        <w:rPr>
          <w:sz w:val="20"/>
          <w:szCs w:val="20"/>
          <w:color w:val="auto"/>
        </w:rPr>
      </w:pPr>
      <w:r>
        <w:rPr>
          <w:sz w:val="20"/>
          <w:szCs w:val="20"/>
          <w:color w:val="auto"/>
        </w:rPr>
        <w:br w:type="column"/>
      </w:r>
    </w:p>
    <w:p>
      <w:pPr>
        <w:ind w:right="180"/>
        <w:spacing w:after="0" w:line="273" w:lineRule="auto"/>
        <w:rPr>
          <w:sz w:val="20"/>
          <w:szCs w:val="20"/>
          <w:color w:val="auto"/>
        </w:rPr>
      </w:pPr>
      <w:r>
        <w:rPr>
          <w:rFonts w:ascii="Times New Roman" w:cs="Times New Roman" w:eastAsia="Times New Roman" w:hAnsi="Times New Roman"/>
          <w:sz w:val="14"/>
          <w:szCs w:val="14"/>
          <w:color w:val="auto"/>
        </w:rPr>
        <w:t>The adoption of the Company's Second Amended and Restated Certificate of Incorporation which authorized two new classes of common stock, Class C common stock and Class D common stock, and distributed shares of such new classes of common stock to holders of the Company’s outstanding Class A common stock and Class B common stock, respectively, through a stock split on May 14, 2015</w:t>
      </w:r>
    </w:p>
    <w:p>
      <w:pPr>
        <w:spacing w:after="0" w:line="147"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ROFO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Amended and Restated Right of First Offer Agreement between Yield, Inc. and NRG</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RPM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Reliability Pricing Model</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RPS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Renewable Portfolio Standards</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NRG RPV Holdco 1 LLC</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Regional Transmission Organization</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Southern California Edison</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U.S. Securities and Exchange Commission</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Collectively, the 2024 Senior Notes and the 2026 Senior Notes</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SO</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Sulfur Dioxide</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TA High Desert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TA-High Desert LLC, the operating subsidiary of NRG Solar Mayfair LLC, which owns the TA High Desert project</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Taloga</w:t>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Times New Roman" w:cs="Times New Roman" w:eastAsia="Times New Roman" w:hAnsi="Times New Roman"/>
          <w:sz w:val="14"/>
          <w:szCs w:val="14"/>
          <w:color w:val="auto"/>
        </w:rPr>
        <w:t>Taloga Wind, LLC, the operating subsidiary of Tapestry Wind LLC, which owns the Taloga project</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Collection of the Pinnacle, Buffalo Bear and Taloga projects</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Thermal Business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Times New Roman" w:cs="Times New Roman" w:eastAsia="Times New Roman" w:hAnsi="Times New Roman"/>
          <w:sz w:val="14"/>
          <w:szCs w:val="14"/>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UPMC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University of Pittsburgh Medical Center</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United States of America</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U.S. Department of Energy</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Utility Scale Solar</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Times New Roman" w:cs="Times New Roman" w:eastAsia="Times New Roman" w:hAnsi="Times New Roman"/>
          <w:sz w:val="14"/>
          <w:szCs w:val="14"/>
          <w:color w:val="auto"/>
        </w:rPr>
        <w:t>Solar power projects, typically 20 MW or greater in size (on an alternating current, or AC, basis), that are interconnected into the transmission or distribution grid to sell power at a wholesale level</w:t>
      </w:r>
    </w:p>
    <w:p>
      <w:pPr>
        <w:spacing w:after="0" w:line="1"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Value at Risk</w:t>
      </w:r>
    </w:p>
    <w:p>
      <w:pPr>
        <w:spacing w:after="0" w:line="64"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Variable Interest Entity</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NRG Walnut Creek, LLC, the operating subsidiary of WCEP Holdings, LLC, which owns the Walnut Creek project</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NRG Yield, Inc.</w:t>
      </w:r>
    </w:p>
    <w:p>
      <w:pPr>
        <w:spacing w:after="0" w:line="53"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NRG Yield Operating LLC, the holding company that owns the project companies and is a wholly owned subsidiary of NRG Yield LLC</w:t>
      </w:r>
    </w:p>
    <w:p>
      <w:pPr>
        <w:spacing w:after="0" w:line="200" w:lineRule="exact"/>
        <w:rPr>
          <w:sz w:val="20"/>
          <w:szCs w:val="20"/>
          <w:color w:val="auto"/>
        </w:rPr>
      </w:pPr>
    </w:p>
    <w:p>
      <w:pPr>
        <w:sectPr>
          <w:pgSz w:w="11900" w:h="16838" w:orient="portrait"/>
          <w:cols w:equalWidth="0" w:num="2">
            <w:col w:w="2260" w:space="720"/>
            <w:col w:w="8440"/>
          </w:cols>
          <w:pgMar w:left="240" w:top="896"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420"/>
          </w:cols>
          <w:pgMar w:left="240" w:top="896" w:right="2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41" w:lineRule="exact"/>
        <w:rPr>
          <w:sz w:val="20"/>
          <w:szCs w:val="20"/>
          <w:color w:val="auto"/>
        </w:rPr>
      </w:pPr>
    </w:p>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NRG Yield LLC, together with its consolidated subsidiaries, or the Company, is a limited liability company formed to serve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high-quality assets.</w:t>
      </w:r>
    </w:p>
    <w:p>
      <w:pPr>
        <w:spacing w:after="0" w:line="94"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 xml:space="preserve">The Company owns a diversified portfolio of contracted renewable and conventional generation and thermal infrastructure assets in the U.S. The Company’s contracted generation portfolio collectively represents </w:t>
      </w:r>
      <w:r>
        <w:rPr>
          <w:rFonts w:ascii="Times New Roman" w:cs="Times New Roman" w:eastAsia="Times New Roman" w:hAnsi="Times New Roman"/>
          <w:sz w:val="14"/>
          <w:szCs w:val="14"/>
          <w:color w:val="231F20"/>
        </w:rPr>
        <w:t>4,563 net MW as of</w:t>
      </w:r>
      <w:r>
        <w:rPr>
          <w:rFonts w:ascii="Times New Roman" w:cs="Times New Roman" w:eastAsia="Times New Roman" w:hAnsi="Times New Roman"/>
          <w:sz w:val="14"/>
          <w:szCs w:val="14"/>
          <w:color w:val="auto"/>
        </w:rPr>
        <w:t xml:space="preserve"> December 31, 2016</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Times New Roman" w:cs="Times New Roman" w:eastAsia="Times New Roman" w:hAnsi="Times New Roman"/>
          <w:sz w:val="14"/>
          <w:szCs w:val="14"/>
          <w:color w:val="231F20"/>
        </w:rPr>
        <w:t>16 years as of</w:t>
      </w:r>
      <w:r>
        <w:rPr>
          <w:rFonts w:ascii="Times New Roman" w:cs="Times New Roman" w:eastAsia="Times New Roman" w:hAnsi="Times New Roman"/>
          <w:sz w:val="14"/>
          <w:szCs w:val="14"/>
          <w:color w:val="auto"/>
        </w:rPr>
        <w:t xml:space="preserve"> December 31, 2016</w:t>
      </w:r>
      <w:r>
        <w:rPr>
          <w:rFonts w:ascii="Times New Roman" w:cs="Times New Roman" w:eastAsia="Times New Roman" w:hAnsi="Times New Roman"/>
          <w:sz w:val="14"/>
          <w:szCs w:val="14"/>
          <w:color w:val="231F20"/>
        </w:rPr>
        <w:t>, based on CAFD. The Company also owns thermal infrastructure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assets with an aggregate steam and chilled 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A complete listing of the Company's interests in facilities, operations and/or projects owned or leased as of December 31, 2016 can be found in Item 2 — </w:t>
      </w:r>
      <w:r>
        <w:rPr>
          <w:rFonts w:ascii="Times New Roman" w:cs="Times New Roman" w:eastAsia="Times New Roman" w:hAnsi="Times New Roman"/>
          <w:sz w:val="14"/>
          <w:szCs w:val="14"/>
          <w:i w:val="1"/>
          <w:iCs w:val="1"/>
          <w:color w:val="auto"/>
        </w:rPr>
        <w:t>Properties.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History</w:t>
      </w:r>
    </w:p>
    <w:p>
      <w:pPr>
        <w:spacing w:after="0" w:line="141"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On July 22, 2013, Yield, Inc. closed the initial public offering of 22,511,250 shares of its Class A common stock for net proceeds, after deducting underwriting discounts, of $468 million, of which Yield, Inc. used $395 million to purchase 19,011,250 of the Company's Class A units from NRG and $73 million to purchase 3,500,000 of the Company's Class A units directly from the Company. On July 29, 2014, Yield, Inc. issued 12,075,000 shares of Class A common stock for net proceeds, after underwriting discounts and expenses, of $630 million and utilized the proceeds of the offering to acquire 12,075,000 additional Class A units of the Company.</w:t>
      </w:r>
    </w:p>
    <w:p>
      <w:pPr>
        <w:spacing w:after="0" w:line="98"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color w:val="auto"/>
        </w:rPr>
        <w:t>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stock split is referred to as the Recapitalization. Contemporaneously with Yield, Inc.’s Recapitalization, each Class A unit of the Company was automatically reclassified into one Class A unit and one Class C unit and each Class B unit of the Company was automatically reclassified into one Class B unit and one Class D unit. On June 29, 2015, Yield, Inc. issued 28,198,000 shares of Class C common stock for net proceeds of $599 million and utilized the proceeds of the offering to acquire 28,198,000 Class C units of the Company.</w:t>
      </w:r>
    </w:p>
    <w:p>
      <w:pPr>
        <w:spacing w:after="0" w:line="101" w:lineRule="exact"/>
        <w:rPr>
          <w:sz w:val="20"/>
          <w:szCs w:val="20"/>
          <w:color w:val="auto"/>
        </w:rPr>
      </w:pPr>
    </w:p>
    <w:p>
      <w:pPr>
        <w:jc w:val="both"/>
        <w:ind w:firstLine="149"/>
        <w:spacing w:after="0" w:line="273" w:lineRule="auto"/>
        <w:rPr>
          <w:sz w:val="20"/>
          <w:szCs w:val="20"/>
          <w:color w:val="auto"/>
        </w:rPr>
      </w:pPr>
      <w:r>
        <w:rPr>
          <w:rFonts w:ascii="Times New Roman" w:cs="Times New Roman" w:eastAsia="Times New Roman" w:hAnsi="Times New Roman"/>
          <w:sz w:val="14"/>
          <w:szCs w:val="14"/>
          <w:color w:val="auto"/>
        </w:rPr>
        <w:t>As of December 31, 2016, NRG owned 42,738,750 of each of the Company's Class B units and Class D units and Yield, Inc. owned 34,586,250 of the Company's Class A units and 62,784,250 of the Company's Class C units. Yield, Inc., through its holdings of Class A units and Class C units, has a 53.3% economic interest in the Company. Yield, Inc. consolidates the results of the Company through its controlling interest as sole managing member. NRG, through its holdings of Class B units and Class D units, has a 46.7% economic interest in the Company.</w:t>
      </w:r>
    </w:p>
    <w:p>
      <w:pPr>
        <w:spacing w:after="0" w:line="94" w:lineRule="exact"/>
        <w:rPr>
          <w:sz w:val="20"/>
          <w:szCs w:val="20"/>
          <w:color w:val="auto"/>
        </w:rPr>
      </w:pPr>
    </w:p>
    <w:p>
      <w:pPr>
        <w:jc w:val="both"/>
        <w:ind w:firstLine="514"/>
        <w:spacing w:after="0" w:line="291" w:lineRule="auto"/>
        <w:rPr>
          <w:sz w:val="20"/>
          <w:szCs w:val="20"/>
          <w:color w:val="auto"/>
        </w:rPr>
      </w:pPr>
      <w:r>
        <w:rPr>
          <w:rFonts w:ascii="Times New Roman" w:cs="Times New Roman" w:eastAsia="Times New Roman" w:hAnsi="Times New Roman"/>
          <w:sz w:val="14"/>
          <w:szCs w:val="14"/>
          <w:color w:val="auto"/>
        </w:rPr>
        <w:t>The Company is a holding company for the companies that directly and indirectly own and operate Yield, Inc.'s business. As of December 31, 2016, NRG continues to control Yield, Inc., and Yield, Inc. in turn, as the sole managing member of the Company, controls the Company and its subsidiaries.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60"/>
          </w:cols>
          <w:pgMar w:left="220" w:top="766" w:right="219" w:bottom="1440" w:gutter="0" w:footer="0" w:header="0"/>
        </w:sectPr>
      </w:pPr>
    </w:p>
    <w:bookmarkStart w:id="6" w:name="page7"/>
    <w:bookmarkEnd w:id="6"/>
    <w:p>
      <w:pPr>
        <w:ind w:left="520"/>
        <w:spacing w:after="0"/>
        <w:rPr>
          <w:sz w:val="20"/>
          <w:szCs w:val="20"/>
          <w:color w:val="auto"/>
        </w:rPr>
      </w:pPr>
      <w:r>
        <w:rPr>
          <w:rFonts w:ascii="Times New Roman" w:cs="Times New Roman" w:eastAsia="Times New Roman" w:hAnsi="Times New Roman"/>
          <w:sz w:val="14"/>
          <w:szCs w:val="14"/>
          <w:color w:val="auto"/>
        </w:rPr>
        <w:t>The diagram below depicts the Company’s organizational structure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15875</wp:posOffset>
            </wp:positionV>
            <wp:extent cx="3300730" cy="2429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0730" cy="242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141" w:lineRule="exact"/>
        <w:rPr>
          <w:sz w:val="20"/>
          <w:szCs w:val="20"/>
          <w:color w:val="auto"/>
        </w:rPr>
      </w:pPr>
    </w:p>
    <w:p>
      <w:pPr>
        <w:jc w:val="both"/>
        <w:ind w:firstLine="514"/>
        <w:spacing w:after="0" w:line="291" w:lineRule="auto"/>
        <w:rPr>
          <w:sz w:val="20"/>
          <w:szCs w:val="20"/>
          <w:color w:val="auto"/>
        </w:rPr>
      </w:pPr>
      <w:r>
        <w:rPr>
          <w:rFonts w:ascii="Times New Roman" w:cs="Times New Roman" w:eastAsia="Times New Roman" w:hAnsi="Times New Roman"/>
          <w:sz w:val="14"/>
          <w:szCs w:val="14"/>
          <w:color w:val="auto"/>
        </w:rPr>
        <w:t>The Company's primary business strategy is to focus on the acquisition and ownership of assets with predictable, long-term cash flows in order that it may be able to increase the cash distributions to Yield, Inc. and NRG over time without compromising the ongoing stability of the business. The Company's plan for executing this strategy includes the following key components:</w:t>
      </w:r>
    </w:p>
    <w:p>
      <w:pPr>
        <w:spacing w:after="0" w:line="77" w:lineRule="exact"/>
        <w:rPr>
          <w:sz w:val="20"/>
          <w:szCs w:val="20"/>
          <w:color w:val="auto"/>
        </w:rPr>
      </w:pPr>
    </w:p>
    <w:p>
      <w:pPr>
        <w:jc w:val="both"/>
        <w:ind w:firstLine="514"/>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Focus on contracted renewable energy and conventional generation and thermal infrastructure assets. </w:t>
      </w:r>
      <w:r>
        <w:rPr>
          <w:rFonts w:ascii="Times New Roman" w:cs="Times New Roman" w:eastAsia="Times New Roman" w:hAnsi="Times New Roman"/>
          <w:sz w:val="14"/>
          <w:szCs w:val="14"/>
          <w:color w:val="auto"/>
        </w:rPr>
        <w:t>The Company owns and operates utility scale and distributed renewable energy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natural gas-fired generation, thermal 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88" w:lineRule="exact"/>
        <w:rPr>
          <w:sz w:val="20"/>
          <w:szCs w:val="20"/>
          <w:color w:val="auto"/>
        </w:rPr>
      </w:pPr>
    </w:p>
    <w:p>
      <w:pPr>
        <w:jc w:val="both"/>
        <w:ind w:firstLine="514"/>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Growing the business through acquisitions of contracted operating assets. </w:t>
      </w:r>
      <w:r>
        <w:rPr>
          <w:rFonts w:ascii="Times New Roman" w:cs="Times New Roman" w:eastAsia="Times New Roman" w:hAnsi="Times New Roman"/>
          <w:sz w:val="14"/>
          <w:szCs w:val="14"/>
          <w:color w:val="auto"/>
        </w:rPr>
        <w:t>The Company believes that its base of operations and relationship with NRG provide a platform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conventional and renewable power generation and thermal sectors for strategic growth through cash accretive and tax advantaged acquisitions complementary to its existing portfolio. In addition to acquiring renewable generation, conventional generation and thermal infrastructure assets from third parties where the Company believes its knowledge of the market and operating expertise provides it with a competitive advantage, the Company entered into a Right of First Offer Agreement with NRG, or the ROFO Agreement. On February 24, 2017, the Company amended and restated the ROFO Agreement, expanding the NRG ROFO pipeline with the addition of 234 net MW of utility-scale solar projects, consisting of Buckthorn, a 154 net MW solar facility in Texas, and Hawaii solar projects, which have a combined capacity of 80 net MW. Under the ROFO Agreement, NRG has granted the Company and its affiliates a right of first offer on any proposed sale, transfer or other disposition of certain assets of NRG until February 24, 2022. In addition to the assets described in the table below which reflects the assets subject to sale, the ROFO Agreement also provides the Company with a right of first offer with respect to up to $250 million of equity in one or more distributed solar generation portfolios developed by affiliates of NRG, together with the assets listed in the table below, the NRG ROFO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460"/>
          </w:cols>
          <w:pgMar w:left="220" w:top="896"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0"/>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Rated Capacity</w:t>
            </w:r>
          </w:p>
        </w:tc>
        <w:tc>
          <w:tcPr>
            <w:tcW w:w="1940" w:type="dxa"/>
            <w:vAlign w:val="bottom"/>
          </w:tcPr>
          <w:p>
            <w:pPr>
              <w:spacing w:after="0"/>
              <w:rPr>
                <w:sz w:val="13"/>
                <w:szCs w:val="13"/>
                <w:color w:val="auto"/>
              </w:rPr>
            </w:pPr>
          </w:p>
        </w:tc>
      </w:tr>
      <w:tr>
        <w:trPr>
          <w:trHeight w:val="18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Fuel Type</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(MW)</w:t>
            </w:r>
            <w:r>
              <w:rPr>
                <w:rFonts w:ascii="Times New Roman" w:cs="Times New Roman" w:eastAsia="Times New Roman" w:hAnsi="Times New Roman"/>
                <w:sz w:val="7"/>
                <w:szCs w:val="7"/>
                <w:b w:val="1"/>
                <w:bCs w:val="1"/>
                <w:color w:val="auto"/>
              </w:rPr>
              <w:t>(a)</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b w:val="1"/>
                <w:bCs w:val="1"/>
                <w:color w:val="auto"/>
              </w:rPr>
              <w:t>COD</w:t>
            </w:r>
          </w:p>
        </w:tc>
      </w:tr>
      <w:tr>
        <w:trPr>
          <w:trHeight w:val="19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Ivanpah</w:t>
            </w:r>
            <w:r>
              <w:rPr>
                <w:rFonts w:ascii="Times New Roman" w:cs="Times New Roman" w:eastAsia="Times New Roman" w:hAnsi="Times New Roman"/>
                <w:sz w:val="7"/>
                <w:szCs w:val="7"/>
                <w:color w:val="auto"/>
              </w:rPr>
              <w:t>(b)</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Solar</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193</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2013</w:t>
            </w:r>
          </w:p>
        </w:tc>
      </w:tr>
      <w:tr>
        <w:trPr>
          <w:trHeight w:val="21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Agua Caliente</w:t>
            </w:r>
            <w:r>
              <w:rPr>
                <w:rFonts w:ascii="Times New Roman" w:cs="Times New Roman" w:eastAsia="Times New Roman" w:hAnsi="Times New Roman"/>
                <w:sz w:val="7"/>
                <w:szCs w:val="7"/>
                <w:color w:val="auto"/>
              </w:rPr>
              <w:t>(c)</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Solar</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148</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2014</w:t>
            </w: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Buckthorn</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Solar</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154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2018</w:t>
            </w:r>
          </w:p>
        </w:tc>
      </w:tr>
      <w:tr>
        <w:trPr>
          <w:trHeight w:val="21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Hawaii</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Solar</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2019</w:t>
            </w: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Carlsbad</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Conventional</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527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2018</w:t>
            </w:r>
          </w:p>
        </w:tc>
      </w:tr>
      <w:tr>
        <w:trPr>
          <w:trHeight w:val="21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Puente/Mandalay</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Conventional</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262</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r>
      <w:tr>
        <w:trPr>
          <w:trHeight w:val="199"/>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 TE Holdco</w:t>
            </w:r>
            <w:r>
              <w:rPr>
                <w:rFonts w:ascii="Times New Roman" w:cs="Times New Roman" w:eastAsia="Times New Roman" w:hAnsi="Times New Roman"/>
                <w:sz w:val="7"/>
                <w:szCs w:val="7"/>
                <w:color w:val="auto"/>
              </w:rPr>
              <w:t>(d)</w:t>
            </w:r>
            <w:r>
              <w:rPr>
                <w:rFonts w:ascii="Times New Roman" w:cs="Times New Roman" w:eastAsia="Times New Roman" w:hAnsi="Times New Roman"/>
                <w:sz w:val="11"/>
                <w:szCs w:val="11"/>
                <w:color w:val="auto"/>
              </w:rPr>
              <w:t>:</w:t>
            </w:r>
          </w:p>
        </w:tc>
        <w:tc>
          <w:tcPr>
            <w:tcW w:w="1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r>
      <w:tr>
        <w:trPr>
          <w:trHeight w:val="210"/>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Elkhorn Ridge</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2009</w:t>
            </w:r>
          </w:p>
        </w:tc>
      </w:tr>
      <w:tr>
        <w:trPr>
          <w:trHeight w:val="219"/>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San Juan Mesa</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2005</w:t>
            </w:r>
          </w:p>
        </w:tc>
      </w:tr>
      <w:tr>
        <w:trPr>
          <w:trHeight w:val="210"/>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Wildorado</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2007</w:t>
            </w:r>
          </w:p>
        </w:tc>
      </w:tr>
      <w:tr>
        <w:trPr>
          <w:trHeight w:val="219"/>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Crosswinds</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2007</w:t>
            </w:r>
          </w:p>
        </w:tc>
      </w:tr>
      <w:tr>
        <w:trPr>
          <w:trHeight w:val="210"/>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Forward</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1"/>
              </w:rPr>
              <w:t>7</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2008</w:t>
            </w:r>
          </w:p>
        </w:tc>
      </w:tr>
      <w:tr>
        <w:trPr>
          <w:trHeight w:val="219"/>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Hardin</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2007</w:t>
            </w:r>
          </w:p>
        </w:tc>
      </w:tr>
      <w:tr>
        <w:trPr>
          <w:trHeight w:val="210"/>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Odin</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2007</w:t>
            </w:r>
          </w:p>
        </w:tc>
      </w:tr>
      <w:tr>
        <w:trPr>
          <w:trHeight w:val="219"/>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Sleeping Bear</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2007</w:t>
            </w:r>
          </w:p>
        </w:tc>
      </w:tr>
      <w:tr>
        <w:trPr>
          <w:trHeight w:val="210"/>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Spanish Fork</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2008</w:t>
            </w:r>
          </w:p>
        </w:tc>
      </w:tr>
      <w:tr>
        <w:trPr>
          <w:trHeight w:val="219"/>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Goat Wind</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2008/2009</w:t>
            </w:r>
          </w:p>
        </w:tc>
      </w:tr>
      <w:tr>
        <w:trPr>
          <w:trHeight w:val="210"/>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Lookout</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1"/>
              </w:rPr>
              <w:t>9</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2008</w:t>
            </w:r>
          </w:p>
        </w:tc>
      </w:tr>
      <w:tr>
        <w:trPr>
          <w:trHeight w:val="219"/>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Elbow Creek</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2008</w:t>
            </w:r>
          </w:p>
        </w:tc>
      </w:tr>
      <w:tr>
        <w:trPr>
          <w:trHeight w:val="21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Community</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2011</w:t>
            </w: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Jeffers</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2008</w:t>
            </w:r>
          </w:p>
        </w:tc>
      </w:tr>
      <w:tr>
        <w:trPr>
          <w:trHeight w:val="20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Minnesota Portfolio</w:t>
            </w:r>
            <w:r>
              <w:rPr>
                <w:rFonts w:ascii="Times New Roman" w:cs="Times New Roman" w:eastAsia="Times New Roman" w:hAnsi="Times New Roman"/>
                <w:sz w:val="7"/>
                <w:szCs w:val="7"/>
                <w:color w:val="auto"/>
              </w:rPr>
              <w:t>(e)</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Wind</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2003/2006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4154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18" w:lineRule="exact"/>
        <w:rPr>
          <w:sz w:val="20"/>
          <w:szCs w:val="20"/>
          <w:color w:val="auto"/>
        </w:rPr>
      </w:pPr>
    </w:p>
    <w:p>
      <w:pPr>
        <w:ind w:left="100" w:hanging="94"/>
        <w:spacing w:after="0"/>
        <w:tabs>
          <w:tab w:leader="none" w:pos="100" w:val="left"/>
        </w:tabs>
        <w:numPr>
          <w:ilvl w:val="0"/>
          <w:numId w:val="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the maximum, or rated, electricity generating capacity of the facility in MW multiplied by NRG’s percentage ownership interest in the facility as of December 31, 2016.</w:t>
      </w:r>
    </w:p>
    <w:p>
      <w:pPr>
        <w:spacing w:after="0" w:line="3" w:lineRule="exact"/>
        <w:rPr>
          <w:rFonts w:ascii="Times New Roman" w:cs="Times New Roman" w:eastAsia="Times New Roman" w:hAnsi="Times New Roman"/>
          <w:sz w:val="7"/>
          <w:szCs w:val="7"/>
          <w:color w:val="auto"/>
        </w:rPr>
      </w:pPr>
    </w:p>
    <w:p>
      <w:pPr>
        <w:ind w:left="100" w:hanging="94"/>
        <w:spacing w:after="0" w:line="223" w:lineRule="auto"/>
        <w:tabs>
          <w:tab w:leader="none" w:pos="100" w:val="left"/>
        </w:tabs>
        <w:numPr>
          <w:ilvl w:val="0"/>
          <w:numId w:val="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49.95% of NRG’s 50.01% ownership interest in Ivanpah. Following a sale of this 49.95% interest, the remaining 50.05% of Ivanpah would be owned by NRG, Google Inc. and BrightSource Energy Inc.</w:t>
      </w:r>
    </w:p>
    <w:p>
      <w:pPr>
        <w:ind w:firstLine="6"/>
        <w:spacing w:after="0"/>
        <w:tabs>
          <w:tab w:leader="none" w:pos="97" w:val="left"/>
        </w:tabs>
        <w:numPr>
          <w:ilvl w:val="0"/>
          <w:numId w:val="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NRG’s 51% ownership interest in Agua Caliente. The remaining 49% of Agua Caliente is owned by BHE AC Holdings, LLC. As further described below, the Company has entered into an agreement with NRG to acquire 16% of Agua Caliente.</w:t>
      </w:r>
    </w:p>
    <w:p>
      <w:pPr>
        <w:spacing w:after="0" w:line="98" w:lineRule="exact"/>
        <w:rPr>
          <w:rFonts w:ascii="Times New Roman" w:cs="Times New Roman" w:eastAsia="Times New Roman" w:hAnsi="Times New Roman"/>
          <w:sz w:val="7"/>
          <w:szCs w:val="7"/>
          <w:color w:val="auto"/>
        </w:rPr>
      </w:pPr>
    </w:p>
    <w:p>
      <w:pPr>
        <w:ind w:left="100" w:hanging="94"/>
        <w:spacing w:after="0" w:line="223" w:lineRule="auto"/>
        <w:tabs>
          <w:tab w:leader="none" w:pos="100" w:val="left"/>
        </w:tabs>
        <w:numPr>
          <w:ilvl w:val="0"/>
          <w:numId w:val="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NRG's remaining 25% of the Class B interests of NRG Wind TE Holdco. NRG Yield, Inc. acquired 75% of the Class B interests in November 2015. A tax equity investor owns the Class A interests in NRG Wind TE Holdco.</w:t>
      </w:r>
    </w:p>
    <w:p>
      <w:pPr>
        <w:ind w:left="120" w:hanging="114"/>
        <w:spacing w:after="0"/>
        <w:tabs>
          <w:tab w:leader="none" w:pos="120" w:val="left"/>
        </w:tabs>
        <w:numPr>
          <w:ilvl w:val="0"/>
          <w:numId w:val="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Includes Bingham Lake, Eastridge, and Westridge projects.</w:t>
      </w:r>
    </w:p>
    <w:p>
      <w:pPr>
        <w:spacing w:after="0" w:line="111" w:lineRule="exact"/>
        <w:rPr>
          <w:sz w:val="20"/>
          <w:szCs w:val="20"/>
          <w:color w:val="auto"/>
        </w:rPr>
      </w:pPr>
    </w:p>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 xml:space="preserve">NRG is not obligated to sell the remaining NRG ROFO Assets to the Company and, if offered by NRG, the Company cannot be sure whether these assets will be offered on acceptable terms, or that the Company will choose to consummate such acquisitions. In addition, NRG may offer additional assets to the Company, as described in Item 7 — </w:t>
      </w:r>
      <w:r>
        <w:rPr>
          <w:rFonts w:ascii="Times New Roman" w:cs="Times New Roman" w:eastAsia="Times New Roman" w:hAnsi="Times New Roman"/>
          <w:sz w:val="14"/>
          <w:szCs w:val="14"/>
          <w:i w:val="1"/>
          <w:iCs w:val="1"/>
          <w:color w:val="auto"/>
        </w:rPr>
        <w:t>Management's Discussion and Analysis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Condition and Results of Operations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In December 2016, NRG offered the Company the opportunity to purchase the following assets: (i) the Minnesota Portfolio, a 40 MW portfolio of wind projects; (ii) the 30 MW Community wind project; (iii) the 50 MW Jeffers wind projects; and (iv) a 16% interest in the 290 MW Agua Caliente solar project, pursuant to the ROFO Agreement. In addition to these ROFO Assets, NRG also offered the Company the opportunity to purchase NRG's 50% interests in seven utility-scale solar projects located in Utah, representing 265 net MW of capacity, based on cash to be distributed, that were part of NRG's recent acquisition of projects from SunEdison.</w:t>
      </w:r>
    </w:p>
    <w:p>
      <w:pPr>
        <w:spacing w:after="0" w:line="98"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On February 24, 2017, the Company and NRG entered into a definitive agreement regarding the acquisition of the following facilities: (i) a 16% interest (approximately 31% of NRG's 51% interest) in the Agua Caliente solar farm, one of the NRG ROFO assets, representing ownership of approximately 46 net MW of capacity. Agua Caliente is located in Yuma County, AZ and sells power subject to a 25-year PPA with Pacific Gas and Electric, with 22 years remaining on that contract; and (ii) NRG's 50% interests in seven utility-scale solar farms located in Utah representing 265 net MW of capacity, based on cash to be distributed, that were part of NRG's recent acquisition of projects from SunEdison. The Utah assets achieved commercial operations in 2016, sell power subject to 20-year PPAs with PacifiCorp, a subsidiary of Berkshire Hathaway and are part of a tax equity structure with Dominion Solar Projects III, Inc., or Dominion, from which NRG currently receives 50% of cash to be distributed. The Company expects to pay total cash consideration of $130 million for the transaction, excluding adjustments for working capital and assume non-recourse project debt of approximately $328 million, which will be consolidated, as well as its pro-rata share of non-recourse project level debt of $136 million. The Company elected not to pursue the acquisition of the Minnesota Portfolio, Community and Jeffers wind projects at this time, but may continue its evaluation of the projects. The Company has retained the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60"/>
          </w:cols>
          <w:pgMar w:left="220" w:top="1053" w:right="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right with NRG, pursuant to the ROFO Agreement, to participate in any third party process to the extent NRG elected to pursue a third party sale of these assets.</w:t>
      </w:r>
    </w:p>
    <w:p>
      <w:pPr>
        <w:spacing w:after="0" w:line="135" w:lineRule="exact"/>
        <w:rPr>
          <w:sz w:val="20"/>
          <w:szCs w:val="20"/>
          <w:color w:val="auto"/>
        </w:rPr>
      </w:pPr>
    </w:p>
    <w:p>
      <w:pPr>
        <w:jc w:val="both"/>
        <w:ind w:firstLine="514"/>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Primary focus on North America. </w:t>
      </w:r>
      <w:r>
        <w:rPr>
          <w:rFonts w:ascii="Times New Roman" w:cs="Times New Roman" w:eastAsia="Times New Roman" w:hAnsi="Times New Roman"/>
          <w:sz w:val="14"/>
          <w:szCs w:val="14"/>
          <w:color w:val="auto"/>
        </w:rPr>
        <w:t>The Company intends to primarily focus its investments in North America (including the unincorporated territories of the U.S.). The Company believes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industry fundamentals in North America present it with significant opportunity to acquire renewable, natural gas-fired generation and thermal infrastructure assets,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41" w:lineRule="exact"/>
        <w:rPr>
          <w:sz w:val="20"/>
          <w:szCs w:val="20"/>
          <w:color w:val="auto"/>
        </w:rPr>
      </w:pPr>
    </w:p>
    <w:p>
      <w:pPr>
        <w:jc w:val="both"/>
        <w:ind w:firstLine="514"/>
        <w:spacing w:after="0" w:line="261" w:lineRule="auto"/>
        <w:rPr>
          <w:sz w:val="20"/>
          <w:szCs w:val="20"/>
          <w:color w:val="auto"/>
        </w:rPr>
      </w:pPr>
      <w:r>
        <w:rPr>
          <w:rFonts w:ascii="Times New Roman" w:cs="Times New Roman" w:eastAsia="Times New Roman" w:hAnsi="Times New Roman"/>
          <w:sz w:val="14"/>
          <w:szCs w:val="14"/>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with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03"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37"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Stable, high quality cash flows. </w:t>
      </w:r>
      <w:r>
        <w:rPr>
          <w:rFonts w:ascii="Times New Roman" w:cs="Times New Roman" w:eastAsia="Times New Roman" w:hAnsi="Times New Roman"/>
          <w:sz w:val="14"/>
          <w:szCs w:val="14"/>
          <w:color w:val="auto"/>
        </w:rPr>
        <w:t>The Company's facilities have a highly stable, predictable cash flow profile consisting of predominantly long-life electric generation assets that sell electricity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under long-term fixed priced contracts or pursuant to regulated rates with investment grade and certain other credit-worthy counterparties. Additionally, the Company's facilities have minimal fuel risk. For the Company's conventional assets, fuel is provided by the toll counterparty or the cost thereof is a pass-through cost under the CfD.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of approximately </w:t>
      </w:r>
      <w:r>
        <w:rPr>
          <w:rFonts w:ascii="Times New Roman" w:cs="Times New Roman" w:eastAsia="Times New Roman" w:hAnsi="Times New Roman"/>
          <w:sz w:val="14"/>
          <w:szCs w:val="14"/>
          <w:color w:val="231F20"/>
        </w:rPr>
        <w:t>16 years</w:t>
      </w:r>
      <w:r>
        <w:rPr>
          <w:rFonts w:ascii="Times New Roman" w:cs="Times New Roman" w:eastAsia="Times New Roman" w:hAnsi="Times New Roman"/>
          <w:sz w:val="14"/>
          <w:szCs w:val="14"/>
          <w:color w:val="auto"/>
        </w:rPr>
        <w:t xml:space="preserve"> as of December 31, 2016, based on CAFD, providing long-term cash flow stability. The Company's generation offtake agreements with counterparties for whom credit ratings are available have a weighted-average Moody’s rating of A3 based on rated capacity under contract. All of the Company's assets are in the U.S. and accordingly have no currency or repatriation risks.</w:t>
      </w:r>
    </w:p>
    <w:p>
      <w:pPr>
        <w:spacing w:after="0" w:line="99" w:lineRule="exact"/>
        <w:rPr>
          <w:sz w:val="20"/>
          <w:szCs w:val="20"/>
          <w:color w:val="auto"/>
        </w:rPr>
      </w:pPr>
    </w:p>
    <w:p>
      <w:pPr>
        <w:jc w:val="both"/>
        <w:ind w:firstLine="514"/>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High quality, long-lived assets with low operating and capital requirements. </w:t>
      </w:r>
      <w:r>
        <w:rPr>
          <w:rFonts w:ascii="Times New Roman" w:cs="Times New Roman" w:eastAsia="Times New Roman" w:hAnsi="Times New Roman"/>
          <w:sz w:val="14"/>
          <w:szCs w:val="14"/>
          <w:color w:val="auto"/>
        </w:rPr>
        <w:t>The Company benefits from a portfolio of relatively newly-constructed assets, other than thermal infrastructure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assets. The Company's assets 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the Company expects to achieve high fleet availability and expend modest maintenance-related capital expenditures. Additionally, with the support of services provided by NRG, the Company expects to continue to implement the same rigorous preventative operating and management practices that NRG uses across its fleet of assets.</w:t>
      </w:r>
    </w:p>
    <w:p>
      <w:pPr>
        <w:spacing w:after="0" w:line="269" w:lineRule="exact"/>
        <w:rPr>
          <w:sz w:val="20"/>
          <w:szCs w:val="20"/>
          <w:color w:val="auto"/>
        </w:rPr>
      </w:pPr>
    </w:p>
    <w:p>
      <w:pPr>
        <w:jc w:val="both"/>
        <w:ind w:firstLine="514"/>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scale and diversity. </w:t>
      </w:r>
      <w:r>
        <w:rPr>
          <w:rFonts w:ascii="Times New Roman" w:cs="Times New Roman" w:eastAsia="Times New Roman" w:hAnsi="Times New Roman"/>
          <w:sz w:val="14"/>
          <w:szCs w:val="14"/>
          <w:color w:val="auto"/>
        </w:rPr>
        <w:t>The Company owns and operates a large and diverse portfolio of contracted electric generation and thermal infrastructure assets. As of December 31, 2016,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Company's </w:t>
      </w:r>
      <w:r>
        <w:rPr>
          <w:rFonts w:ascii="Times New Roman" w:cs="Times New Roman" w:eastAsia="Times New Roman" w:hAnsi="Times New Roman"/>
          <w:sz w:val="14"/>
          <w:szCs w:val="14"/>
          <w:color w:val="231F20"/>
        </w:rPr>
        <w:t>4,563</w:t>
      </w:r>
      <w:r>
        <w:rPr>
          <w:rFonts w:ascii="Times New Roman" w:cs="Times New Roman" w:eastAsia="Times New Roman" w:hAnsi="Times New Roman"/>
          <w:sz w:val="14"/>
          <w:szCs w:val="14"/>
          <w:color w:val="auto"/>
        </w:rPr>
        <w:t xml:space="preserve"> net MW contracted generation portfolio benefits from significant diversification in terms of technology, fuel type, counterparty and geography. The Company's thermal business consists of twelve operations, seven of which are district energy centers that provide steam and chilled water to approximately 705 customers, and five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60"/>
          </w:cols>
          <w:pgMar w:left="220" w:top="768" w:right="219" w:bottom="1440" w:gutter="0" w:footer="0" w:header="0"/>
        </w:sectPr>
      </w:pPr>
    </w:p>
    <w:bookmarkStart w:id="9" w:name="page10"/>
    <w:bookmarkEnd w:id="9"/>
    <w:p>
      <w:pPr>
        <w:ind w:firstLine="514"/>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Relationship with NRG. </w:t>
      </w:r>
      <w:r>
        <w:rPr>
          <w:rFonts w:ascii="Times New Roman" w:cs="Times New Roman" w:eastAsia="Times New Roman" w:hAnsi="Times New Roman"/>
          <w:sz w:val="14"/>
          <w:szCs w:val="14"/>
          <w:color w:val="auto"/>
        </w:rPr>
        <w:t>The Company believes its relationship with NRG, including NRG’s expressed intention to maintain a controlling interest in the Company, provides significant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benefits to the Company, including:</w:t>
      </w:r>
    </w:p>
    <w:p>
      <w:pPr>
        <w:ind w:left="520"/>
        <w:spacing w:after="0" w:line="294" w:lineRule="auto"/>
        <w:tabs>
          <w:tab w:leader="none" w:pos="6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Management and Operational Expertise. </w:t>
      </w:r>
      <w:r>
        <w:rPr>
          <w:rFonts w:ascii="Times New Roman" w:cs="Times New Roman" w:eastAsia="Times New Roman" w:hAnsi="Times New Roman"/>
          <w:sz w:val="14"/>
          <w:szCs w:val="14"/>
          <w:color w:val="auto"/>
        </w:rPr>
        <w:t>The Company has access to the significant resources of NRG, the largest competitive power generator in the U.S., to support its operational,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legal, regulatory and environmental functions.</w:t>
      </w:r>
    </w:p>
    <w:p>
      <w:pPr>
        <w:spacing w:after="0" w:line="34" w:lineRule="exact"/>
        <w:rPr>
          <w:rFonts w:ascii="Times New Roman" w:cs="Times New Roman" w:eastAsia="Times New Roman" w:hAnsi="Times New Roman"/>
          <w:sz w:val="14"/>
          <w:szCs w:val="14"/>
          <w:color w:val="auto"/>
        </w:rPr>
      </w:pPr>
    </w:p>
    <w:p>
      <w:pPr>
        <w:jc w:val="both"/>
        <w:ind w:left="520"/>
        <w:spacing w:after="0" w:line="268" w:lineRule="auto"/>
        <w:tabs>
          <w:tab w:leader="none" w:pos="60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Development and Acquisition Track Record. </w:t>
      </w:r>
      <w:r>
        <w:rPr>
          <w:rFonts w:ascii="Times New Roman" w:cs="Times New Roman" w:eastAsia="Times New Roman" w:hAnsi="Times New Roman"/>
          <w:sz w:val="14"/>
          <w:szCs w:val="14"/>
          <w:color w:val="auto"/>
        </w:rPr>
        <w:t>NRG's development and strategic teams are focused on the development and acquisition of renewable and conventional generation assets,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provide future growth opportunities for the Company in addition to the assets set forth in the ROFO Agreement. The Company believes NRG’s ownership position in the Company incentivizes NRG to support the Company's growth strategy, including through the development of renewable and conventional generation projects. During 2016, NRG acquired 1,639 MWs of utility scale solar and wind projects and 107 MWs of distributed generation and community solar projects that are currently under development or in operation.</w:t>
      </w:r>
    </w:p>
    <w:p>
      <w:pPr>
        <w:spacing w:after="0" w:line="52" w:lineRule="exact"/>
        <w:rPr>
          <w:rFonts w:ascii="Times New Roman" w:cs="Times New Roman" w:eastAsia="Times New Roman" w:hAnsi="Times New Roman"/>
          <w:sz w:val="14"/>
          <w:szCs w:val="14"/>
          <w:color w:val="auto"/>
        </w:rPr>
      </w:pPr>
    </w:p>
    <w:p>
      <w:pPr>
        <w:ind w:left="520" w:right="40"/>
        <w:spacing w:after="0" w:line="294" w:lineRule="auto"/>
        <w:tabs>
          <w:tab w:leader="none" w:pos="60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Financing Expertise. </w:t>
      </w:r>
      <w:r>
        <w:rPr>
          <w:rFonts w:ascii="Times New Roman" w:cs="Times New Roman" w:eastAsia="Times New Roman" w:hAnsi="Times New Roman"/>
          <w:sz w:val="14"/>
          <w:szCs w:val="14"/>
          <w:color w:val="auto"/>
        </w:rPr>
        <w:t>The Company, with the support of NRG, has been able to achieve a successful track record of sourcing attractive low-cost, long duration capital to fund acquisitions.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Company expects to continue to realize benefits from NRG’s financing and structuring expertise as well as its relationships with financial institutions and other lenders.</w:t>
      </w:r>
    </w:p>
    <w:p>
      <w:pPr>
        <w:spacing w:after="0" w:line="75"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Environmentally well-positioned portfolio of assets. </w:t>
      </w:r>
      <w:r>
        <w:rPr>
          <w:rFonts w:ascii="Times New Roman" w:cs="Times New Roman" w:eastAsia="Times New Roman" w:hAnsi="Times New Roman"/>
          <w:sz w:val="14"/>
          <w:szCs w:val="14"/>
          <w:color w:val="auto"/>
        </w:rPr>
        <w:t>The Company's portfolio of electric generation assets consists of 2,618 net MW of renewable generation capacity that are non-emitting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sources of power generation. The Company's conventional assets consist of the dual fuel-fired GenConn assets as well as the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95"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Thermal infrastructure business has high entry costs. </w:t>
      </w:r>
      <w:r>
        <w:rPr>
          <w:rFonts w:ascii="Times New Roman" w:cs="Times New Roman" w:eastAsia="Times New Roman" w:hAnsi="Times New Roman"/>
          <w:sz w:val="14"/>
          <w:szCs w:val="14"/>
          <w:color w:val="auto"/>
        </w:rPr>
        <w:t>Significant capital has been invested to construct the Company's thermal infrastructure assets, serving as a barrier to entry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markets in which such assets operate. As of December 31, 2016, the Company's thermal gross property, plant, and equipment was approximately $467 million.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Review</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summarize the Company's operating revenues, net income (loss) and assets by segment for the years ended December 31, 2016, 2015 and 2014, as discussed in Item 15</w:t>
      </w:r>
    </w:p>
    <w:p>
      <w:pPr>
        <w:spacing w:after="0" w:line="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 Note 12,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to the Consolidated Financial Statements. Refer to that footnote for additional information about the Company's segments. In addition, refer to Item 2 — </w:t>
      </w:r>
      <w:r>
        <w:rPr>
          <w:rFonts w:ascii="Times New Roman" w:cs="Times New Roman" w:eastAsia="Times New Roman" w:hAnsi="Times New Roman"/>
          <w:sz w:val="14"/>
          <w:szCs w:val="14"/>
          <w:i w:val="1"/>
          <w:iCs w:val="1"/>
          <w:color w:val="auto"/>
        </w:rPr>
        <w:t>Properties</w:t>
      </w:r>
      <w:r>
        <w:rPr>
          <w:rFonts w:ascii="Times New Roman" w:cs="Times New Roman" w:eastAsia="Times New Roman" w:hAnsi="Times New Roman"/>
          <w:sz w:val="14"/>
          <w:szCs w:val="14"/>
          <w:color w:val="auto"/>
        </w:rPr>
        <w:t>, for information about the facilities in each of the Company's segments. All amounts have been recast to include the effect of the acquisitions of the Drop Down Assets, which were accounted for as transfers of entities under common 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Year ended December 31, 2016</w:t>
            </w: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0"/>
                <w:szCs w:val="10"/>
                <w:color w:val="auto"/>
              </w:rPr>
            </w:pPr>
          </w:p>
        </w:tc>
        <w:tc>
          <w:tcPr>
            <w:tcW w:w="110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200" w:type="dxa"/>
            <w:vAlign w:val="bottom"/>
          </w:tcPr>
          <w:p>
            <w:pPr>
              <w:spacing w:after="0"/>
              <w:rPr>
                <w:sz w:val="10"/>
                <w:szCs w:val="10"/>
                <w:color w:val="auto"/>
              </w:rPr>
            </w:pPr>
          </w:p>
        </w:tc>
        <w:tc>
          <w:tcPr>
            <w:tcW w:w="960" w:type="dxa"/>
            <w:vAlign w:val="bottom"/>
            <w:vMerge w:val="restart"/>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52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333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518</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1,021</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1,993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5,535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8,167</w:t>
            </w:r>
          </w:p>
        </w:tc>
        <w:tc>
          <w:tcPr>
            <w:tcW w:w="0" w:type="dxa"/>
            <w:vAlign w:val="bottom"/>
          </w:tcPr>
          <w:p>
            <w:pPr>
              <w:spacing w:after="0"/>
              <w:rPr>
                <w:sz w:val="1"/>
                <w:szCs w:val="1"/>
                <w:color w:val="auto"/>
              </w:rPr>
            </w:pPr>
          </w:p>
        </w:tc>
      </w:tr>
      <w:tr>
        <w:trPr>
          <w:trHeight w:val="26"/>
        </w:trPr>
        <w:tc>
          <w:tcPr>
            <w:tcW w:w="5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60"/>
          </w:cols>
          <w:pgMar w:left="220" w:top="764"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Year ended December 31, 2015</w:t>
            </w: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200" w:type="dxa"/>
            <w:vAlign w:val="bottom"/>
          </w:tcPr>
          <w:p>
            <w:pPr>
              <w:spacing w:after="0"/>
              <w:rPr>
                <w:sz w:val="10"/>
                <w:szCs w:val="10"/>
                <w:color w:val="auto"/>
              </w:rPr>
            </w:pPr>
          </w:p>
        </w:tc>
        <w:tc>
          <w:tcPr>
            <w:tcW w:w="86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52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336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953</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156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2,102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8,522</w:t>
            </w:r>
          </w:p>
        </w:tc>
        <w:tc>
          <w:tcPr>
            <w:tcW w:w="0" w:type="dxa"/>
            <w:vAlign w:val="bottom"/>
          </w:tcPr>
          <w:p>
            <w:pPr>
              <w:spacing w:after="0"/>
              <w:rPr>
                <w:sz w:val="1"/>
                <w:szCs w:val="1"/>
                <w:color w:val="auto"/>
              </w:rPr>
            </w:pPr>
          </w:p>
        </w:tc>
      </w:tr>
      <w:tr>
        <w:trPr>
          <w:trHeight w:val="360"/>
        </w:trPr>
        <w:tc>
          <w:tcPr>
            <w:tcW w:w="5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Year ended December 31, 2014</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200" w:type="dxa"/>
            <w:vAlign w:val="bottom"/>
          </w:tcPr>
          <w:p>
            <w:pPr>
              <w:spacing w:after="0"/>
              <w:rPr>
                <w:sz w:val="10"/>
                <w:szCs w:val="10"/>
                <w:color w:val="auto"/>
              </w:rPr>
            </w:pPr>
          </w:p>
        </w:tc>
        <w:tc>
          <w:tcPr>
            <w:tcW w:w="86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52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317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828</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Incentives</w:t>
      </w:r>
    </w:p>
    <w:p>
      <w:pPr>
        <w:spacing w:after="0" w:line="141" w:lineRule="exact"/>
        <w:rPr>
          <w:sz w:val="20"/>
          <w:szCs w:val="20"/>
          <w:color w:val="auto"/>
        </w:rPr>
      </w:pPr>
    </w:p>
    <w:p>
      <w:pPr>
        <w:jc w:val="both"/>
        <w:ind w:firstLine="514"/>
        <w:spacing w:after="0" w:line="291" w:lineRule="auto"/>
        <w:rPr>
          <w:sz w:val="20"/>
          <w:szCs w:val="20"/>
          <w:color w:val="auto"/>
        </w:rPr>
      </w:pPr>
      <w:r>
        <w:rPr>
          <w:rFonts w:ascii="Times New Roman" w:cs="Times New Roman" w:eastAsia="Times New Roman" w:hAnsi="Times New Roman"/>
          <w:sz w:val="14"/>
          <w:szCs w:val="14"/>
          <w:color w:val="auto"/>
        </w:rPr>
        <w:t>Government incentives, including PTCs and ITCs, can enhance the economics of the Company's generating assets and investments by providing, for example, loan guarantees, cash grants, favorable tax treatment, favorable depreciation rules or other incentives. The Company cannot predict the effects that the new U.S. presidential administration will have on government incentives.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52" w:lineRule="exact"/>
        <w:rPr>
          <w:sz w:val="20"/>
          <w:szCs w:val="20"/>
          <w:color w:val="auto"/>
        </w:rPr>
      </w:pPr>
    </w:p>
    <w:p>
      <w:pPr>
        <w:jc w:val="both"/>
        <w:ind w:firstLine="514"/>
        <w:spacing w:after="0" w:line="278" w:lineRule="auto"/>
        <w:rPr>
          <w:sz w:val="20"/>
          <w:szCs w:val="20"/>
          <w:color w:val="auto"/>
        </w:rPr>
      </w:pPr>
      <w:r>
        <w:rPr>
          <w:rFonts w:ascii="Times New Roman" w:cs="Times New Roman" w:eastAsia="Times New Roman" w:hAnsi="Times New Roman"/>
          <w:sz w:val="14"/>
          <w:szCs w:val="14"/>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 The Company's operations within the ERCOT footprint are not subject to rate regulation by FERC, as they are deemed to operate solely within the ERCOT market and not in interstate commerce. These operations are subject to regulation by PUCT.</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CFTC</w:t>
      </w:r>
    </w:p>
    <w:p>
      <w:pPr>
        <w:spacing w:after="0" w:line="143"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The CFTC, among other things, regulates the trading of swaps, futures and many commodities under the Commodity Exchange Act, or CEA. Since 2010, there have been a number of reforms to the regulation of the derivatives markets. These regulations, and any further changes thereto, or adoption of additional regulations, including any regulations relating to position limits on futures and other derivatives or margin for derivatives, could negatively impact the Company’s ability to hedge its portfolio in an efficient, cost-effective manner by, among other things, potentially decreasing liquidity in the forward commodity and derivatives markets or limiting the Company’s ability to utilize non-cash collateral for derivatives transactions.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FERC</w:t>
      </w:r>
    </w:p>
    <w:p>
      <w:pPr>
        <w:spacing w:after="0" w:line="143"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FERC, among other things, regulates the transmission and the wholesale sale of electricity in interstate commerce under the authority of the FPA. The transmission of electric energy occurring wholly within ERCOT is not subject to FERC’s jurisdiction under Sections 203 or 205 of the FPA. Under existing regulations, FERC determines whether an entity owning a generation facility is an EWG, as defined in the PUHCA. FERC also determines whether a generation facility meets the ownership and technical criteria of a QF under the PURPA. Each of the Company’s non-ERCOT generating facilities qualifies as an EWG.</w:t>
      </w:r>
    </w:p>
    <w:p>
      <w:pPr>
        <w:spacing w:after="0" w:line="98" w:lineRule="exact"/>
        <w:rPr>
          <w:sz w:val="20"/>
          <w:szCs w:val="20"/>
          <w:color w:val="auto"/>
        </w:rPr>
      </w:pPr>
    </w:p>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The FPA gives FERC exclusive rate-making jurisdiction over the wholesale sale of electricity and transmission of electricity in interstate commerce of public utilities (as defined by the FPA). Under the FPA, FERC, with certain exceptions, regulates the owners of facilities used for the wholesale sale of electricity or transmission in interstate commerce as public utilities, and establishes market rules that are just and reasonable.</w:t>
      </w:r>
    </w:p>
    <w:p>
      <w:pPr>
        <w:spacing w:after="0" w:line="94" w:lineRule="exact"/>
        <w:rPr>
          <w:sz w:val="20"/>
          <w:szCs w:val="20"/>
          <w:color w:val="auto"/>
        </w:rPr>
      </w:pPr>
    </w:p>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Public utilities are required to obtain FERC’s acceptance, pursuant to Section 205 of the FPA, of their rate schedules for the wholesale sale of electricity. All of the Company’s non-QF generating entities located outside of ERCOT make sales of electricity pursuant to market-based rates, as opposed to traditional cost-of-service regulated rates. Every three years FERC will conduct a review of the Company’s market based rates and potential market power on a regional basis.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460"/>
          </w:cols>
          <w:pgMar w:left="220" w:top="945" w:right="219" w:bottom="1440" w:gutter="0" w:footer="0" w:header="0"/>
        </w:sectPr>
      </w:pPr>
    </w:p>
    <w:bookmarkStart w:id="11" w:name="page12"/>
    <w:bookmarkEnd w:id="11"/>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entity must comply with the requirements of the regional reliability entity for the region in which it is located.</w:t>
      </w:r>
    </w:p>
    <w:p>
      <w:pPr>
        <w:spacing w:after="0" w:line="94" w:lineRule="exact"/>
        <w:rPr>
          <w:sz w:val="20"/>
          <w:szCs w:val="20"/>
          <w:color w:val="auto"/>
        </w:rPr>
      </w:pPr>
    </w:p>
    <w:p>
      <w:pPr>
        <w:jc w:val="both"/>
        <w:ind w:firstLine="514"/>
        <w:spacing w:after="0" w:line="291" w:lineRule="auto"/>
        <w:rPr>
          <w:sz w:val="20"/>
          <w:szCs w:val="20"/>
          <w:color w:val="auto"/>
        </w:rPr>
      </w:pPr>
      <w:r>
        <w:rPr>
          <w:rFonts w:ascii="Times New Roman" w:cs="Times New Roman" w:eastAsia="Times New Roman" w:hAnsi="Times New Roman"/>
          <w:sz w:val="14"/>
          <w:szCs w:val="14"/>
          <w:color w:val="auto"/>
        </w:rPr>
        <w:t>The PURPA was passed in 1978 in large part to promote increased energy efficiency and development of independent power producers. The PURPA created QFs to further both goals, and FERC is primarily charged with administering the PURPA as it applies to QFs. Certain QFs are exempt from regulation, either in whole or in part, under the FPA as public utilities.</w:t>
      </w:r>
    </w:p>
    <w:p>
      <w:pPr>
        <w:spacing w:after="0" w:line="81" w:lineRule="exact"/>
        <w:rPr>
          <w:sz w:val="20"/>
          <w:szCs w:val="20"/>
          <w:color w:val="auto"/>
        </w:rPr>
      </w:pPr>
    </w:p>
    <w:p>
      <w:pPr>
        <w:jc w:val="both"/>
        <w:ind w:firstLine="514"/>
        <w:spacing w:after="0" w:line="291" w:lineRule="auto"/>
        <w:rPr>
          <w:sz w:val="20"/>
          <w:szCs w:val="20"/>
          <w:color w:val="auto"/>
        </w:rPr>
      </w:pPr>
      <w:r>
        <w:rPr>
          <w:rFonts w:ascii="Times New Roman" w:cs="Times New Roman" w:eastAsia="Times New Roman" w:hAnsi="Times New Roman"/>
          <w:sz w:val="14"/>
          <w:szCs w:val="14"/>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205"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become more stringent over time, although this trend could change in the near term with respect to federal laws under the new U.S. presidential administration.</w:t>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October 2015, the EPA finalized the Clean Power Plan, or CPP, addressing GHG emissions from existing EGUs. On February 9, 2016, the U.S. Supreme Court stayed the CPP. The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Court of Appeals for the D.C. Circuit, sitting </w:t>
      </w:r>
      <w:r>
        <w:rPr>
          <w:rFonts w:ascii="Times New Roman" w:cs="Times New Roman" w:eastAsia="Times New Roman" w:hAnsi="Times New Roman"/>
          <w:sz w:val="14"/>
          <w:szCs w:val="14"/>
          <w:i w:val="1"/>
          <w:iCs w:val="1"/>
          <w:color w:val="auto"/>
        </w:rPr>
        <w:t>en banc</w:t>
      </w:r>
      <w:r>
        <w:rPr>
          <w:rFonts w:ascii="Times New Roman" w:cs="Times New Roman" w:eastAsia="Times New Roman" w:hAnsi="Times New Roman"/>
          <w:sz w:val="14"/>
          <w:szCs w:val="14"/>
          <w:color w:val="auto"/>
        </w:rPr>
        <w:t>, heard oral argument on the legal challenges to the CPP in September 2016. Due to the ongoing litigation and the potential impact of the new U.S.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presidential administration, the Company believes the CPP is not likely to survive.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41" w:lineRule="exact"/>
        <w:rPr>
          <w:sz w:val="20"/>
          <w:szCs w:val="20"/>
          <w:color w:val="auto"/>
        </w:rPr>
      </w:pPr>
    </w:p>
    <w:p>
      <w:pPr>
        <w:jc w:val="both"/>
        <w:ind w:firstLine="514"/>
        <w:spacing w:after="0" w:line="284" w:lineRule="auto"/>
        <w:rPr>
          <w:sz w:val="20"/>
          <w:szCs w:val="20"/>
          <w:color w:val="auto"/>
        </w:rPr>
      </w:pPr>
      <w:r>
        <w:rPr>
          <w:rFonts w:ascii="Times New Roman" w:cs="Times New Roman" w:eastAsia="Times New Roman" w:hAnsi="Times New Roman"/>
          <w:sz w:val="14"/>
          <w:szCs w:val="14"/>
          <w:color w:val="auto"/>
        </w:rPr>
        <w:t>The Company sells its electricity and environmental attributes, including RECs, primarily to local utilities under long-term, fixed-price PPAs. During the year ended December 31, 2016, the Company derived approximately 42% of its consolidated revenue from Southern California Edison, or SCE, and approximately 23% of its consolidated revenue from Pacific Gas and Electric, or PG&amp;E.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41"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 xml:space="preserve">The Company employs Christopher Sotos as its President and Chief Executive Officer and Chad Plotkin as its Senior Vice President and Chief Financial Officer. Other than Messrs. Sotos and Plotkin, the Company does not employ any other employees. The personnel that manage operations of the Company are employees of NRG or third parties managed by NRG, and their services are provided for the Company's benefit under the Management Services Agreement and project operations and maintenance agreements with NRG as described in Item 15 — Note 13, </w:t>
      </w:r>
      <w:r>
        <w:rPr>
          <w:rFonts w:ascii="Times New Roman" w:cs="Times New Roman" w:eastAsia="Times New Roman" w:hAnsi="Times New Roman"/>
          <w:sz w:val="14"/>
          <w:szCs w:val="14"/>
          <w:i w:val="1"/>
          <w:iCs w:val="1"/>
          <w:color w:val="auto"/>
        </w:rPr>
        <w:t>Related Party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Transactions</w:t>
      </w:r>
      <w:r>
        <w:rPr>
          <w:rFonts w:ascii="Times New Roman" w:cs="Times New Roman" w:eastAsia="Times New Roman" w:hAnsi="Times New Roman"/>
          <w:sz w:val="14"/>
          <w:szCs w:val="14"/>
          <w:color w:val="auto"/>
        </w:rPr>
        <w:t>, to the Consolidated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41" w:lineRule="exact"/>
        <w:rPr>
          <w:sz w:val="20"/>
          <w:szCs w:val="20"/>
          <w:color w:val="auto"/>
        </w:rPr>
      </w:pPr>
    </w:p>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 xml:space="preserve">The Company's annual reports on Form 10-K, quarterly reports on Form 10-Q, current reports on Form 8-K, and amendments to those reports filed or furnished pursuant to section 13(a) or 15(d) of the Exchange Act are available free of charge through Yield, Inc.'s website, </w:t>
      </w:r>
      <w:r>
        <w:rPr>
          <w:rFonts w:ascii="Times New Roman" w:cs="Times New Roman" w:eastAsia="Times New Roman" w:hAnsi="Times New Roman"/>
          <w:sz w:val="14"/>
          <w:szCs w:val="14"/>
          <w:i w:val="1"/>
          <w:iCs w:val="1"/>
          <w:color w:val="auto"/>
        </w:rPr>
        <w:t>www.nrgyield.com</w:t>
      </w:r>
      <w:r>
        <w:rPr>
          <w:rFonts w:ascii="Times New Roman" w:cs="Times New Roman" w:eastAsia="Times New Roman" w:hAnsi="Times New Roman"/>
          <w:sz w:val="14"/>
          <w:szCs w:val="14"/>
          <w:color w:val="auto"/>
        </w:rPr>
        <w:t>, as soon as reasonably practicable after they are electronically filed with, or furnished to, the SEC. The Company also routinely posts press releases, presentations, webcasts, and other information regarding the Company on Yield, Inc.'s website.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facilities are newly constructed and may not perform as expected.</w:t>
      </w:r>
    </w:p>
    <w:p>
      <w:pPr>
        <w:spacing w:after="0" w:line="143"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distributions to Yield, Inc. and NRG.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60"/>
          </w:cols>
          <w:pgMar w:left="220" w:top="768" w:right="219" w:bottom="1440" w:gutter="0" w:footer="0" w:header="0"/>
        </w:sectPr>
      </w:pPr>
    </w:p>
    <w:bookmarkStart w:id="12" w:name="page13"/>
    <w:bookmarkEnd w:id="12"/>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Pursuant to the Company's cash distribution policy, the Company intends to distribute all or substantially all of the CAFD through regular quarterly distributions, and the Company's ability to grow and make acquisitions through cash on hand could be limited.</w:t>
      </w:r>
    </w:p>
    <w:p>
      <w:pPr>
        <w:spacing w:after="0" w:line="77" w:lineRule="exact"/>
        <w:rPr>
          <w:sz w:val="20"/>
          <w:szCs w:val="20"/>
          <w:color w:val="auto"/>
        </w:rPr>
      </w:pPr>
    </w:p>
    <w:p>
      <w:pPr>
        <w:jc w:val="both"/>
        <w:ind w:firstLine="514"/>
        <w:spacing w:after="0" w:line="263" w:lineRule="auto"/>
        <w:rPr>
          <w:sz w:val="20"/>
          <w:szCs w:val="20"/>
          <w:color w:val="auto"/>
        </w:rPr>
      </w:pPr>
      <w:r>
        <w:rPr>
          <w:rFonts w:ascii="Times New Roman" w:cs="Times New Roman" w:eastAsia="Times New Roman" w:hAnsi="Times New Roman"/>
          <w:sz w:val="14"/>
          <w:szCs w:val="14"/>
          <w:color w:val="auto"/>
        </w:rPr>
        <w:t>The Company expects to distribute all or substantially all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The incurrence of bank borrowings or other debt by NRG Yield Operating LLC or by the Company's project-level subsidiaries to finance the Company’s growth strategy will result in increased interest expense and the imposition of additional or more restrictive covenants, which, in turn, may impact the cash distributions the Company makes to Yield, Inc. and NRG.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effectively identify or consummate any future acquisitions on favorable terms, or at all.</w:t>
      </w:r>
    </w:p>
    <w:p>
      <w:pPr>
        <w:spacing w:after="0" w:line="143"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Yield, Inc.'s common stock.</w:t>
      </w:r>
    </w:p>
    <w:p>
      <w:pPr>
        <w:spacing w:after="0" w:line="317"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effectively consummate future acquisitions will also depend on the Company’s ability to arrange the required or desired financing for acquisitions.</w:t>
      </w:r>
    </w:p>
    <w:p>
      <w:pPr>
        <w:spacing w:after="0" w:line="143"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acquisitions, including, but not limited to, approval by FERC under Section 203 of the FPA.</w:t>
      </w:r>
    </w:p>
    <w:p>
      <w:pPr>
        <w:spacing w:after="0" w:line="101"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cash flows and ability to pay distributions to Yield, Inc. and NRG.</w:t>
      </w:r>
    </w:p>
    <w:p>
      <w:pPr>
        <w:spacing w:after="0" w:line="9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Even if the Company consummates acquisitions that it believes will be accretive to CAFD, those acquisitions may decrease CAFD as a result of incorrect assumptions in the Company’s evaluation of such acquisitions, unforeseen consequences or other external events beyond the Company’s control.</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acquisition of existing generation assets involves the risk of overpaying for such projects (or not making acquisitions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460"/>
          </w:cols>
          <w:pgMar w:left="220" w:top="764" w:right="21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4"/>
          <w:szCs w:val="14"/>
          <w:color w:val="auto"/>
        </w:rPr>
        <w:t>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unitholders. Any failure of the Company’s acquired generation assets to be accretive or difficulty in integrating such acquisition into the Company’s business could have a material adverse effect on the Company’s ability to grow its business and make cash distributions to its unitholders.</w:t>
      </w:r>
    </w:p>
    <w:p>
      <w:pPr>
        <w:spacing w:after="0" w:line="9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92"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As of December 31, 2016, the Company had approximately $5,782 million of total consolidated indebtedness, $4,314 million of which was incurred by the Company's non-guarantor subsidiaries. In addition, the Company’s share of its unconsolidated affiliates’ total indebtedness and letters of credit outstanding as of December 31, 2016, totaled approximately $453 million and $86 million, respectively (calculated as the Company’s unconsolidated affiliates’ total indebtedness as of such date multiplied by the Company’s percentage membership interest in such assets). The Company’s substantial debt could have important negative consequences on the Company’s financial condition, including:</w:t>
      </w:r>
    </w:p>
    <w:p>
      <w:pPr>
        <w:spacing w:after="0" w:line="98" w:lineRule="exact"/>
        <w:rPr>
          <w:sz w:val="20"/>
          <w:szCs w:val="20"/>
          <w:color w:val="auto"/>
        </w:rPr>
      </w:pPr>
    </w:p>
    <w:p>
      <w:pPr>
        <w:ind w:left="520" w:hanging="257"/>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Company’s vulnerability to general economic and industry conditions;</w:t>
      </w:r>
    </w:p>
    <w:p>
      <w:pPr>
        <w:spacing w:after="0" w:line="24" w:lineRule="exact"/>
        <w:rPr>
          <w:rFonts w:ascii="Times New Roman" w:cs="Times New Roman" w:eastAsia="Times New Roman" w:hAnsi="Times New Roman"/>
          <w:sz w:val="14"/>
          <w:szCs w:val="14"/>
          <w:color w:val="auto"/>
        </w:rPr>
      </w:pPr>
    </w:p>
    <w:p>
      <w:pPr>
        <w:ind w:left="520" w:hanging="257"/>
        <w:spacing w:after="0" w:line="255"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the Company’s cash flow from operations to be dedicated to the payment of principal and interest on the Company’s indebtedness, therefore reducing the Company’s ability to pay distributions to Yield, Inc. and NRG or to use the Company’s cash flow to fund its operations, capital expenditures and future business opportunities;</w:t>
      </w:r>
    </w:p>
    <w:p>
      <w:pPr>
        <w:ind w:left="520" w:hanging="257"/>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enter into long-term power sales or fuel purchases which require credit support;</w:t>
      </w:r>
    </w:p>
    <w:p>
      <w:pPr>
        <w:spacing w:after="0" w:line="1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fund operations or future acquisitions;</w:t>
      </w:r>
    </w:p>
    <w:p>
      <w:pPr>
        <w:spacing w:after="0" w:line="10" w:lineRule="exact"/>
        <w:rPr>
          <w:rFonts w:ascii="Times New Roman" w:cs="Times New Roman" w:eastAsia="Times New Roman" w:hAnsi="Times New Roman"/>
          <w:sz w:val="14"/>
          <w:szCs w:val="14"/>
          <w:color w:val="auto"/>
        </w:rPr>
      </w:pPr>
    </w:p>
    <w:p>
      <w:pPr>
        <w:ind w:left="520" w:hanging="257"/>
        <w:spacing w:after="0" w:line="255"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the Company’s ability to make certain distributions to Yield, Inc. and NRG and the ability of the Company’s subsidiaries to make certain distributions to it, in light of restricted payment and other financial covenants in the Company’s credit facilities and other financing agreements;</w:t>
      </w:r>
    </w:p>
    <w:p>
      <w:pPr>
        <w:ind w:left="520" w:hanging="257"/>
        <w:spacing w:after="0" w:line="255"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the Company to the risk of increased interest rates because certain of the Company’s borrowings, which may include borrowings under the Company’s revolving credit facility, are at variable rates of interest;</w:t>
      </w:r>
    </w:p>
    <w:p>
      <w:pPr>
        <w:ind w:left="520" w:hanging="257"/>
        <w:spacing w:after="0" w:line="255"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obtain additional financing for working capital including collateral postings, capital expenditures, debt service requirements, acquisitions and general corporate or other purposes; and</w:t>
      </w:r>
    </w:p>
    <w:p>
      <w:pPr>
        <w:ind w:left="520" w:hanging="257"/>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adjust to changing market conditions and placing it at a competitive disadvantage compared to the Company’s competitors who have less debt.</w:t>
      </w:r>
    </w:p>
    <w:p>
      <w:pPr>
        <w:spacing w:after="0" w:line="125"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01" w:lineRule="exact"/>
        <w:rPr>
          <w:sz w:val="20"/>
          <w:szCs w:val="20"/>
          <w:color w:val="auto"/>
        </w:rPr>
      </w:pPr>
    </w:p>
    <w:p>
      <w:pPr>
        <w:jc w:val="both"/>
        <w:ind w:firstLine="514"/>
        <w:spacing w:after="0" w:line="261" w:lineRule="auto"/>
        <w:rPr>
          <w:sz w:val="20"/>
          <w:szCs w:val="20"/>
          <w:color w:val="auto"/>
        </w:rPr>
      </w:pPr>
      <w:r>
        <w:rPr>
          <w:rFonts w:ascii="Times New Roman" w:cs="Times New Roman" w:eastAsia="Times New Roman" w:hAnsi="Times New Roman"/>
          <w:sz w:val="14"/>
          <w:szCs w:val="14"/>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distributions to Yield, Inc. and NRG.</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Letter of credit facilities to support project-level contractual obligations generally need to be renewed after five to seven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460"/>
          </w:cols>
          <w:pgMar w:left="220" w:top="768" w:right="219" w:bottom="1440" w:gutter="0" w:footer="0" w:header="0"/>
        </w:sectPr>
      </w:pPr>
    </w:p>
    <w:bookmarkStart w:id="14" w:name="page15"/>
    <w:bookmarkEnd w:id="14"/>
    <w:p>
      <w:pPr>
        <w:jc w:val="both"/>
        <w:spacing w:after="0" w:line="267" w:lineRule="auto"/>
        <w:rPr>
          <w:sz w:val="20"/>
          <w:szCs w:val="20"/>
          <w:color w:val="auto"/>
        </w:rPr>
      </w:pPr>
      <w:r>
        <w:rPr>
          <w:rFonts w:ascii="Times New Roman" w:cs="Times New Roman" w:eastAsia="Times New Roman" w:hAnsi="Times New Roman"/>
          <w:sz w:val="14"/>
          <w:szCs w:val="14"/>
          <w:color w:val="auto"/>
        </w:rPr>
        <w:t>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98" w:lineRule="exact"/>
        <w:rPr>
          <w:sz w:val="20"/>
          <w:szCs w:val="20"/>
          <w:color w:val="auto"/>
        </w:rPr>
      </w:pPr>
    </w:p>
    <w:p>
      <w:pPr>
        <w:jc w:val="both"/>
        <w:ind w:firstLine="514"/>
        <w:spacing w:after="0" w:line="291" w:lineRule="auto"/>
        <w:rPr>
          <w:sz w:val="20"/>
          <w:szCs w:val="20"/>
          <w:color w:val="auto"/>
        </w:rPr>
      </w:pPr>
      <w:r>
        <w:rPr>
          <w:rFonts w:ascii="Times New Roman" w:cs="Times New Roman" w:eastAsia="Times New Roman" w:hAnsi="Times New Roman"/>
          <w:sz w:val="14"/>
          <w:szCs w:val="14"/>
          <w:color w:val="auto"/>
        </w:rPr>
        <w:t>In addition, the Company’s ability to arrange financing, either at the corporate level or at a non-recourse project-level subsidiary, and the costs of such capital, are dependent on numerous factors, including:</w:t>
      </w:r>
    </w:p>
    <w:p>
      <w:pPr>
        <w:spacing w:after="0" w:line="38" w:lineRule="exact"/>
        <w:rPr>
          <w:sz w:val="20"/>
          <w:szCs w:val="20"/>
          <w:color w:val="auto"/>
        </w:rPr>
      </w:pPr>
    </w:p>
    <w:p>
      <w:pPr>
        <w:ind w:left="520" w:hanging="25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capital market conditions;</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availability from banks and other financial institutions;</w:t>
      </w:r>
    </w:p>
    <w:p>
      <w:pPr>
        <w:spacing w:after="0" w:line="53" w:lineRule="exact"/>
        <w:rPr>
          <w:rFonts w:ascii="Times New Roman" w:cs="Times New Roman" w:eastAsia="Times New Roman" w:hAnsi="Times New Roman"/>
          <w:sz w:val="14"/>
          <w:szCs w:val="14"/>
          <w:color w:val="auto"/>
        </w:rPr>
      </w:pPr>
    </w:p>
    <w:p>
      <w:pPr>
        <w:ind w:left="520" w:hanging="257"/>
        <w:spacing w:after="0" w:line="287"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the Company, its partners, Yield, Inc. (as the Company's sole managing member), NRG (as Yield Inc.’s principal stockholder, on a combined voting basis, and manager under the Management Services Agreement) and the regional wholesale power markets;</w:t>
      </w:r>
    </w:p>
    <w:p>
      <w:pPr>
        <w:ind w:left="520" w:hanging="25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financial performance and the financial performance of the Company subsidiaries;</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level of indebtedness and compliance with covenants in debt agreements;</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acceptable project credit ratings or credit quality;</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and</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tax and securities laws that may impact raising capital.</w:t>
      </w:r>
    </w:p>
    <w:p>
      <w:pPr>
        <w:spacing w:after="0" w:line="139"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the Company's long-term bilateral contracts result from state-mandated procurements and could be declared invalid by a court of competent jurisdiction.</w:t>
      </w:r>
    </w:p>
    <w:p>
      <w:pPr>
        <w:spacing w:after="0" w:line="143"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color w:val="auto"/>
        </w:rPr>
        <w:t>A significant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the Company may be unable to replace such contracts, which could have a material adverse effect on the Company's business, financial condition, results of operations and cash flows.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generation of electric energy from solar and wind energy sources depends heavily on suitable meteorological conditions.</w:t>
      </w:r>
    </w:p>
    <w:p>
      <w:pPr>
        <w:spacing w:after="0" w:line="143" w:lineRule="exact"/>
        <w:rPr>
          <w:sz w:val="20"/>
          <w:szCs w:val="20"/>
          <w:color w:val="auto"/>
        </w:rPr>
      </w:pPr>
    </w:p>
    <w:p>
      <w:pPr>
        <w:jc w:val="both"/>
        <w:ind w:firstLine="514"/>
        <w:spacing w:after="0" w:line="261" w:lineRule="auto"/>
        <w:rPr>
          <w:sz w:val="20"/>
          <w:szCs w:val="20"/>
          <w:color w:val="auto"/>
        </w:rPr>
      </w:pPr>
      <w:r>
        <w:rPr>
          <w:rFonts w:ascii="Times New Roman" w:cs="Times New Roman" w:eastAsia="Times New Roman" w:hAnsi="Times New Roman"/>
          <w:sz w:val="14"/>
          <w:szCs w:val="14"/>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hailstorms or tornadoes.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In addition, climate change may have the long-term effect of changing wind patterns at our projects. Changing wind patterns could cause changes in expected electricity generation. These events could also degrade equipment or components and the interconnection and transmission facilities’ lives or maintenance costs.</w:t>
      </w:r>
    </w:p>
    <w:p>
      <w:pPr>
        <w:spacing w:after="0" w:line="103"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business, financial condition, results of operations and cash flows.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460"/>
          </w:cols>
          <w:pgMar w:left="220" w:top="768" w:right="219" w:bottom="1440" w:gutter="0" w:footer="0" w:header="0"/>
        </w:sectPr>
      </w:pPr>
    </w:p>
    <w:bookmarkStart w:id="15" w:name="page16"/>
    <w:bookmarkEnd w:id="15"/>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77"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9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77"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Maintenance, expansion and refurbishment of electric generation facilities involve significant risks that could result in unplanned power outages or reduced output.</w:t>
      </w:r>
    </w:p>
    <w:p>
      <w:pPr>
        <w:spacing w:after="0" w:line="143"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Yield, Inc. and NRG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98"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CAA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460"/>
          </w:cols>
          <w:pgMar w:left="220" w:top="764" w:right="219" w:bottom="1440" w:gutter="0" w:footer="0" w:header="0"/>
        </w:sectPr>
      </w:pPr>
    </w:p>
    <w:bookmarkStart w:id="16" w:name="page17"/>
    <w:bookmarkEnd w:id="16"/>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77" w:lineRule="exact"/>
        <w:rPr>
          <w:sz w:val="20"/>
          <w:szCs w:val="20"/>
          <w:color w:val="auto"/>
        </w:rPr>
      </w:pPr>
    </w:p>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A significant portion of the electric power the Company generates is sold under long-term offtake agreements with public utilities or industrial or commercial end-users, with a weighted average remaining duration of approximately 16 years (based on CAFD). As of December 31, 2016, the largest customers of the Company's power generation assets, including assets in which the Company has less than a 100% membership interest, were SCE and PG&amp;E, which represented 45% and 25%, respectively, of the net electric generation capacity of the Company's facilities.</w:t>
      </w:r>
    </w:p>
    <w:p>
      <w:pPr>
        <w:spacing w:after="0" w:line="94"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98" w:lineRule="exact"/>
        <w:rPr>
          <w:sz w:val="20"/>
          <w:szCs w:val="20"/>
          <w:color w:val="auto"/>
        </w:rPr>
      </w:pPr>
    </w:p>
    <w:p>
      <w:pPr>
        <w:jc w:val="both"/>
        <w:ind w:firstLine="514"/>
        <w:spacing w:after="0" w:line="259" w:lineRule="auto"/>
        <w:rPr>
          <w:sz w:val="20"/>
          <w:szCs w:val="20"/>
          <w:color w:val="auto"/>
        </w:rPr>
      </w:pPr>
      <w:r>
        <w:rPr>
          <w:rFonts w:ascii="Times New Roman" w:cs="Times New Roman" w:eastAsia="Times New Roman" w:hAnsi="Times New Roman"/>
          <w:sz w:val="14"/>
          <w:szCs w:val="14"/>
          <w:color w:val="auto"/>
        </w:rPr>
        <w:t>The power generation industry is characterized by intense competition and the Company's electric generation assets encounter competition from utilities, industrial companies and other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to evolving industry standards and changing customer requirements than the Company will be able to. Adoption of technology more advanced than the Company's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could also impair the ability of some counterparties to the Company's offtake agreements and other customer agreements to pay for energy and/or other products and services received.</w:t>
      </w:r>
    </w:p>
    <w:p>
      <w:pPr>
        <w:spacing w:after="0" w:line="106" w:lineRule="exact"/>
        <w:rPr>
          <w:sz w:val="20"/>
          <w:szCs w:val="20"/>
          <w:color w:val="auto"/>
        </w:rPr>
      </w:pPr>
    </w:p>
    <w:p>
      <w:pPr>
        <w:jc w:val="both"/>
        <w:ind w:firstLine="514"/>
        <w:spacing w:after="0" w:line="291" w:lineRule="auto"/>
        <w:rPr>
          <w:sz w:val="20"/>
          <w:szCs w:val="20"/>
          <w:color w:val="auto"/>
        </w:rPr>
      </w:pPr>
      <w:r>
        <w:rPr>
          <w:rFonts w:ascii="Times New Roman" w:cs="Times New Roman" w:eastAsia="Times New Roman" w:hAnsi="Times New Roman"/>
          <w:sz w:val="14"/>
          <w:szCs w:val="14"/>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facilities may operate, wholly or partially, without long-term power sales agreements.</w:t>
      </w:r>
    </w:p>
    <w:p>
      <w:pPr>
        <w:spacing w:after="0" w:line="186" w:lineRule="exact"/>
        <w:rPr>
          <w:sz w:val="20"/>
          <w:szCs w:val="20"/>
          <w:color w:val="auto"/>
        </w:rPr>
      </w:pPr>
    </w:p>
    <w:p>
      <w:pPr>
        <w:jc w:val="both"/>
        <w:ind w:firstLine="343"/>
        <w:spacing w:after="0" w:line="267" w:lineRule="auto"/>
        <w:rPr>
          <w:sz w:val="20"/>
          <w:szCs w:val="20"/>
          <w:color w:val="auto"/>
        </w:rPr>
      </w:pPr>
      <w:r>
        <w:rPr>
          <w:rFonts w:ascii="Times New Roman" w:cs="Times New Roman" w:eastAsia="Times New Roman" w:hAnsi="Times New Roman"/>
          <w:sz w:val="14"/>
          <w:szCs w:val="14"/>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77" w:lineRule="exact"/>
        <w:rPr>
          <w:sz w:val="20"/>
          <w:szCs w:val="20"/>
          <w:color w:val="auto"/>
        </w:rPr>
      </w:pPr>
    </w:p>
    <w:p>
      <w:pPr>
        <w:jc w:val="both"/>
        <w:ind w:firstLine="514"/>
        <w:spacing w:after="0" w:line="261" w:lineRule="auto"/>
        <w:rPr>
          <w:sz w:val="20"/>
          <w:szCs w:val="20"/>
          <w:color w:val="auto"/>
        </w:rPr>
      </w:pPr>
      <w:r>
        <w:rPr>
          <w:rFonts w:ascii="Times New Roman" w:cs="Times New Roman" w:eastAsia="Times New Roman" w:hAnsi="Times New Roman"/>
          <w:sz w:val="14"/>
          <w:szCs w:val="14"/>
          <w:color w:val="auto"/>
        </w:rPr>
        <w:t>Approximately 378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460"/>
          </w:cols>
          <w:pgMar w:left="220" w:top="764" w:right="219" w:bottom="1440" w:gutter="0" w:footer="0" w:header="0"/>
        </w:sectPr>
      </w:pPr>
    </w:p>
    <w:bookmarkStart w:id="17" w:name="page18"/>
    <w:bookmarkEnd w:id="17"/>
    <w:p>
      <w:pPr>
        <w:jc w:val="both"/>
        <w:spacing w:after="0" w:line="291" w:lineRule="auto"/>
        <w:rPr>
          <w:sz w:val="20"/>
          <w:szCs w:val="20"/>
          <w:color w:val="auto"/>
        </w:rPr>
      </w:pPr>
      <w:r>
        <w:rPr>
          <w:rFonts w:ascii="Times New Roman" w:cs="Times New Roman" w:eastAsia="Times New Roman" w:hAnsi="Times New Roman"/>
          <w:sz w:val="14"/>
          <w:szCs w:val="14"/>
          <w:color w:val="auto"/>
        </w:rPr>
        <w:t>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Supplier and/or customer concentration at certain of the Company's facilities may expose the Company to significant financial credit or performance risks.</w:t>
      </w:r>
    </w:p>
    <w:p>
      <w:pPr>
        <w:spacing w:after="0" w:line="143"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05"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98" w:lineRule="exact"/>
        <w:rPr>
          <w:sz w:val="20"/>
          <w:szCs w:val="20"/>
          <w:color w:val="auto"/>
        </w:rPr>
      </w:pPr>
    </w:p>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75"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 xml:space="preserve">As described in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104" w:lineRule="exact"/>
        <w:rPr>
          <w:sz w:val="20"/>
          <w:szCs w:val="20"/>
          <w:color w:val="auto"/>
        </w:rPr>
      </w:pPr>
    </w:p>
    <w:p>
      <w:pPr>
        <w:jc w:val="both"/>
        <w:ind w:firstLine="514"/>
        <w:spacing w:after="0" w:line="271" w:lineRule="auto"/>
        <w:rPr>
          <w:sz w:val="20"/>
          <w:szCs w:val="20"/>
          <w:color w:val="auto"/>
        </w:rPr>
      </w:pPr>
      <w:r>
        <w:rPr>
          <w:rFonts w:ascii="Times New Roman" w:cs="Times New Roman" w:eastAsia="Times New Roman" w:hAnsi="Times New Roman"/>
          <w:sz w:val="14"/>
          <w:szCs w:val="14"/>
          <w:color w:val="auto"/>
        </w:rPr>
        <w:t>The approval of co-venturers may also be required for the Company to receive distributions of funds from assets or to sell, pledge, transfer, assign or otherwise convey its interest in such assets, or for the Company to acquire NRG's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269" w:lineRule="exact"/>
        <w:rPr>
          <w:sz w:val="20"/>
          <w:szCs w:val="20"/>
          <w:color w:val="auto"/>
        </w:rPr>
      </w:pPr>
    </w:p>
    <w:p>
      <w:pPr>
        <w:jc w:val="both"/>
        <w:ind w:firstLine="514"/>
        <w:spacing w:after="0" w:line="291" w:lineRule="auto"/>
        <w:rPr>
          <w:sz w:val="20"/>
          <w:szCs w:val="20"/>
          <w:color w:val="auto"/>
        </w:rPr>
      </w:pPr>
      <w:r>
        <w:rPr>
          <w:rFonts w:ascii="Times New Roman" w:cs="Times New Roman" w:eastAsia="Times New Roman" w:hAnsi="Times New Roman"/>
          <w:sz w:val="14"/>
          <w:szCs w:val="14"/>
          <w:color w:val="auto"/>
        </w:rPr>
        <w:t>Furthermore, certain of the Company's facilities are operated by third-party operators, such as First Solar. To the extent that third-party operators do not fulfill their obligations to manage operations of the facilities or are not effective in doing so, the amount of CAFD may be adversely affected.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460"/>
          </w:cols>
          <w:pgMar w:left="220" w:top="768" w:right="219" w:bottom="1440" w:gutter="0" w:footer="0" w:header="0"/>
        </w:sectPr>
      </w:pPr>
    </w:p>
    <w:bookmarkStart w:id="18" w:name="page19"/>
    <w:bookmarkEnd w:id="18"/>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77"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restrictions resulting from environmental, health and safety laws and regulations.</w:t>
      </w:r>
    </w:p>
    <w:p>
      <w:pPr>
        <w:spacing w:after="0" w:line="143" w:lineRule="exact"/>
        <w:rPr>
          <w:sz w:val="20"/>
          <w:szCs w:val="20"/>
          <w:color w:val="auto"/>
        </w:rPr>
      </w:pPr>
    </w:p>
    <w:p>
      <w:pPr>
        <w:jc w:val="both"/>
        <w:ind w:firstLine="514"/>
        <w:spacing w:after="0" w:line="261" w:lineRule="auto"/>
        <w:rPr>
          <w:sz w:val="20"/>
          <w:szCs w:val="20"/>
          <w:color w:val="auto"/>
        </w:rPr>
      </w:pPr>
      <w:r>
        <w:rPr>
          <w:rFonts w:ascii="Times New Roman" w:cs="Times New Roman" w:eastAsia="Times New Roman" w:hAnsi="Times New Roman"/>
          <w:sz w:val="14"/>
          <w:szCs w:val="14"/>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does not own all of the land on which its power generation or thermal assets are located, which could result in disruption to its operations.</w:t>
      </w:r>
    </w:p>
    <w:p>
      <w:pPr>
        <w:spacing w:after="0" w:line="143"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77"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460"/>
          </w:cols>
          <w:pgMar w:left="220" w:top="764" w:right="219" w:bottom="1440" w:gutter="0" w:footer="0" w:header="0"/>
        </w:sectPr>
      </w:pPr>
    </w:p>
    <w:bookmarkStart w:id="19" w:name="page20"/>
    <w:bookmarkEnd w:id="19"/>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77"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within the footprint of ERCOT which are regulated by the PUCT, all of the Company’s assets make wholesale sales of electric energy, capacity and ancillary services in interstate commerce and are public utilities for purposes of the FPA, unless otherwise exempt from such status. FERC's orders that grant market-based rate authority to wholesale power marketers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05"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color w:val="auto"/>
        </w:rPr>
        <w:t>The Company's market-based sales will be subject to certain rules prohibiting manipulative or deceptive conduct, and if any of the Company's generating companies are deemed to have violated those rules, they will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01"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Most of the Company's assets are operating as EWGs as defined under the PUHCA, or QFs as defined under the PURPA, as amended, and therefore are exempt from certain regulation under the PUHCA and the PURPA. If a facility fails to maintain its status as an EWG or a QF or there are legislative or regulatory changes revoking or limiting the exemptions to the PUHCA,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98" w:lineRule="exact"/>
        <w:rPr>
          <w:sz w:val="20"/>
          <w:szCs w:val="20"/>
          <w:color w:val="auto"/>
        </w:rPr>
      </w:pPr>
    </w:p>
    <w:p>
      <w:pPr>
        <w:jc w:val="both"/>
        <w:ind w:firstLine="514"/>
        <w:spacing w:after="0" w:line="258" w:lineRule="auto"/>
        <w:rPr>
          <w:sz w:val="20"/>
          <w:szCs w:val="20"/>
          <w:color w:val="auto"/>
        </w:rPr>
      </w:pPr>
      <w:r>
        <w:rPr>
          <w:rFonts w:ascii="Times New Roman" w:cs="Times New Roman" w:eastAsia="Times New Roman" w:hAnsi="Times New Roman"/>
          <w:sz w:val="14"/>
          <w:szCs w:val="14"/>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460"/>
          </w:cols>
          <w:pgMar w:left="220" w:top="764" w:right="219" w:bottom="1440" w:gutter="0" w:footer="0" w:header="0"/>
        </w:sectPr>
      </w:pPr>
    </w:p>
    <w:bookmarkStart w:id="20" w:name="page21"/>
    <w:bookmarkEnd w:id="20"/>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77" w:lineRule="exact"/>
        <w:rPr>
          <w:sz w:val="20"/>
          <w:szCs w:val="20"/>
          <w:color w:val="auto"/>
        </w:rPr>
      </w:pPr>
    </w:p>
    <w:p>
      <w:pPr>
        <w:jc w:val="both"/>
        <w:ind w:firstLine="514"/>
        <w:spacing w:after="0" w:line="259" w:lineRule="auto"/>
        <w:rPr>
          <w:sz w:val="20"/>
          <w:szCs w:val="20"/>
          <w:color w:val="auto"/>
        </w:rPr>
      </w:pPr>
      <w:r>
        <w:rPr>
          <w:rFonts w:ascii="Times New Roman" w:cs="Times New Roman" w:eastAsia="Times New Roman" w:hAnsi="Times New Roman"/>
          <w:sz w:val="14"/>
          <w:szCs w:val="14"/>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although this trend could change in the near term under the new U.S. presidential administration.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27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77"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01" w:lineRule="exact"/>
        <w:rPr>
          <w:sz w:val="20"/>
          <w:szCs w:val="20"/>
          <w:color w:val="auto"/>
        </w:rPr>
      </w:pPr>
    </w:p>
    <w:p>
      <w:pPr>
        <w:jc w:val="both"/>
        <w:ind w:firstLine="514"/>
        <w:spacing w:after="0" w:line="261" w:lineRule="auto"/>
        <w:rPr>
          <w:sz w:val="20"/>
          <w:szCs w:val="20"/>
          <w:color w:val="auto"/>
        </w:rPr>
      </w:pPr>
      <w:r>
        <w:rPr>
          <w:rFonts w:ascii="Times New Roman" w:cs="Times New Roman" w:eastAsia="Times New Roman" w:hAnsi="Times New Roman"/>
          <w:sz w:val="14"/>
          <w:szCs w:val="14"/>
          <w:color w:val="auto"/>
        </w:rPr>
        <w:t>Furthermore, certain of the Company's power generation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operation of the Company’s businesses is subject to cyber-based security and integrity risk.</w:t>
      </w:r>
    </w:p>
    <w:p>
      <w:pPr>
        <w:spacing w:after="0" w:line="175"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Numerous functions affecting the efficient operation of the Company’s businesses are dependent on the secure and reliable storage, processing and communication of electronic data and the use of sophisticated computer hardware and software systems. The operation of the Company's generating assets are reliant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460"/>
          </w:cols>
          <w:pgMar w:left="220" w:top="764"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regulations providing incentives for renewable generation could change at any time and such changes may negatively impact the Company's growth strategy.</w:t>
      </w:r>
    </w:p>
    <w:p>
      <w:pPr>
        <w:spacing w:after="0" w:line="143"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began construction in 2016 through 2019 will continue to qualify for the 30% ITC. Projects beginning construction in 2020 and 2021 will be eligible for the ITC at the rates of 26% and 22%, respectively. The same legislation also extended the 10-year wind PTC for wind projects that began construction in years 2016 through 2019. Wind projects that begin construction in the years 2017, 2018 and 2019 are eligible for PTC at 80%, 60% and 40% of the statutory rate per kWh, respectively.</w:t>
      </w:r>
    </w:p>
    <w:p>
      <w:pPr>
        <w:spacing w:after="0" w:line="103"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ARRA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 In addition, the cash grant in lieu of ITCs program only applies to facilities that commenced construction prior to December 31, 2011, which commencement date may be determined in accordance with the safe harbor if more than 5% of the total cost of the eligible property was paid or incurred by December 31, 2011.</w:t>
      </w:r>
    </w:p>
    <w:p>
      <w:pPr>
        <w:spacing w:after="0" w:line="105" w:lineRule="exact"/>
        <w:rPr>
          <w:sz w:val="20"/>
          <w:szCs w:val="20"/>
          <w:color w:val="auto"/>
        </w:rPr>
      </w:pPr>
    </w:p>
    <w:p>
      <w:pPr>
        <w:jc w:val="both"/>
        <w:ind w:firstLine="514"/>
        <w:spacing w:after="0" w:line="291" w:lineRule="auto"/>
        <w:rPr>
          <w:sz w:val="20"/>
          <w:szCs w:val="20"/>
          <w:color w:val="auto"/>
        </w:rPr>
      </w:pPr>
      <w:r>
        <w:rPr>
          <w:rFonts w:ascii="Times New Roman" w:cs="Times New Roman" w:eastAsia="Times New Roman" w:hAnsi="Times New Roman"/>
          <w:sz w:val="14"/>
          <w:szCs w:val="14"/>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7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The Company relies on electric interconnection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92" w:lineRule="exact"/>
        <w:rPr>
          <w:sz w:val="20"/>
          <w:szCs w:val="20"/>
          <w:color w:val="auto"/>
        </w:rPr>
      </w:pPr>
    </w:p>
    <w:p>
      <w:pPr>
        <w:jc w:val="both"/>
        <w:ind w:firstLine="514"/>
        <w:spacing w:after="0" w:line="259" w:lineRule="auto"/>
        <w:rPr>
          <w:sz w:val="20"/>
          <w:szCs w:val="20"/>
          <w:color w:val="auto"/>
        </w:rPr>
      </w:pPr>
      <w:r>
        <w:rPr>
          <w:rFonts w:ascii="Times New Roman" w:cs="Times New Roman" w:eastAsia="Times New Roman" w:hAnsi="Times New Roman"/>
          <w:sz w:val="14"/>
          <w:szCs w:val="14"/>
          <w:color w:val="auto"/>
        </w:rPr>
        <w:t>The Company depends on electric interconnection and transmission facilities owned and operated by others to deliver the wholesale power it will sell from its electric generation assets to its customers. A failure or delay in the operation or development of these interconnection or transmission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interconnection and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460"/>
          </w:cols>
          <w:pgMar w:left="220" w:top="764" w:right="219" w:bottom="1440" w:gutter="0" w:footer="0" w:header="0"/>
        </w:sectPr>
      </w:pPr>
    </w:p>
    <w:bookmarkStart w:id="22" w:name="page23"/>
    <w:bookmarkEnd w:id="22"/>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77" w:lineRule="exact"/>
        <w:rPr>
          <w:sz w:val="20"/>
          <w:szCs w:val="20"/>
          <w:color w:val="auto"/>
        </w:rPr>
      </w:pPr>
    </w:p>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77" w:lineRule="exact"/>
        <w:rPr>
          <w:sz w:val="20"/>
          <w:szCs w:val="20"/>
          <w:color w:val="auto"/>
        </w:rPr>
      </w:pPr>
    </w:p>
    <w:p>
      <w:pPr>
        <w:jc w:val="both"/>
        <w:ind w:firstLine="521"/>
        <w:spacing w:after="0" w:line="291" w:lineRule="auto"/>
        <w:rPr>
          <w:sz w:val="20"/>
          <w:szCs w:val="20"/>
          <w:color w:val="auto"/>
        </w:rPr>
      </w:pPr>
      <w:r>
        <w:rPr>
          <w:rFonts w:ascii="Times New Roman" w:cs="Times New Roman" w:eastAsia="Times New Roman" w:hAnsi="Times New Roman"/>
          <w:sz w:val="14"/>
          <w:szCs w:val="14"/>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 business as contemplated.</w:t>
      </w:r>
    </w:p>
    <w:p>
      <w:pPr>
        <w:spacing w:after="0" w:line="81" w:lineRule="exact"/>
        <w:rPr>
          <w:sz w:val="20"/>
          <w:szCs w:val="20"/>
          <w:color w:val="auto"/>
        </w:rPr>
      </w:pPr>
    </w:p>
    <w:p>
      <w:pPr>
        <w:jc w:val="both"/>
        <w:ind w:firstLine="644"/>
        <w:spacing w:after="0" w:line="267" w:lineRule="auto"/>
        <w:rPr>
          <w:sz w:val="20"/>
          <w:szCs w:val="20"/>
          <w:color w:val="auto"/>
        </w:rPr>
      </w:pPr>
      <w:r>
        <w:rPr>
          <w:rFonts w:ascii="Times New Roman" w:cs="Times New Roman" w:eastAsia="Times New Roman" w:hAnsi="Times New Roman"/>
          <w:sz w:val="14"/>
          <w:szCs w:val="14"/>
          <w:color w:val="auto"/>
        </w:rPr>
        <w:t>The Company believes it is not an investment company under Section 3(b)(1) of the Investment Company Act because the Company is primarily engaged in a non-investment company business. The Company intends to conduct its operations so that the Company will not be 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depends on key management employees.</w:t>
      </w:r>
    </w:p>
    <w:p>
      <w:pPr>
        <w:spacing w:after="0" w:line="197"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The Company believes its current operations and future success depend largely on the continued services of the management employees that it employs, in particular Christopher Sotos, the Company’s President and Chief Executive Officer and Chad Plotkin, the Company’s Senior Vice President and Chief Financial Officer. Although the Company has access to the resources of NRG, the loss of Mr. Sotos’ or Mr. Plotkin’s services, or other key management personnel employed by the Company in the future, could have a material adverse effect on the Company’s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 with NRG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NRG exercises substantial influence over the Company through its position as controlling shareholder of Yield, Inc. The Company is highly dependent on NRG.</w:t>
      </w:r>
    </w:p>
    <w:p>
      <w:pPr>
        <w:spacing w:after="0" w:line="143"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NRG owns all of the outstanding Class B and Class D common stock of Yield, Inc. and owns 55.1% of the combined voting power of Yield, Inc. as of December 31, 2016. NRG has also expressed its intention to maintain a controlling interest in Yield, Inc. As a result of NRG's ownership of Yield, Inc. and Yield, Inc.'s position as sole managing member of the Company, NRG has a substantial influence on the Company's affairs and its voting power will constitute a large percentage of any quorum of Yield, Inc.'s stockholders voting on any matter requiring the approval of its stockholders. Such matters include approval of mergers or sale of all or substantially all of its assets. This concentration of ownership may also have the effect of delaying or preventing a change in control of Yield, Inc. or discouraging others from making tender offers for their shares. In addition, NRG has the right to elect all of Yield, Inc.'s directors. NRG may cause corporate actions to be taken even if their interests conflict with the interests of Yield, Inc.'s other stockholders.</w:t>
      </w:r>
    </w:p>
    <w:p>
      <w:pPr>
        <w:spacing w:after="0" w:line="103"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Furthermore, the Company depends on the management and administration services provided by or under the direction of NRG under the Management Services Agreement. NRG personnel and support staff that provide services to the Company under the Management Services Agreement are not required to, and the Company does not expect that they will, have as their primary responsibility the management and administration of the Company or to act exclusively for the Company and the Management Services Agreement does not require any specific individuals to be provided by NRG. Under the Management Services Agreement, NRG has the discretion to determine which of its employees perform assignments required to be provided to the Company. Any failure to effectively manage the Company's operations or to implement its strategy could have a material adverse effect on the business, financial condition, results of operations and cash flows. The Management Services Agreement will continue in perpetuity, until terminated in accordance with its terms.</w:t>
      </w:r>
    </w:p>
    <w:p>
      <w:pPr>
        <w:spacing w:after="0" w:line="103" w:lineRule="exact"/>
        <w:rPr>
          <w:sz w:val="20"/>
          <w:szCs w:val="20"/>
          <w:color w:val="auto"/>
        </w:rPr>
      </w:pPr>
    </w:p>
    <w:p>
      <w:pPr>
        <w:jc w:val="both"/>
        <w:ind w:firstLine="514"/>
        <w:spacing w:after="0" w:line="267" w:lineRule="auto"/>
        <w:rPr>
          <w:sz w:val="20"/>
          <w:szCs w:val="20"/>
          <w:color w:val="auto"/>
        </w:rPr>
      </w:pPr>
      <w:r>
        <w:rPr>
          <w:rFonts w:ascii="Times New Roman" w:cs="Times New Roman" w:eastAsia="Times New Roman" w:hAnsi="Times New Roman"/>
          <w:sz w:val="14"/>
          <w:szCs w:val="14"/>
          <w:color w:val="auto"/>
        </w:rPr>
        <w:t>The Company also depends upon NRG for the provision of management, administration and certain other services at all of the Company's facilities and contracts with NRG, or its subsidiaries, to procure fuel and sell power for certain of its operating facilities. Any failure by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460"/>
          </w:cols>
          <w:pgMar w:left="220" w:top="764" w:right="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consummate future acquisitions from NRG.</w:t>
      </w:r>
    </w:p>
    <w:p>
      <w:pPr>
        <w:spacing w:after="0" w:line="143" w:lineRule="exact"/>
        <w:rPr>
          <w:sz w:val="20"/>
          <w:szCs w:val="20"/>
          <w:color w:val="auto"/>
        </w:rPr>
      </w:pPr>
    </w:p>
    <w:p>
      <w:pPr>
        <w:jc w:val="both"/>
        <w:ind w:firstLine="514"/>
        <w:spacing w:after="0" w:line="264" w:lineRule="auto"/>
        <w:rPr>
          <w:sz w:val="20"/>
          <w:szCs w:val="20"/>
          <w:color w:val="auto"/>
        </w:rPr>
      </w:pPr>
      <w:r>
        <w:rPr>
          <w:rFonts w:ascii="Times New Roman" w:cs="Times New Roman" w:eastAsia="Times New Roman" w:hAnsi="Times New Roman"/>
          <w:sz w:val="14"/>
          <w:szCs w:val="14"/>
          <w:color w:val="auto"/>
        </w:rPr>
        <w:t>The Company's ability to grow through acquisitions depends, in part, on NRG's ability to identify and present the Company with acquisition opportunities. NRG established the Company to hold and acquire a diversified suite of power generating assets in the U.S. and its territories. Although NRG has agreed to grant the Company a right of first offer with respect to certain power generation assets that NRG may elect to sell in the future, NRG is under no obligation to sell any such power generation assets or to accept any related offer from the Company. Furthermore, NRG has no obligation to source acquisition opportunities specifically for the Company. In addition, NRG has not agreed to commit any minimum level of dedicated resources for the pursuit of renewable power-related acquisitions. There are a number of factors which could materially and adversely impact the extent to which suitable acquisition opportunities are made available from NRG, including:</w:t>
      </w:r>
    </w:p>
    <w:p>
      <w:pPr>
        <w:spacing w:after="0" w:line="101" w:lineRule="exact"/>
        <w:rPr>
          <w:sz w:val="20"/>
          <w:szCs w:val="20"/>
          <w:color w:val="auto"/>
        </w:rPr>
      </w:pPr>
    </w:p>
    <w:p>
      <w:pPr>
        <w:jc w:val="both"/>
        <w:ind w:left="1040" w:hanging="263"/>
        <w:spacing w:after="0" w:line="273" w:lineRule="auto"/>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same professionals within NRG's organization that are involved in acquisitions that are suitable for the Company have responsibilities within NRG's broader asset management business, which may include sourcing acquisition opportunities for NRG. Limits on the availability of such individuals will likewise result in a limitation on the availability of acquisition opportunities for the Company; and</w:t>
      </w:r>
    </w:p>
    <w:p>
      <w:pPr>
        <w:spacing w:after="0" w:line="7" w:lineRule="exact"/>
        <w:rPr>
          <w:rFonts w:ascii="Times New Roman" w:cs="Times New Roman" w:eastAsia="Times New Roman" w:hAnsi="Times New Roman"/>
          <w:sz w:val="14"/>
          <w:szCs w:val="14"/>
          <w:color w:val="auto"/>
        </w:rPr>
      </w:pPr>
    </w:p>
    <w:p>
      <w:pPr>
        <w:jc w:val="both"/>
        <w:ind w:left="1040" w:hanging="263"/>
        <w:spacing w:after="0" w:line="273" w:lineRule="auto"/>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structural limitations, the question of whether a particular asset is suitable is highly subjective and is dependent on a number of factors including an assessment by NRG relating to the Company's liquidity position at the time, the risk profile of the opportunity and its fit with the balance of the Company's then current operations and other factors. If NRG determines that an opportunity is not suitable for the Company, it may still pursue such opportunity on its own behalf, or on behalf of another NRG affiliate.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making these determinations, NRG may be influenced by factors that result in a misalignment with the Company's interests or conflict of interest.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departure of some or all of NRG's employees could prevent the Company from achieving its objectives.</w:t>
      </w:r>
    </w:p>
    <w:p>
      <w:pPr>
        <w:spacing w:after="0" w:line="143"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The Company depends on the diligence, skill and business contacts of NRG's professionals and the information and opportunities they generate during the normal course of their activities. Furthermore, approximately 30% of NRG's employees at the Company's generation plants are covered by collective bargaining agreements as of December 31, 2016. The Company's future success will depend on the continued service of these individuals, who are not obligated to remain employed with NRG, or otherwise successfully renegotiate their collective bargaining agreements when such agreements expire or otherwise terminate. NRG has experienced departures of key professionals and personnel in the past and may do so in the future, and the Company cannot predict the impact that any such departures will have on its ability to achieve its objectives. The Management Services Agreement does not require NRG to maintain the employment of any of its professionals or to cause any particular professional to provide services to the Company or on its behalf. The departure of a significant number of NRG's professionals or a material portion of the NRG employees who work at any of the Company's facilities for any reason, or the failure to appoint qualified or effective successors in the event of such departures, could have a material adverse effect on the Company's ability to achieve its objectives.</w:t>
      </w:r>
    </w:p>
    <w:p>
      <w:pPr>
        <w:spacing w:after="0" w:line="10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The Company's organizational and ownership structure may create significant conflicts of interest that may be resolved in a manner that is not in the best interests of the Company and that may have a material adverse effect on the business, financial condition, results of operations and cash flows.</w:t>
      </w:r>
    </w:p>
    <w:p>
      <w:pPr>
        <w:spacing w:after="0" w:line="77"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The Company's organizational and ownership structure involves a number of relationships that may give rise to certain conflicts of interest between the Company and NRG. Pursuant to the Management Services Agreement with NRG, certain of the Company's executive officers are shared NRG executives and devote their time to both the Company and NRG as needed to conduct the respective businesses. Although the Company's directors and executive officers owe fiduciary duties to the Company's stockholders, these shared NRG executives have fiduciary and other duties to NRG, which duties may be inconsistent with the Company's best interests. In addition, NRG and its representatives, agents and affiliates have access to the Company's confidential information. Although some of these persons are subject to confidentiality obligations pursuant to confidentiality agreements or implied duties of confidence, the Management Services Agreement does not contain general confidentiality provisions.</w:t>
      </w:r>
    </w:p>
    <w:p>
      <w:pPr>
        <w:spacing w:after="0" w:line="103"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Additionally, all of the Company's executive officers continue to have economic interests in NRG and, accordingly, the benefit to NRG from a transaction between the Company and NRG will proportionately inure to their benefit as holders of economic interests in NRG. NRG is a related person under the applicable securities laws governing related person transactions and may have interests which differ from the Company's interests, including with respect to the types of acquisitions made, the timing and amount of distributions by the Company, the reinvestment of returns generated by the Company's operations, the use of leverage when making acquisitions and the appointment of outside advisors and service providers. Any material transaction between the Company and NRG will be subject to the Company's related person transaction policy, which will require prior approval of such transaction by the Company's board committees. Those of the Company's executive officers who have economic interests in NRG</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460"/>
          </w:cols>
          <w:pgMar w:left="220" w:top="764" w:right="21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4"/>
          <w:szCs w:val="14"/>
          <w:color w:val="auto"/>
        </w:rPr>
        <w:t>may be conflicted when advising the Company's board committees or otherwise participating in the negotiation or approval of such transactions. These executive officers have significant project- and industry-specific expertise that could prove beneficial to the Company's decision-making process and the absence of such strategic guidance could have a material adverse effect on the board committees' ability to evaluate any such transaction. Furthermore, the creation of board committees and the Company's related person transaction approval policy may not insulate the Company from derivative claims with respect to related person transactions and the conflicts of interest described in this risk factor. Regardless of the merits of such claims, the Company may be required to expend significant management time and financial resources in the defense thereof. Additionally, to the extent the Company fails to appropriately deal with any such conflicts, it could negatively impact the Company's reputation and ability to raise additional funds and the willingness of counterparties to do business with the Company, all of which could have a material adverse effect on the business, financial condition, results of operations and cash flows.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be unable or unwilling to terminate the Management Services Agreement.</w:t>
      </w:r>
    </w:p>
    <w:p>
      <w:pPr>
        <w:spacing w:after="0" w:line="143"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The Management Services Agreement provides that the Company may terminate the agreement upon 30 days prior written notice to NRG upon the occurrence of any of the following: (i) NRG defaults in the performance or observance of any material term, condition or covenant contained therein in a manner that results in material harm to the Company and the default continues unremedied for a period of 30 days after written notice thereof is given to NRG; (ii) NRG engages in any act of fraud, misappropriation of funds or embezzlement that results in material harm to the Company; (iii) NRG is grossly negligent in the performance of its duties under the agreement and such negligence results in material harm to the Company; or (iv) upon the happening of certain events relating to the bankruptcy or insolvency of NRG. Furthermore, if the Company requests an amendment to the scope of services provided by NRG under the Management Services Agreement and is not able to agree with NRG as to a change to the service fee resulting from a change in the scope of services within 180 days of the request, the Company will be able to terminate the agreement upon 30 days prior notice to NRG. The Company will not be able to terminate the agreement for any other reason, including if NRG experiences a change of control, and the agreement continues in perpetuity, until terminated in accordance with its terms.</w:t>
      </w:r>
    </w:p>
    <w:p>
      <w:pPr>
        <w:spacing w:after="0" w:line="10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If NRG terminates the Management Services Agreement or defaults in the performance of its obligations under the agreement, the Company may be unable to contract with a substitute service provider on similar terms, or at all.</w:t>
      </w:r>
    </w:p>
    <w:p>
      <w:pPr>
        <w:spacing w:after="0" w:line="77" w:lineRule="exact"/>
        <w:rPr>
          <w:sz w:val="20"/>
          <w:szCs w:val="20"/>
          <w:color w:val="auto"/>
        </w:rPr>
      </w:pPr>
    </w:p>
    <w:p>
      <w:pPr>
        <w:jc w:val="both"/>
        <w:ind w:firstLine="514"/>
        <w:spacing w:after="0" w:line="261" w:lineRule="auto"/>
        <w:rPr>
          <w:sz w:val="20"/>
          <w:szCs w:val="20"/>
          <w:color w:val="auto"/>
        </w:rPr>
      </w:pPr>
      <w:r>
        <w:rPr>
          <w:rFonts w:ascii="Times New Roman" w:cs="Times New Roman" w:eastAsia="Times New Roman" w:hAnsi="Times New Roman"/>
          <w:sz w:val="14"/>
          <w:szCs w:val="14"/>
          <w:color w:val="auto"/>
        </w:rPr>
        <w:t>The Company relies on NRG to provide management services under the Management Services Agreement and has limited executive or senior management personnel independent from NRG. The Management Services Agreement provides that NRG may terminate the agreement upon 180 days prior written notice of termination to the Company if it defaults in the performance or observance of any material term, condition or covenant contained in the agreement in a manner that results in material harm and the default continues unremedied for a period of 30 days after written notice of the breach is given. If NRG terminates the Management Services Agreement or defaults in the performance of its obligations under the agreement, the Company may be unable to contract with a substitute service provider on similar terms or at all, and the costs of substituting service providers may be substantial. In addition, in light of NRG's familiarity with the Company's assets, a substitute service provider may not be able to provide the same level of service due to lack of pre-existing synergies. If the Company cannot locate a service provider that is able to provide substantially similar services as NRG does under the Management Services Agreement on similar terms, it would likely have a material adverse effect on the business, financial condition, results of operation and cash flows.</w:t>
      </w:r>
    </w:p>
    <w:p>
      <w:pPr>
        <w:spacing w:after="0" w:line="27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The liability of NRG is limited under the Company's arrangements with it and the Company has agreed to indemnify NRG against claims that it may face in connection with such arrangements, which may lead NRG to assume greater risks when making decisions relating to the Company than it otherwise might if acting solely for its own account.</w:t>
      </w:r>
    </w:p>
    <w:p>
      <w:pPr>
        <w:spacing w:after="0" w:line="77"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Under the Management Services Agreement, NRG does not assume any responsibility other than to provide or arrange for the provision of the services described in the Management Services Agreement in good faith. In addition, under the Management Services Agreement, the liability of NRG and its affiliates is limited to the fullest extent permitted by law to conduct involving bad faith, fraud, willful misconduct or gross negligence or, in the case of a criminal matter, action that was known to have been unlawful. In addition, the Company has agreed to indemnify NRG to the fullest extent permitted by law from and against any claims, liabilities, losses, damages, costs or expenses incurred by an indemnified person or threatened in connection with the Company's operations, investments and activities or in respect of or arising from the Management Services Agreement or the services provided by NRG, except to the extent that the claims, liabilities, losses, damages, costs or expenses are determined to have resulted from the conduct in respect of which such persons have liability as described above. These protections may result in NRG tolerating greater risks when making decisions than otherwise might be the case, including when determining whether to use leverage in connection with acquisitions. The indemnification arrangements to which NRG is a party may also give rise to legal claims for indemnification that are adverse to the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460"/>
          </w:cols>
          <w:pgMar w:left="220" w:top="768" w:right="219" w:bottom="1440" w:gutter="0" w:footer="0" w:header="0"/>
        </w:sectPr>
      </w:pPr>
    </w:p>
    <w:bookmarkStart w:id="25" w:name="page26"/>
    <w:bookmarkEnd w:id="25"/>
    <w:p>
      <w:pPr>
        <w:jc w:val="both"/>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Certain of the Company’s PPAs and project-level financing arrangements include provisions that would permit the counterparty to terminate the contract or accelerate maturity in the event NRG ceases to control or own, directly or indirectly, a majority of the voting power of the Company.</w:t>
      </w:r>
    </w:p>
    <w:p>
      <w:pPr>
        <w:spacing w:after="0" w:line="120"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NRG ceases to own, directly or indirectly, capital stock representing more than 50% of the voting power of all of Yield, Inc.’s capital stock outstanding on such date, or, in some cases, if NRG ceases to be the majority owner, directly or indirectly, of the applicable project subsidiary. As a result, if NRG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460"/>
          </w:cols>
          <w:pgMar w:left="220" w:top="764" w:right="2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41" w:lineRule="exact"/>
        <w:rPr>
          <w:sz w:val="20"/>
          <w:szCs w:val="20"/>
          <w:color w:val="auto"/>
        </w:rPr>
      </w:pPr>
    </w:p>
    <w:p>
      <w:pPr>
        <w:jc w:val="both"/>
        <w:ind w:firstLine="214"/>
        <w:spacing w:after="0" w:line="264" w:lineRule="auto"/>
        <w:rPr>
          <w:sz w:val="20"/>
          <w:szCs w:val="20"/>
          <w:color w:val="auto"/>
        </w:rPr>
      </w:pPr>
      <w:r>
        <w:rPr>
          <w:rFonts w:ascii="Times New Roman" w:cs="Times New Roman" w:eastAsia="Times New Roman" w:hAnsi="Times New Roman"/>
          <w:sz w:val="14"/>
          <w:szCs w:val="14"/>
          <w:color w:val="auto"/>
        </w:rPr>
        <w:t xml:space="preserve">This Annual Report on Form 10-K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and the following:</w:t>
      </w:r>
    </w:p>
    <w:p>
      <w:pPr>
        <w:spacing w:after="0" w:line="101" w:lineRule="exact"/>
        <w:rPr>
          <w:sz w:val="20"/>
          <w:szCs w:val="20"/>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distributions;</w:t>
      </w:r>
    </w:p>
    <w:p>
      <w:pPr>
        <w:spacing w:after="0" w:line="139"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acquisitions from third parties;</w:t>
      </w:r>
    </w:p>
    <w:p>
      <w:pPr>
        <w:spacing w:after="0" w:line="139"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NRG;</w:t>
      </w:r>
    </w:p>
    <w:p>
      <w:pPr>
        <w:spacing w:after="0" w:line="139"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raise additional capital due to its indebtedness, corporate structure, market conditions or otherwise;</w:t>
      </w:r>
    </w:p>
    <w:p>
      <w:pPr>
        <w:spacing w:after="0" w:line="139" w:lineRule="exact"/>
        <w:rPr>
          <w:rFonts w:ascii="Times New Roman" w:cs="Times New Roman" w:eastAsia="Times New Roman" w:hAnsi="Times New Roman"/>
          <w:sz w:val="14"/>
          <w:szCs w:val="14"/>
          <w:color w:val="auto"/>
        </w:rPr>
      </w:pPr>
    </w:p>
    <w:p>
      <w:pPr>
        <w:jc w:val="both"/>
        <w:ind w:left="520" w:hanging="257"/>
        <w:spacing w:after="0" w:line="267"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98" w:lineRule="exact"/>
        <w:rPr>
          <w:rFonts w:ascii="Times New Roman" w:cs="Times New Roman" w:eastAsia="Times New Roman" w:hAnsi="Times New Roman"/>
          <w:sz w:val="14"/>
          <w:szCs w:val="14"/>
          <w:color w:val="auto"/>
        </w:rPr>
      </w:pPr>
    </w:p>
    <w:p>
      <w:pPr>
        <w:ind w:left="520" w:hanging="257"/>
        <w:spacing w:after="0" w:line="291"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1"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139"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 as current offtake agreements expire;</w:t>
      </w:r>
    </w:p>
    <w:p>
      <w:pPr>
        <w:spacing w:after="0" w:line="139"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139"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139" w:lineRule="exact"/>
        <w:rPr>
          <w:rFonts w:ascii="Times New Roman" w:cs="Times New Roman" w:eastAsia="Times New Roman" w:hAnsi="Times New Roman"/>
          <w:sz w:val="14"/>
          <w:szCs w:val="14"/>
          <w:color w:val="auto"/>
        </w:rPr>
      </w:pPr>
    </w:p>
    <w:p>
      <w:pPr>
        <w:ind w:left="520" w:hanging="257"/>
        <w:spacing w:after="0" w:line="291"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and its subsidiaries that are contained in the project-level debt facilities and other agreements of certain subsidiaries and project-level subsidiaries generally, in the NRG Yield Operating LLC revolving credit facility and in the indentures governing the Senior Notes; and</w:t>
      </w:r>
    </w:p>
    <w:p>
      <w:pPr>
        <w:spacing w:after="0" w:line="81" w:lineRule="exact"/>
        <w:rPr>
          <w:rFonts w:ascii="Times New Roman" w:cs="Times New Roman" w:eastAsia="Times New Roman" w:hAnsi="Times New Roman"/>
          <w:sz w:val="14"/>
          <w:szCs w:val="14"/>
          <w:color w:val="auto"/>
        </w:rPr>
      </w:pPr>
    </w:p>
    <w:p>
      <w:pPr>
        <w:ind w:left="520" w:hanging="257"/>
        <w:spacing w:after="0" w:line="291"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spacing w:after="0" w:line="81"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 Unresolved Staff Comments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None.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460"/>
          </w:cols>
          <w:pgMar w:left="220" w:top="766" w:right="2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Item 2 — Properties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Listed below are descriptions of the Company's interests in facilities, operations and/or projects owned or leased as of December 31,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auto"/>
              </w:rPr>
              <w:t>PPA Terms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20" w:type="dxa"/>
            <w:vAlign w:val="bottom"/>
            <w:gridSpan w:val="3"/>
          </w:tcPr>
          <w:p>
            <w:pPr>
              <w:spacing w:after="0"/>
              <w:rPr>
                <w:sz w:val="2"/>
                <w:szCs w:val="2"/>
                <w:color w:val="auto"/>
              </w:rPr>
            </w:pPr>
          </w:p>
        </w:tc>
        <w:tc>
          <w:tcPr>
            <w:tcW w:w="16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Rated MW</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Net MW</w:t>
            </w:r>
            <w:r>
              <w:rPr>
                <w:rFonts w:ascii="Times New Roman" w:cs="Times New Roman" w:eastAsia="Times New Roman" w:hAnsi="Times New Roman"/>
                <w:sz w:val="17"/>
                <w:szCs w:val="17"/>
                <w:b w:val="1"/>
                <w:bCs w:val="1"/>
                <w:color w:val="auto"/>
                <w:vertAlign w:val="superscript"/>
              </w:rPr>
              <w:t>(a)</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00" w:type="dxa"/>
            <w:vAlign w:val="bottom"/>
          </w:tcPr>
          <w:p>
            <w:pPr>
              <w:spacing w:after="0"/>
              <w:rPr>
                <w:sz w:val="17"/>
                <w:szCs w:val="17"/>
                <w:color w:val="auto"/>
              </w:rPr>
            </w:pPr>
          </w:p>
        </w:tc>
        <w:tc>
          <w:tcPr>
            <w:tcW w:w="11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Fuel</w:t>
            </w:r>
          </w:p>
        </w:tc>
        <w:tc>
          <w:tcPr>
            <w:tcW w:w="100" w:type="dxa"/>
            <w:vAlign w:val="bottom"/>
          </w:tcPr>
          <w:p>
            <w:pPr>
              <w:spacing w:after="0"/>
              <w:rPr>
                <w:sz w:val="17"/>
                <w:szCs w:val="17"/>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COD</w:t>
            </w:r>
          </w:p>
        </w:tc>
        <w:tc>
          <w:tcPr>
            <w:tcW w:w="120" w:type="dxa"/>
            <w:vAlign w:val="bottom"/>
          </w:tcPr>
          <w:p>
            <w:pPr>
              <w:spacing w:after="0"/>
              <w:rPr>
                <w:sz w:val="17"/>
                <w:szCs w:val="17"/>
                <w:color w:val="auto"/>
              </w:rPr>
            </w:pPr>
          </w:p>
        </w:tc>
        <w:tc>
          <w:tcPr>
            <w:tcW w:w="1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9"/>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Conventional</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 Segundo</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El Segundo, CA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2013</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21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GenConn Devon</w:t>
            </w:r>
          </w:p>
        </w:tc>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Milford, CT</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95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Gas/Oil</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2010</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21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GenConn Middletown</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Middletown, CT</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Natural Gas/Oil</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2011</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0" w:type="dxa"/>
            <w:vAlign w:val="bottom"/>
          </w:tcPr>
          <w:p>
            <w:pPr>
              <w:spacing w:after="0"/>
              <w:rPr>
                <w:sz w:val="1"/>
                <w:szCs w:val="1"/>
                <w:color w:val="auto"/>
              </w:rPr>
            </w:pPr>
          </w:p>
        </w:tc>
      </w:tr>
      <w:tr>
        <w:trPr>
          <w:trHeight w:val="21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Marsh Landing</w:t>
            </w:r>
          </w:p>
        </w:tc>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Antioch, CA</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720</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720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May 2013</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 Gas and Electric</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21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Walnut Creek</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City of Industry, CA</w:t>
            </w:r>
          </w:p>
        </w:tc>
        <w:tc>
          <w:tcPr>
            <w:tcW w:w="7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485</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485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2013</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190"/>
        </w:trPr>
        <w:tc>
          <w:tcPr>
            <w:tcW w:w="152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Total Conventional</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2,135</w:t>
            </w:r>
          </w:p>
        </w:tc>
        <w:tc>
          <w:tcPr>
            <w:tcW w:w="100" w:type="dxa"/>
            <w:vAlign w:val="bottom"/>
          </w:tcPr>
          <w:p>
            <w:pPr>
              <w:spacing w:after="0"/>
              <w:rPr>
                <w:sz w:val="16"/>
                <w:szCs w:val="16"/>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1,945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Alpine</w:t>
            </w:r>
          </w:p>
        </w:tc>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Lancaster, CA</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January 2013</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 Gas and Electric</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21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Avenal</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Avenal, CA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2011</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 Gas and Electric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21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Avra Valley</w:t>
            </w:r>
          </w:p>
        </w:tc>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Pima County, AZ</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2012</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Tucson Electric Power</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21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Blythe</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Blythe, CA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2009</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21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Borrego</w:t>
            </w:r>
          </w:p>
        </w:tc>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Borrego Springs, CA</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2013</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 Diego Gas and Electric</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21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CVSR</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Luis Obispo, CA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2013</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 Gas and Electric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21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Desert Sunlight 250</w:t>
            </w:r>
          </w:p>
        </w:tc>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Desert Center, California</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2013</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21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Desert Sunlight 300</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Desert Center, California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2013</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 Gas and Electric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21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Kansas South</w:t>
            </w:r>
          </w:p>
        </w:tc>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Lemoore, CA</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2013</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 Gas and Electric</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21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Roadrunner</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Santa Teresa, NM</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2011</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 Paso Electric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210"/>
        </w:trPr>
        <w:tc>
          <w:tcPr>
            <w:tcW w:w="1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1"/>
                <w:szCs w:val="11"/>
                <w:color w:val="auto"/>
              </w:rPr>
              <w:t>TA High Desert</w:t>
            </w:r>
          </w:p>
        </w:tc>
        <w:tc>
          <w:tcPr>
            <w:tcW w:w="1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Lancaster, CA</w:t>
            </w:r>
          </w:p>
        </w:tc>
        <w:tc>
          <w:tcPr>
            <w:tcW w:w="7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March 2013</w:t>
            </w:r>
          </w:p>
        </w:tc>
        <w:tc>
          <w:tcPr>
            <w:tcW w:w="1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99"/>
        </w:trPr>
        <w:tc>
          <w:tcPr>
            <w:tcW w:w="31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Total Utility Scale Solar</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1,044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610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AZ DG Solar Projects</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AZ</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2010 - January 2013</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2025 - 2033</w:t>
            </w:r>
          </w:p>
        </w:tc>
        <w:tc>
          <w:tcPr>
            <w:tcW w:w="0" w:type="dxa"/>
            <w:vAlign w:val="bottom"/>
          </w:tcPr>
          <w:p>
            <w:pPr>
              <w:spacing w:after="0"/>
              <w:rPr>
                <w:sz w:val="1"/>
                <w:szCs w:val="1"/>
                <w:color w:val="auto"/>
              </w:rPr>
            </w:pPr>
          </w:p>
        </w:tc>
      </w:tr>
      <w:tr>
        <w:trPr>
          <w:trHeight w:val="122"/>
        </w:trPr>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PFMG DG Solar Projects</w:t>
            </w: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CA</w:t>
            </w:r>
          </w:p>
        </w:tc>
        <w:tc>
          <w:tcPr>
            <w:tcW w:w="700" w:type="dxa"/>
            <w:vAlign w:val="bottom"/>
            <w:vMerge w:val="restart"/>
          </w:tcPr>
          <w:p>
            <w:pPr>
              <w:jc w:val="right"/>
              <w:ind w:right="62"/>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0"/>
                <w:szCs w:val="10"/>
                <w:color w:val="auto"/>
              </w:rPr>
            </w:pPr>
          </w:p>
        </w:tc>
        <w:tc>
          <w:tcPr>
            <w:tcW w:w="70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October 2012 - December</w:t>
            </w: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52"/>
        </w:trPr>
        <w:tc>
          <w:tcPr>
            <w:tcW w:w="1520" w:type="dxa"/>
            <w:vAlign w:val="bottom"/>
            <w:tcBorders>
              <w:bottom w:val="single" w:sz="8" w:color="CCEEFF"/>
            </w:tcBorders>
            <w:gridSpan w:val="3"/>
            <w:vMerge w:val="continue"/>
          </w:tcPr>
          <w:p>
            <w:pPr>
              <w:spacing w:after="0"/>
              <w:rPr>
                <w:sz w:val="13"/>
                <w:szCs w:val="13"/>
                <w:color w:val="auto"/>
              </w:rPr>
            </w:pPr>
          </w:p>
        </w:tc>
        <w:tc>
          <w:tcPr>
            <w:tcW w:w="1600" w:type="dxa"/>
            <w:vAlign w:val="bottom"/>
            <w:tcBorders>
              <w:bottom w:val="single" w:sz="8" w:color="CCEEFF"/>
            </w:tcBorders>
            <w:gridSpan w:val="2"/>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CCEEFF"/>
            </w:tcBorders>
            <w:gridSpan w:val="2"/>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gridSpan w:val="2"/>
            <w:vMerge w:val="continue"/>
          </w:tcPr>
          <w:p>
            <w:pPr>
              <w:spacing w:after="0"/>
              <w:rPr>
                <w:sz w:val="13"/>
                <w:szCs w:val="13"/>
                <w:color w:val="auto"/>
              </w:rPr>
            </w:pPr>
          </w:p>
        </w:tc>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2012</w:t>
            </w: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gridSpan w:val="2"/>
            <w:vMerge w:val="continue"/>
          </w:tcPr>
          <w:p>
            <w:pPr>
              <w:spacing w:after="0"/>
              <w:rPr>
                <w:sz w:val="13"/>
                <w:szCs w:val="13"/>
                <w:color w:val="auto"/>
              </w:rPr>
            </w:pPr>
          </w:p>
        </w:tc>
        <w:tc>
          <w:tcPr>
            <w:tcW w:w="102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5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w w:val="97"/>
              </w:rPr>
              <w:t>Total Distributed Solar</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21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Alta II</w:t>
            </w:r>
          </w:p>
        </w:tc>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150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21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III</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21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Alta IV</w:t>
            </w:r>
          </w:p>
        </w:tc>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2011</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21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V</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168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2011</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210"/>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xml:space="preserve">Alta X </w:t>
            </w:r>
            <w:r>
              <w:rPr>
                <w:rFonts w:ascii="Times New Roman" w:cs="Times New Roman" w:eastAsia="Times New Roman" w:hAnsi="Times New Roman"/>
                <w:sz w:val="7"/>
                <w:szCs w:val="7"/>
                <w:color w:val="auto"/>
              </w:rPr>
              <w:t>(b)</w:t>
            </w:r>
          </w:p>
        </w:tc>
        <w:tc>
          <w:tcPr>
            <w:tcW w:w="1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21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Alta XI </w:t>
            </w:r>
            <w:r>
              <w:rPr>
                <w:rFonts w:ascii="Times New Roman" w:cs="Times New Roman" w:eastAsia="Times New Roman" w:hAnsi="Times New Roman"/>
                <w:sz w:val="7"/>
                <w:szCs w:val="7"/>
                <w:color w:val="auto"/>
              </w:rPr>
              <w:t>(b)</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California Edison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460"/>
          </w:cols>
          <w:pgMar w:left="220" w:top="766"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9"/>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auto"/>
              </w:rPr>
              <w:t>PPA Terms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2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Rated MW</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Net MW</w:t>
            </w:r>
          </w:p>
        </w:tc>
        <w:tc>
          <w:tcPr>
            <w:tcW w:w="12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24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Fuel</w:t>
            </w: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COD</w:t>
            </w:r>
          </w:p>
        </w:tc>
        <w:tc>
          <w:tcPr>
            <w:tcW w:w="18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2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26"/>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Buffalo Bear</w:t>
            </w:r>
          </w:p>
        </w:tc>
        <w:tc>
          <w:tcPr>
            <w:tcW w:w="16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Buffalo, OK</w:t>
            </w:r>
          </w:p>
        </w:tc>
        <w:tc>
          <w:tcPr>
            <w:tcW w:w="7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19</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9"/>
                <w:szCs w:val="9"/>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2008</w:t>
            </w:r>
          </w:p>
        </w:tc>
        <w:tc>
          <w:tcPr>
            <w:tcW w:w="1820" w:type="dxa"/>
            <w:vAlign w:val="bottom"/>
            <w:gridSpan w:val="2"/>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Western Farmers Electric Co-</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7"/>
        </w:trPr>
        <w:tc>
          <w:tcPr>
            <w:tcW w:w="1500" w:type="dxa"/>
            <w:vAlign w:val="bottom"/>
            <w:gridSpan w:val="2"/>
            <w:vMerge w:val="continue"/>
            <w:shd w:val="clear" w:color="auto" w:fill="CCEEFF"/>
          </w:tcPr>
          <w:p>
            <w:pPr>
              <w:spacing w:after="0"/>
              <w:rPr>
                <w:sz w:val="13"/>
                <w:szCs w:val="13"/>
                <w:color w:val="auto"/>
              </w:rPr>
            </w:pPr>
          </w:p>
        </w:tc>
        <w:tc>
          <w:tcPr>
            <w:tcW w:w="1620" w:type="dxa"/>
            <w:vAlign w:val="bottom"/>
            <w:gridSpan w:val="3"/>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600" w:type="dxa"/>
            <w:vAlign w:val="bottom"/>
            <w:gridSpan w:val="2"/>
            <w:vMerge w:val="continue"/>
            <w:shd w:val="clear" w:color="auto" w:fill="CCEEFF"/>
          </w:tcPr>
          <w:p>
            <w:pPr>
              <w:spacing w:after="0"/>
              <w:rPr>
                <w:sz w:val="13"/>
                <w:szCs w:val="13"/>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operative</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Crosswinds </w:t>
            </w:r>
            <w:r>
              <w:rPr>
                <w:rFonts w:ascii="Times New Roman" w:cs="Times New Roman" w:eastAsia="Times New Roman" w:hAnsi="Times New Roman"/>
                <w:sz w:val="7"/>
                <w:szCs w:val="7"/>
                <w:color w:val="auto"/>
              </w:rPr>
              <w:t>(b)</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Ayrshire, IA</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2007</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Corn Belt Power Cooperative</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0" w:type="dxa"/>
            <w:vAlign w:val="bottom"/>
          </w:tcPr>
          <w:p>
            <w:pPr>
              <w:spacing w:after="0"/>
              <w:rPr>
                <w:sz w:val="1"/>
                <w:szCs w:val="1"/>
                <w:color w:val="auto"/>
              </w:rPr>
            </w:pPr>
          </w:p>
        </w:tc>
      </w:tr>
      <w:tr>
        <w:trPr>
          <w:trHeight w:val="219"/>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7"/>
                <w:szCs w:val="7"/>
                <w:color w:val="auto"/>
              </w:rPr>
              <w:t>(b)</w:t>
            </w:r>
          </w:p>
        </w:tc>
        <w:tc>
          <w:tcPr>
            <w:tcW w:w="1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Howard County, TX</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2008</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NRG Power Marketing LLC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Elkhorn Ridge </w:t>
            </w:r>
            <w:r>
              <w:rPr>
                <w:rFonts w:ascii="Times New Roman" w:cs="Times New Roman" w:eastAsia="Times New Roman" w:hAnsi="Times New Roman"/>
                <w:sz w:val="7"/>
                <w:szCs w:val="7"/>
                <w:color w:val="auto"/>
              </w:rPr>
              <w:t>(b)</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Bloomfield, NE</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2009</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Nebraska Public Power District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219"/>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Forward </w:t>
            </w:r>
            <w:r>
              <w:rPr>
                <w:rFonts w:ascii="Times New Roman" w:cs="Times New Roman" w:eastAsia="Times New Roman" w:hAnsi="Times New Roman"/>
                <w:sz w:val="7"/>
                <w:szCs w:val="7"/>
                <w:color w:val="auto"/>
              </w:rPr>
              <w:t>(b)</w:t>
            </w:r>
          </w:p>
        </w:tc>
        <w:tc>
          <w:tcPr>
            <w:tcW w:w="1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Berlin, PA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2008</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Constellation NewEnergy, Inc.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2017</w:t>
            </w: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Goat Wind </w:t>
            </w:r>
            <w:r>
              <w:rPr>
                <w:rFonts w:ascii="Times New Roman" w:cs="Times New Roman" w:eastAsia="Times New Roman" w:hAnsi="Times New Roman"/>
                <w:sz w:val="7"/>
                <w:szCs w:val="7"/>
                <w:color w:val="auto"/>
              </w:rPr>
              <w:t>(b)</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Sterling City, TX</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April 2008/June 2009</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Dow Pipeline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26"/>
        </w:trPr>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Hardin </w:t>
            </w:r>
            <w:r>
              <w:rPr>
                <w:rFonts w:ascii="Times New Roman" w:cs="Times New Roman" w:eastAsia="Times New Roman" w:hAnsi="Times New Roman"/>
                <w:sz w:val="7"/>
                <w:szCs w:val="7"/>
                <w:color w:val="auto"/>
              </w:rPr>
              <w:t>(b)</w:t>
            </w:r>
          </w:p>
        </w:tc>
        <w:tc>
          <w:tcPr>
            <w:tcW w:w="16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Jefferson, IA</w:t>
            </w:r>
          </w:p>
        </w:tc>
        <w:tc>
          <w:tcPr>
            <w:tcW w:w="7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w:t>
            </w:r>
          </w:p>
        </w:tc>
        <w:tc>
          <w:tcPr>
            <w:tcW w:w="10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2007</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Interstate Power and Light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0" w:type="dxa"/>
            <w:vAlign w:val="bottom"/>
          </w:tcPr>
          <w:p>
            <w:pPr>
              <w:spacing w:after="0"/>
              <w:rPr>
                <w:sz w:val="1"/>
                <w:szCs w:val="1"/>
                <w:color w:val="auto"/>
              </w:rPr>
            </w:pPr>
          </w:p>
        </w:tc>
      </w:tr>
      <w:tr>
        <w:trPr>
          <w:trHeight w:val="157"/>
        </w:trPr>
        <w:tc>
          <w:tcPr>
            <w:tcW w:w="1500" w:type="dxa"/>
            <w:vAlign w:val="bottom"/>
            <w:gridSpan w:val="2"/>
            <w:vMerge w:val="continue"/>
            <w:shd w:val="clear" w:color="auto" w:fill="CCEEFF"/>
          </w:tcPr>
          <w:p>
            <w:pPr>
              <w:spacing w:after="0"/>
              <w:rPr>
                <w:sz w:val="13"/>
                <w:szCs w:val="13"/>
                <w:color w:val="auto"/>
              </w:rPr>
            </w:pPr>
          </w:p>
        </w:tc>
        <w:tc>
          <w:tcPr>
            <w:tcW w:w="1620" w:type="dxa"/>
            <w:vAlign w:val="bottom"/>
            <w:gridSpan w:val="3"/>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600" w:type="dxa"/>
            <w:vAlign w:val="bottom"/>
            <w:gridSpan w:val="2"/>
            <w:vMerge w:val="continue"/>
            <w:shd w:val="clear" w:color="auto" w:fill="CCEEFF"/>
          </w:tcPr>
          <w:p>
            <w:pPr>
              <w:spacing w:after="0"/>
              <w:rPr>
                <w:sz w:val="13"/>
                <w:szCs w:val="13"/>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Company</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Laredo Ridge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Petersburg, NE</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26"/>
        </w:trPr>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Lookout </w:t>
            </w:r>
            <w:r>
              <w:rPr>
                <w:rFonts w:ascii="Times New Roman" w:cs="Times New Roman" w:eastAsia="Times New Roman" w:hAnsi="Times New Roman"/>
                <w:sz w:val="7"/>
                <w:szCs w:val="7"/>
                <w:color w:val="auto"/>
              </w:rPr>
              <w:t>(b)</w:t>
            </w:r>
          </w:p>
        </w:tc>
        <w:tc>
          <w:tcPr>
            <w:tcW w:w="16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Berlin, PA</w:t>
            </w:r>
          </w:p>
        </w:tc>
        <w:tc>
          <w:tcPr>
            <w:tcW w:w="7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29</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2008</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Maryland Electric</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0" w:type="dxa"/>
            <w:vAlign w:val="bottom"/>
          </w:tcPr>
          <w:p>
            <w:pPr>
              <w:spacing w:after="0"/>
              <w:rPr>
                <w:sz w:val="1"/>
                <w:szCs w:val="1"/>
                <w:color w:val="auto"/>
              </w:rPr>
            </w:pPr>
          </w:p>
        </w:tc>
      </w:tr>
      <w:tr>
        <w:trPr>
          <w:trHeight w:val="157"/>
        </w:trPr>
        <w:tc>
          <w:tcPr>
            <w:tcW w:w="1500" w:type="dxa"/>
            <w:vAlign w:val="bottom"/>
            <w:gridSpan w:val="2"/>
            <w:vMerge w:val="continue"/>
            <w:shd w:val="clear" w:color="auto" w:fill="CCEEFF"/>
          </w:tcPr>
          <w:p>
            <w:pPr>
              <w:spacing w:after="0"/>
              <w:rPr>
                <w:sz w:val="13"/>
                <w:szCs w:val="13"/>
                <w:color w:val="auto"/>
              </w:rPr>
            </w:pPr>
          </w:p>
        </w:tc>
        <w:tc>
          <w:tcPr>
            <w:tcW w:w="1620" w:type="dxa"/>
            <w:vAlign w:val="bottom"/>
            <w:gridSpan w:val="3"/>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600" w:type="dxa"/>
            <w:vAlign w:val="bottom"/>
            <w:gridSpan w:val="2"/>
            <w:vMerge w:val="continue"/>
            <w:shd w:val="clear" w:color="auto" w:fill="CCEEFF"/>
          </w:tcPr>
          <w:p>
            <w:pPr>
              <w:spacing w:after="0"/>
              <w:rPr>
                <w:sz w:val="13"/>
                <w:szCs w:val="13"/>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Cooperative</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Odin </w:t>
            </w:r>
            <w:r>
              <w:rPr>
                <w:rFonts w:ascii="Times New Roman" w:cs="Times New Roman" w:eastAsia="Times New Roman" w:hAnsi="Times New Roman"/>
                <w:sz w:val="7"/>
                <w:szCs w:val="7"/>
                <w:color w:val="auto"/>
              </w:rPr>
              <w:t>(b)</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Odin, MN</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2008</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Missouri River Energy Services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2028</w:t>
            </w:r>
          </w:p>
        </w:tc>
        <w:tc>
          <w:tcPr>
            <w:tcW w:w="0" w:type="dxa"/>
            <w:vAlign w:val="bottom"/>
          </w:tcPr>
          <w:p>
            <w:pPr>
              <w:spacing w:after="0"/>
              <w:rPr>
                <w:sz w:val="1"/>
                <w:szCs w:val="1"/>
                <w:color w:val="auto"/>
              </w:rPr>
            </w:pPr>
          </w:p>
        </w:tc>
      </w:tr>
      <w:tr>
        <w:trPr>
          <w:trHeight w:val="126"/>
        </w:trPr>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Maryland Department of General</w:t>
            </w: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Pinnacle</w:t>
            </w:r>
          </w:p>
        </w:tc>
        <w:tc>
          <w:tcPr>
            <w:tcW w:w="16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Keyser, WV</w:t>
            </w:r>
          </w:p>
        </w:tc>
        <w:tc>
          <w:tcPr>
            <w:tcW w:w="7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55</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2011</w:t>
            </w:r>
          </w:p>
        </w:tc>
        <w:tc>
          <w:tcPr>
            <w:tcW w:w="18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Services and University System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57"/>
        </w:trPr>
        <w:tc>
          <w:tcPr>
            <w:tcW w:w="1500" w:type="dxa"/>
            <w:vAlign w:val="bottom"/>
            <w:gridSpan w:val="2"/>
            <w:vMerge w:val="continue"/>
            <w:shd w:val="clear" w:color="auto" w:fill="CCEEFF"/>
          </w:tcPr>
          <w:p>
            <w:pPr>
              <w:spacing w:after="0"/>
              <w:rPr>
                <w:sz w:val="13"/>
                <w:szCs w:val="13"/>
                <w:color w:val="auto"/>
              </w:rPr>
            </w:pPr>
          </w:p>
        </w:tc>
        <w:tc>
          <w:tcPr>
            <w:tcW w:w="1620" w:type="dxa"/>
            <w:vAlign w:val="bottom"/>
            <w:gridSpan w:val="3"/>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600" w:type="dxa"/>
            <w:vAlign w:val="bottom"/>
            <w:gridSpan w:val="2"/>
            <w:vMerge w:val="continue"/>
            <w:shd w:val="clear" w:color="auto" w:fill="CCEEFF"/>
          </w:tcPr>
          <w:p>
            <w:pPr>
              <w:spacing w:after="0"/>
              <w:rPr>
                <w:sz w:val="13"/>
                <w:szCs w:val="13"/>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Maryland</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San Juan Mesa </w:t>
            </w:r>
            <w:r>
              <w:rPr>
                <w:rFonts w:ascii="Times New Roman" w:cs="Times New Roman" w:eastAsia="Times New Roman" w:hAnsi="Times New Roman"/>
                <w:sz w:val="7"/>
                <w:szCs w:val="7"/>
                <w:color w:val="auto"/>
              </w:rPr>
              <w:t>(b)</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Elida, NM</w:t>
            </w:r>
          </w:p>
        </w:tc>
        <w:tc>
          <w:tcPr>
            <w:tcW w:w="700" w:type="dxa"/>
            <w:vAlign w:val="bottom"/>
            <w:vMerge w:val="restart"/>
          </w:tcPr>
          <w:p>
            <w:pPr>
              <w:jc w:val="right"/>
              <w:ind w:right="62"/>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0"/>
                <w:szCs w:val="10"/>
                <w:color w:val="auto"/>
              </w:rPr>
            </w:pPr>
          </w:p>
        </w:tc>
        <w:tc>
          <w:tcPr>
            <w:tcW w:w="70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68</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56.3%</w:t>
            </w: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December 2005</w:t>
            </w:r>
          </w:p>
        </w:tc>
        <w:tc>
          <w:tcPr>
            <w:tcW w:w="18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Southwestern Public Service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52"/>
        </w:trPr>
        <w:tc>
          <w:tcPr>
            <w:tcW w:w="1500" w:type="dxa"/>
            <w:vAlign w:val="bottom"/>
            <w:gridSpan w:val="2"/>
            <w:vMerge w:val="continue"/>
          </w:tcPr>
          <w:p>
            <w:pPr>
              <w:spacing w:after="0"/>
              <w:rPr>
                <w:sz w:val="13"/>
                <w:szCs w:val="13"/>
                <w:color w:val="auto"/>
              </w:rPr>
            </w:pPr>
          </w:p>
        </w:tc>
        <w:tc>
          <w:tcPr>
            <w:tcW w:w="162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Company</w:t>
            </w: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Sleeping Bear </w:t>
            </w:r>
            <w:r>
              <w:rPr>
                <w:rFonts w:ascii="Times New Roman" w:cs="Times New Roman" w:eastAsia="Times New Roman" w:hAnsi="Times New Roman"/>
                <w:sz w:val="7"/>
                <w:szCs w:val="7"/>
                <w:color w:val="auto"/>
              </w:rPr>
              <w:t>(b)</w:t>
            </w:r>
          </w:p>
        </w:tc>
        <w:tc>
          <w:tcPr>
            <w:tcW w:w="16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Woodward, OK</w:t>
            </w:r>
          </w:p>
        </w:tc>
        <w:tc>
          <w:tcPr>
            <w:tcW w:w="7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71</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2007</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Public Service Company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57"/>
        </w:trPr>
        <w:tc>
          <w:tcPr>
            <w:tcW w:w="1500" w:type="dxa"/>
            <w:vAlign w:val="bottom"/>
            <w:gridSpan w:val="2"/>
            <w:vMerge w:val="continue"/>
            <w:shd w:val="clear" w:color="auto" w:fill="CCEEFF"/>
          </w:tcPr>
          <w:p>
            <w:pPr>
              <w:spacing w:after="0"/>
              <w:rPr>
                <w:sz w:val="13"/>
                <w:szCs w:val="13"/>
                <w:color w:val="auto"/>
              </w:rPr>
            </w:pPr>
          </w:p>
        </w:tc>
        <w:tc>
          <w:tcPr>
            <w:tcW w:w="1620" w:type="dxa"/>
            <w:vAlign w:val="bottom"/>
            <w:gridSpan w:val="3"/>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600" w:type="dxa"/>
            <w:vAlign w:val="bottom"/>
            <w:gridSpan w:val="2"/>
            <w:vMerge w:val="continue"/>
            <w:shd w:val="clear" w:color="auto" w:fill="CCEEFF"/>
          </w:tcPr>
          <w:p>
            <w:pPr>
              <w:spacing w:after="0"/>
              <w:rPr>
                <w:sz w:val="13"/>
                <w:szCs w:val="13"/>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Oklahoma</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 Trent</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Sweetwater, TX</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January 2009</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219"/>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Spanish Fork </w:t>
            </w:r>
            <w:r>
              <w:rPr>
                <w:rFonts w:ascii="Times New Roman" w:cs="Times New Roman" w:eastAsia="Times New Roman" w:hAnsi="Times New Roman"/>
                <w:sz w:val="7"/>
                <w:szCs w:val="7"/>
                <w:color w:val="auto"/>
              </w:rPr>
              <w:t>(b)</w:t>
            </w:r>
          </w:p>
        </w:tc>
        <w:tc>
          <w:tcPr>
            <w:tcW w:w="1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Spanish Fork, UT</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2008</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2028</w:t>
            </w: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Spring Canyon II </w:t>
            </w:r>
            <w:r>
              <w:rPr>
                <w:rFonts w:ascii="Times New Roman" w:cs="Times New Roman" w:eastAsia="Times New Roman" w:hAnsi="Times New Roman"/>
                <w:sz w:val="7"/>
                <w:szCs w:val="7"/>
                <w:color w:val="auto"/>
              </w:rPr>
              <w:t>(b)</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Logan County, CO</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October 2014</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219"/>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Spring Canyon III</w:t>
            </w:r>
            <w:r>
              <w:rPr>
                <w:rFonts w:ascii="Times New Roman" w:cs="Times New Roman" w:eastAsia="Times New Roman" w:hAnsi="Times New Roman"/>
                <w:sz w:val="7"/>
                <w:szCs w:val="7"/>
                <w:color w:val="auto"/>
              </w:rPr>
              <w:t>(b)</w:t>
            </w:r>
          </w:p>
        </w:tc>
        <w:tc>
          <w:tcPr>
            <w:tcW w:w="1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Logan County, CO</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2014</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Taloga</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Putnam, OK</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2011</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26"/>
        </w:trPr>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7"/>
                <w:szCs w:val="7"/>
                <w:color w:val="auto"/>
              </w:rPr>
              <w:t>(b)</w:t>
            </w:r>
          </w:p>
        </w:tc>
        <w:tc>
          <w:tcPr>
            <w:tcW w:w="16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Vega, TX</w:t>
            </w:r>
          </w:p>
        </w:tc>
        <w:tc>
          <w:tcPr>
            <w:tcW w:w="7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121</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10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2007</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0" w:type="dxa"/>
            <w:vAlign w:val="bottom"/>
          </w:tcPr>
          <w:p>
            <w:pPr>
              <w:spacing w:after="0"/>
              <w:rPr>
                <w:sz w:val="1"/>
                <w:szCs w:val="1"/>
                <w:color w:val="auto"/>
              </w:rPr>
            </w:pPr>
          </w:p>
        </w:tc>
      </w:tr>
      <w:tr>
        <w:trPr>
          <w:trHeight w:val="162"/>
        </w:trPr>
        <w:tc>
          <w:tcPr>
            <w:tcW w:w="1500" w:type="dxa"/>
            <w:vAlign w:val="bottom"/>
            <w:gridSpan w:val="2"/>
            <w:vMerge w:val="continue"/>
            <w:shd w:val="clear" w:color="auto" w:fill="CCEEFF"/>
          </w:tcPr>
          <w:p>
            <w:pPr>
              <w:spacing w:after="0"/>
              <w:rPr>
                <w:sz w:val="13"/>
                <w:szCs w:val="13"/>
                <w:color w:val="auto"/>
              </w:rPr>
            </w:pPr>
          </w:p>
        </w:tc>
        <w:tc>
          <w:tcPr>
            <w:tcW w:w="1620" w:type="dxa"/>
            <w:vAlign w:val="bottom"/>
            <w:gridSpan w:val="3"/>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600" w:type="dxa"/>
            <w:vAlign w:val="bottom"/>
            <w:gridSpan w:val="2"/>
            <w:vMerge w:val="continue"/>
            <w:shd w:val="clear" w:color="auto" w:fill="CCEEFF"/>
          </w:tcPr>
          <w:p>
            <w:pPr>
              <w:spacing w:after="0"/>
              <w:rPr>
                <w:sz w:val="13"/>
                <w:szCs w:val="13"/>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Company</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2,206</w:t>
            </w:r>
          </w:p>
        </w:tc>
        <w:tc>
          <w:tcPr>
            <w:tcW w:w="100" w:type="dxa"/>
            <w:vAlign w:val="bottom"/>
          </w:tcPr>
          <w:p>
            <w:pPr>
              <w:spacing w:after="0"/>
              <w:rPr>
                <w:sz w:val="16"/>
                <w:szCs w:val="16"/>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1,999</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Thermal Generation</w:t>
            </w:r>
          </w:p>
        </w:tc>
        <w:tc>
          <w:tcPr>
            <w:tcW w:w="7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Dover</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Dover, DE</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2013</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NRG Power Marketing LLC</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0" w:type="dxa"/>
            <w:vAlign w:val="bottom"/>
          </w:tcPr>
          <w:p>
            <w:pPr>
              <w:spacing w:after="0"/>
              <w:rPr>
                <w:sz w:val="1"/>
                <w:szCs w:val="1"/>
                <w:color w:val="auto"/>
              </w:rPr>
            </w:pPr>
          </w:p>
        </w:tc>
      </w:tr>
      <w:tr>
        <w:trPr>
          <w:trHeight w:val="219"/>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Paxton Creek Cogen</w:t>
            </w:r>
          </w:p>
        </w:tc>
        <w:tc>
          <w:tcPr>
            <w:tcW w:w="1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Harrisburg, PA</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1986</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Power sold into PJM markets</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Princeton Hospital</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Princeton, NJ</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January 2012</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Excess power sold to local utility</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Tucson Convention Center</w:t>
            </w:r>
          </w:p>
        </w:tc>
        <w:tc>
          <w:tcPr>
            <w:tcW w:w="1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Tucson, AZ</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January 2003</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Excess power sold to local utility</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University of Bridgeport</w:t>
            </w:r>
          </w:p>
        </w:tc>
        <w:tc>
          <w:tcPr>
            <w:tcW w:w="1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1"/>
                <w:szCs w:val="11"/>
                <w:color w:val="auto"/>
              </w:rPr>
              <w:t>Bridgeport, CT</w:t>
            </w:r>
          </w:p>
        </w:tc>
        <w:tc>
          <w:tcPr>
            <w:tcW w:w="7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April 2015</w:t>
            </w:r>
          </w:p>
        </w:tc>
        <w:tc>
          <w:tcPr>
            <w:tcW w:w="1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University of Bridgeport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2034</w:t>
            </w:r>
          </w:p>
        </w:tc>
        <w:tc>
          <w:tcPr>
            <w:tcW w:w="0" w:type="dxa"/>
            <w:vAlign w:val="bottom"/>
          </w:tcPr>
          <w:p>
            <w:pPr>
              <w:spacing w:after="0"/>
              <w:rPr>
                <w:sz w:val="1"/>
                <w:szCs w:val="1"/>
                <w:color w:val="auto"/>
              </w:rPr>
            </w:pPr>
          </w:p>
        </w:tc>
      </w:tr>
      <w:tr>
        <w:trPr>
          <w:trHeight w:val="199"/>
        </w:trPr>
        <w:tc>
          <w:tcPr>
            <w:tcW w:w="31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Total Thermal Generation</w:t>
            </w:r>
          </w:p>
        </w:tc>
        <w:tc>
          <w:tcPr>
            <w:tcW w:w="7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ind w:left="160"/>
              <w:spacing w:after="0" w:line="184" w:lineRule="exact"/>
              <w:rPr>
                <w:sz w:val="20"/>
                <w:szCs w:val="20"/>
                <w:color w:val="auto"/>
              </w:rPr>
            </w:pPr>
            <w:r>
              <w:rPr>
                <w:rFonts w:ascii="Times New Roman" w:cs="Times New Roman" w:eastAsia="Times New Roman" w:hAnsi="Times New Roman"/>
                <w:sz w:val="13"/>
                <w:szCs w:val="13"/>
                <w:b w:val="1"/>
                <w:bCs w:val="1"/>
                <w:color w:val="auto"/>
              </w:rPr>
              <w:t xml:space="preserve">Total NRG Yield, Inc. </w:t>
            </w:r>
            <w:r>
              <w:rPr>
                <w:rFonts w:ascii="Times New Roman" w:cs="Times New Roman" w:eastAsia="Times New Roman" w:hAnsi="Times New Roman"/>
                <w:sz w:val="17"/>
                <w:szCs w:val="17"/>
                <w:b w:val="1"/>
                <w:bCs w:val="1"/>
                <w:color w:val="auto"/>
                <w:vertAlign w:val="superscript"/>
              </w:rPr>
              <w:t>(c)</w:t>
            </w:r>
          </w:p>
        </w:tc>
        <w:tc>
          <w:tcPr>
            <w:tcW w:w="7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rPr>
              <w:t>5,522</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4,686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460"/>
          </w:cols>
          <w:pgMar w:left="220" w:top="909" w:right="219" w:bottom="1440" w:gutter="0" w:footer="0" w:header="0"/>
        </w:sectPr>
      </w:pPr>
    </w:p>
    <w:bookmarkStart w:id="29" w:name="page30"/>
    <w:bookmarkEnd w:id="29"/>
    <w:p>
      <w:pPr>
        <w:ind w:left="100" w:hanging="94"/>
        <w:spacing w:after="0"/>
        <w:tabs>
          <w:tab w:leader="none" w:pos="100" w:val="left"/>
        </w:tabs>
        <w:numPr>
          <w:ilvl w:val="0"/>
          <w:numId w:val="1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Net capacity represents the maximum, or rated, generating capacity of the facility multiplied by the Company's percentage ownership in the facility as of December 31, 2016.</w:t>
      </w:r>
    </w:p>
    <w:p>
      <w:pPr>
        <w:spacing w:after="0" w:line="3" w:lineRule="exact"/>
        <w:rPr>
          <w:rFonts w:ascii="Times New Roman" w:cs="Times New Roman" w:eastAsia="Times New Roman" w:hAnsi="Times New Roman"/>
          <w:sz w:val="7"/>
          <w:szCs w:val="7"/>
          <w:color w:val="auto"/>
        </w:rPr>
      </w:pPr>
    </w:p>
    <w:p>
      <w:pPr>
        <w:ind w:left="120" w:hanging="114"/>
        <w:spacing w:after="0"/>
        <w:tabs>
          <w:tab w:leader="none" w:pos="120" w:val="left"/>
        </w:tabs>
        <w:numPr>
          <w:ilvl w:val="0"/>
          <w:numId w:val="1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Projects are part of tax equity arrangements, as further described in Note 2, </w:t>
      </w:r>
      <w:r>
        <w:rPr>
          <w:rFonts w:ascii="Times New Roman" w:cs="Times New Roman" w:eastAsia="Times New Roman" w:hAnsi="Times New Roman"/>
          <w:sz w:val="11"/>
          <w:szCs w:val="11"/>
          <w:i w:val="1"/>
          <w:iCs w:val="1"/>
          <w:color w:val="auto"/>
        </w:rPr>
        <w:t>Summary of Significant Accounting Policies.</w:t>
      </w:r>
    </w:p>
    <w:p>
      <w:pPr>
        <w:spacing w:after="0" w:line="2" w:lineRule="exact"/>
        <w:rPr>
          <w:rFonts w:ascii="Times New Roman" w:cs="Times New Roman" w:eastAsia="Times New Roman" w:hAnsi="Times New Roman"/>
          <w:sz w:val="7"/>
          <w:szCs w:val="7"/>
          <w:color w:val="auto"/>
        </w:rPr>
      </w:pPr>
    </w:p>
    <w:p>
      <w:pPr>
        <w:ind w:left="120" w:hanging="114"/>
        <w:spacing w:after="0"/>
        <w:tabs>
          <w:tab w:leader="none" w:pos="120" w:val="left"/>
        </w:tabs>
        <w:numPr>
          <w:ilvl w:val="0"/>
          <w:numId w:val="1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NRG Yield's total generation capacity is net of 6 MWs for noncontrolling interest for Spring Canyon II and III. NRG Yield's generation capacity including this noncontrolling interest was 4,692 MWs.</w:t>
      </w:r>
    </w:p>
    <w:p>
      <w:pPr>
        <w:spacing w:after="0" w:line="36" w:lineRule="exact"/>
        <w:rPr>
          <w:sz w:val="20"/>
          <w:szCs w:val="20"/>
          <w:color w:val="auto"/>
        </w:rPr>
      </w:pPr>
    </w:p>
    <w:p>
      <w:pPr>
        <w:jc w:val="both"/>
        <w:ind w:firstLine="321"/>
        <w:spacing w:after="0" w:line="271" w:lineRule="auto"/>
        <w:rPr>
          <w:sz w:val="20"/>
          <w:szCs w:val="20"/>
          <w:color w:val="auto"/>
        </w:rPr>
      </w:pPr>
      <w:r>
        <w:rPr>
          <w:rFonts w:ascii="Times New Roman" w:cs="Times New Roman" w:eastAsia="Times New Roman" w:hAnsi="Times New Roman"/>
          <w:sz w:val="14"/>
          <w:szCs w:val="14"/>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131 MW based on cash to be distributed. For further discussions, refer to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to the Consolidated Financial Statements.</w:t>
      </w:r>
    </w:p>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Company's thermal steam and chilled water facilities as of December 31, 2016:</w:t>
      </w:r>
    </w:p>
    <w:p>
      <w:pPr>
        <w:sectPr>
          <w:pgSz w:w="11900" w:h="16838" w:orient="portrait"/>
          <w:cols w:equalWidth="0" w:num="1">
            <w:col w:w="11460"/>
          </w:cols>
          <w:pgMar w:left="220" w:top="75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Name and Location of Facility</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NRG Energy Center Minneapolis, MN</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NRG Energy Center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San Francisco, 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color w:val="auto"/>
        </w:rPr>
        <w:t>Thermal Energy Purchaser</w:t>
      </w:r>
    </w:p>
    <w:p>
      <w:pPr>
        <w:spacing w:after="0" w:line="67"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Approx. 100 steam and 55 chilled water customers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Approx. 180 steam customers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Rated Megawatt</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Net Megawatt</w:t>
            </w: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Thermal</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Thermal</w:t>
            </w: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Equivalent</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Equivalent</w:t>
            </w:r>
          </w:p>
        </w:tc>
        <w:tc>
          <w:tcPr>
            <w:tcW w:w="2500" w:type="dxa"/>
            <w:vAlign w:val="bottom"/>
          </w:tcPr>
          <w:p>
            <w:pPr>
              <w:jc w:val="center"/>
              <w:ind w:left="56"/>
              <w:spacing w:after="0"/>
              <w:rPr>
                <w:sz w:val="20"/>
                <w:szCs w:val="20"/>
                <w:color w:val="auto"/>
              </w:rPr>
            </w:pPr>
            <w:r>
              <w:rPr>
                <w:rFonts w:ascii="Times New Roman" w:cs="Times New Roman" w:eastAsia="Times New Roman" w:hAnsi="Times New Roman"/>
                <w:sz w:val="13"/>
                <w:szCs w:val="13"/>
                <w:b w:val="1"/>
                <w:bCs w:val="1"/>
                <w:color w:val="auto"/>
                <w:w w:val="98"/>
              </w:rPr>
              <w:t>Generating</w:t>
            </w:r>
          </w:p>
        </w:tc>
        <w:tc>
          <w:tcPr>
            <w:tcW w:w="0" w:type="dxa"/>
            <w:vAlign w:val="bottom"/>
          </w:tcPr>
          <w:p>
            <w:pPr>
              <w:spacing w:after="0"/>
              <w:rPr>
                <w:sz w:val="1"/>
                <w:szCs w:val="1"/>
                <w:color w:val="auto"/>
              </w:rPr>
            </w:pPr>
          </w:p>
        </w:tc>
      </w:tr>
      <w:tr>
        <w:trPr>
          <w:trHeight w:val="169"/>
        </w:trPr>
        <w:tc>
          <w:tcPr>
            <w:tcW w:w="9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 Owned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Capacity (MWt)</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Capacity (MWt)</w:t>
            </w:r>
          </w:p>
        </w:tc>
        <w:tc>
          <w:tcPr>
            <w:tcW w:w="2500" w:type="dxa"/>
            <w:vAlign w:val="bottom"/>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6"/>
              </w:rPr>
              <w:t>Capacity</w:t>
            </w: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4"/>
                <w:szCs w:val="14"/>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322</w:t>
            </w: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Steam: 1,100 MMBtu/hr.</w:t>
            </w: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7"/>
                <w:szCs w:val="7"/>
                <w:color w:val="auto"/>
              </w:rPr>
            </w:pPr>
          </w:p>
        </w:tc>
        <w:tc>
          <w:tcPr>
            <w:tcW w:w="16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136</w:t>
            </w:r>
          </w:p>
        </w:tc>
        <w:tc>
          <w:tcPr>
            <w:tcW w:w="2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Chilled water: 38,700 tons</w:t>
            </w:r>
          </w:p>
        </w:tc>
        <w:tc>
          <w:tcPr>
            <w:tcW w:w="0" w:type="dxa"/>
            <w:vAlign w:val="bottom"/>
          </w:tcPr>
          <w:p>
            <w:pPr>
              <w:spacing w:after="0"/>
              <w:rPr>
                <w:sz w:val="1"/>
                <w:szCs w:val="1"/>
                <w:color w:val="auto"/>
              </w:rPr>
            </w:pPr>
          </w:p>
        </w:tc>
      </w:tr>
      <w:tr>
        <w:trPr>
          <w:trHeight w:val="86"/>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24"/>
                <w:szCs w:val="24"/>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24"/>
                <w:szCs w:val="2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133</w:t>
            </w: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Steam: 454 MMBtu/hr.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-397510</wp:posOffset>
            </wp:positionV>
            <wp:extent cx="7275195" cy="238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195" cy="23812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3">
            <w:col w:w="2020" w:space="320"/>
            <w:col w:w="2060" w:space="320"/>
            <w:col w:w="6740"/>
          </w:cols>
          <w:pgMar w:left="220" w:top="754" w:right="2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3"/>
                <w:szCs w:val="13"/>
                <w:color w:val="auto"/>
              </w:rPr>
              <w:t>100</w:t>
            </w:r>
          </w:p>
        </w:tc>
        <w:tc>
          <w:tcPr>
            <w:tcW w:w="16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142</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142</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Steam: 485 MMBtu/hr</w:t>
            </w:r>
          </w:p>
        </w:tc>
        <w:tc>
          <w:tcPr>
            <w:tcW w:w="0" w:type="dxa"/>
            <w:vAlign w:val="bottom"/>
          </w:tcPr>
          <w:p>
            <w:pPr>
              <w:spacing w:after="0"/>
              <w:rPr>
                <w:sz w:val="1"/>
                <w:szCs w:val="1"/>
                <w:color w:val="auto"/>
              </w:rPr>
            </w:pPr>
          </w:p>
        </w:tc>
      </w:tr>
      <w:tr>
        <w:trPr>
          <w:trHeight w:val="16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NRG Energy Center</w:t>
            </w:r>
          </w:p>
        </w:tc>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Approx. 60 steam and 65 chilled water</w:t>
            </w:r>
          </w:p>
        </w:tc>
        <w:tc>
          <w:tcPr>
            <w:tcW w:w="1420" w:type="dxa"/>
            <w:vAlign w:val="bottom"/>
            <w:shd w:val="clear" w:color="auto" w:fill="CCEEFF"/>
          </w:tcPr>
          <w:p>
            <w:pPr>
              <w:jc w:val="right"/>
              <w:ind w:right="670"/>
              <w:spacing w:after="0" w:line="161" w:lineRule="exact"/>
              <w:rPr>
                <w:sz w:val="20"/>
                <w:szCs w:val="20"/>
                <w:color w:val="auto"/>
              </w:rPr>
            </w:pPr>
            <w:r>
              <w:rPr>
                <w:rFonts w:ascii="Times New Roman" w:cs="Times New Roman" w:eastAsia="Times New Roman" w:hAnsi="Times New Roman"/>
                <w:sz w:val="18"/>
                <w:szCs w:val="18"/>
                <w:color w:val="auto"/>
                <w:vertAlign w:val="subscript"/>
              </w:rPr>
              <w:t>12</w:t>
            </w:r>
            <w:r>
              <w:rPr>
                <w:rFonts w:ascii="Times New Roman" w:cs="Times New Roman" w:eastAsia="Times New Roman" w:hAnsi="Times New Roman"/>
                <w:sz w:val="7"/>
                <w:szCs w:val="7"/>
                <w:color w:val="auto"/>
              </w:rPr>
              <w:t>(a)</w:t>
            </w:r>
          </w:p>
        </w:tc>
        <w:tc>
          <w:tcPr>
            <w:tcW w:w="16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73</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Steam: 250 MMBtu/hr</w:t>
            </w:r>
          </w:p>
        </w:tc>
        <w:tc>
          <w:tcPr>
            <w:tcW w:w="0" w:type="dxa"/>
            <w:vAlign w:val="bottom"/>
          </w:tcPr>
          <w:p>
            <w:pPr>
              <w:spacing w:after="0"/>
              <w:rPr>
                <w:sz w:val="1"/>
                <w:szCs w:val="1"/>
                <w:color w:val="auto"/>
              </w:rPr>
            </w:pPr>
          </w:p>
        </w:tc>
      </w:tr>
      <w:tr>
        <w:trPr>
          <w:trHeight w:val="16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Omaha, NE</w:t>
            </w:r>
          </w:p>
        </w:tc>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customers</w:t>
            </w:r>
          </w:p>
        </w:tc>
        <w:tc>
          <w:tcPr>
            <w:tcW w:w="14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3"/>
                <w:szCs w:val="13"/>
                <w:color w:val="auto"/>
              </w:rPr>
              <w:t>100</w:t>
            </w:r>
          </w:p>
        </w:tc>
        <w:tc>
          <w:tcPr>
            <w:tcW w:w="16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77</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77</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Chilled water: 22,000 tons</w:t>
            </w:r>
          </w:p>
        </w:tc>
        <w:tc>
          <w:tcPr>
            <w:tcW w:w="0" w:type="dxa"/>
            <w:vAlign w:val="bottom"/>
          </w:tcPr>
          <w:p>
            <w:pPr>
              <w:spacing w:after="0"/>
              <w:rPr>
                <w:sz w:val="1"/>
                <w:szCs w:val="1"/>
                <w:color w:val="auto"/>
              </w:rPr>
            </w:pPr>
          </w:p>
        </w:tc>
      </w:tr>
      <w:tr>
        <w:trPr>
          <w:trHeight w:val="193"/>
        </w:trPr>
        <w:tc>
          <w:tcPr>
            <w:tcW w:w="210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70"/>
              <w:spacing w:after="0" w:line="192" w:lineRule="exact"/>
              <w:rPr>
                <w:sz w:val="20"/>
                <w:szCs w:val="20"/>
                <w:color w:val="auto"/>
              </w:rPr>
            </w:pPr>
            <w:r>
              <w:rPr>
                <w:rFonts w:ascii="Times New Roman" w:cs="Times New Roman" w:eastAsia="Times New Roman" w:hAnsi="Times New Roman"/>
                <w:sz w:val="22"/>
                <w:szCs w:val="22"/>
                <w:color w:val="auto"/>
                <w:vertAlign w:val="subscript"/>
              </w:rPr>
              <w:t>0</w:t>
            </w:r>
            <w:r>
              <w:rPr>
                <w:rFonts w:ascii="Times New Roman" w:cs="Times New Roman" w:eastAsia="Times New Roman" w:hAnsi="Times New Roman"/>
                <w:sz w:val="8"/>
                <w:szCs w:val="8"/>
                <w:color w:val="auto"/>
              </w:rPr>
              <w:t>(a)</w:t>
            </w:r>
          </w:p>
        </w:tc>
        <w:tc>
          <w:tcPr>
            <w:tcW w:w="16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26</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Chilled water: 7,250 tons</w:t>
            </w:r>
          </w:p>
        </w:tc>
        <w:tc>
          <w:tcPr>
            <w:tcW w:w="0" w:type="dxa"/>
            <w:vAlign w:val="bottom"/>
          </w:tcPr>
          <w:p>
            <w:pPr>
              <w:spacing w:after="0"/>
              <w:rPr>
                <w:sz w:val="1"/>
                <w:szCs w:val="1"/>
                <w:color w:val="auto"/>
              </w:rPr>
            </w:pPr>
          </w:p>
        </w:tc>
      </w:tr>
      <w:tr>
        <w:trPr>
          <w:trHeight w:val="17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NRG Energy Center Harrisburg, PA</w:t>
            </w:r>
          </w:p>
        </w:tc>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Approx. 130 steam and 5 chilled water</w:t>
            </w:r>
          </w:p>
        </w:tc>
        <w:tc>
          <w:tcPr>
            <w:tcW w:w="1420" w:type="dxa"/>
            <w:vAlign w:val="bottom"/>
            <w:vMerge w:val="restart"/>
          </w:tcPr>
          <w:p>
            <w:pPr>
              <w:jc w:val="right"/>
              <w:ind w:right="670"/>
              <w:spacing w:after="0"/>
              <w:rPr>
                <w:sz w:val="20"/>
                <w:szCs w:val="20"/>
                <w:color w:val="auto"/>
              </w:rPr>
            </w:pPr>
            <w:r>
              <w:rPr>
                <w:rFonts w:ascii="Times New Roman" w:cs="Times New Roman" w:eastAsia="Times New Roman" w:hAnsi="Times New Roman"/>
                <w:sz w:val="13"/>
                <w:szCs w:val="13"/>
                <w:color w:val="auto"/>
              </w:rPr>
              <w:t>100</w:t>
            </w:r>
          </w:p>
        </w:tc>
        <w:tc>
          <w:tcPr>
            <w:tcW w:w="168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108</w:t>
            </w: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108</w:t>
            </w: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Steam: 370 MMBtu/hr.</w:t>
            </w:r>
          </w:p>
        </w:tc>
        <w:tc>
          <w:tcPr>
            <w:tcW w:w="0" w:type="dxa"/>
            <w:vAlign w:val="bottom"/>
          </w:tcPr>
          <w:p>
            <w:pPr>
              <w:spacing w:after="0"/>
              <w:rPr>
                <w:sz w:val="1"/>
                <w:szCs w:val="1"/>
                <w:color w:val="auto"/>
              </w:rPr>
            </w:pPr>
          </w:p>
        </w:tc>
      </w:tr>
      <w:tr>
        <w:trPr>
          <w:trHeight w:val="81"/>
        </w:trPr>
        <w:tc>
          <w:tcPr>
            <w:tcW w:w="2100" w:type="dxa"/>
            <w:vAlign w:val="bottom"/>
            <w:vMerge w:val="continue"/>
          </w:tcPr>
          <w:p>
            <w:pPr>
              <w:spacing w:after="0"/>
              <w:rPr>
                <w:sz w:val="7"/>
                <w:szCs w:val="7"/>
                <w:color w:val="auto"/>
              </w:rPr>
            </w:pPr>
          </w:p>
        </w:tc>
        <w:tc>
          <w:tcPr>
            <w:tcW w:w="27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customers</w:t>
            </w:r>
          </w:p>
        </w:tc>
        <w:tc>
          <w:tcPr>
            <w:tcW w:w="1420" w:type="dxa"/>
            <w:vAlign w:val="bottom"/>
            <w:vMerge w:val="continue"/>
          </w:tcPr>
          <w:p>
            <w:pPr>
              <w:spacing w:after="0"/>
              <w:rPr>
                <w:sz w:val="7"/>
                <w:szCs w:val="7"/>
                <w:color w:val="auto"/>
              </w:rPr>
            </w:pPr>
          </w:p>
        </w:tc>
        <w:tc>
          <w:tcPr>
            <w:tcW w:w="1680" w:type="dxa"/>
            <w:vAlign w:val="bottom"/>
            <w:vMerge w:val="restart"/>
          </w:tcPr>
          <w:p>
            <w:pPr>
              <w:jc w:val="right"/>
              <w:ind w:right="696"/>
              <w:spacing w:after="0"/>
              <w:rPr>
                <w:sz w:val="20"/>
                <w:szCs w:val="20"/>
                <w:color w:val="auto"/>
              </w:rPr>
            </w:pPr>
            <w:r>
              <w:rPr>
                <w:rFonts w:ascii="Times New Roman" w:cs="Times New Roman" w:eastAsia="Times New Roman" w:hAnsi="Times New Roman"/>
                <w:sz w:val="13"/>
                <w:szCs w:val="13"/>
                <w:color w:val="auto"/>
              </w:rPr>
              <w:t>13</w:t>
            </w:r>
          </w:p>
        </w:tc>
        <w:tc>
          <w:tcPr>
            <w:tcW w:w="106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c>
          <w:tcPr>
            <w:tcW w:w="2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Chilled water: 3,600 tons</w:t>
            </w:r>
          </w:p>
        </w:tc>
        <w:tc>
          <w:tcPr>
            <w:tcW w:w="0" w:type="dxa"/>
            <w:vAlign w:val="bottom"/>
          </w:tcPr>
          <w:p>
            <w:pPr>
              <w:spacing w:after="0"/>
              <w:rPr>
                <w:sz w:val="1"/>
                <w:szCs w:val="1"/>
                <w:color w:val="auto"/>
              </w:rPr>
            </w:pPr>
          </w:p>
        </w:tc>
      </w:tr>
      <w:tr>
        <w:trPr>
          <w:trHeight w:val="86"/>
        </w:trPr>
        <w:tc>
          <w:tcPr>
            <w:tcW w:w="210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670"/>
              <w:spacing w:after="0" w:line="172" w:lineRule="exact"/>
              <w:rPr>
                <w:sz w:val="20"/>
                <w:szCs w:val="20"/>
                <w:color w:val="auto"/>
              </w:rPr>
            </w:pPr>
            <w:r>
              <w:rPr>
                <w:rFonts w:ascii="Times New Roman" w:cs="Times New Roman" w:eastAsia="Times New Roman" w:hAnsi="Times New Roman"/>
                <w:sz w:val="19"/>
                <w:szCs w:val="19"/>
                <w:color w:val="auto"/>
                <w:vertAlign w:val="subscript"/>
              </w:rPr>
              <w:t>24</w:t>
            </w:r>
            <w:r>
              <w:rPr>
                <w:rFonts w:ascii="Times New Roman" w:cs="Times New Roman" w:eastAsia="Times New Roman" w:hAnsi="Times New Roman"/>
                <w:sz w:val="8"/>
                <w:szCs w:val="8"/>
                <w:color w:val="auto"/>
              </w:rPr>
              <w:t>(a)</w:t>
            </w:r>
          </w:p>
        </w:tc>
        <w:tc>
          <w:tcPr>
            <w:tcW w:w="16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5</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Steam: 17 MMBtu/hr</w:t>
            </w:r>
          </w:p>
        </w:tc>
        <w:tc>
          <w:tcPr>
            <w:tcW w:w="0" w:type="dxa"/>
            <w:vAlign w:val="bottom"/>
          </w:tcPr>
          <w:p>
            <w:pPr>
              <w:spacing w:after="0"/>
              <w:rPr>
                <w:sz w:val="1"/>
                <w:szCs w:val="1"/>
                <w:color w:val="auto"/>
              </w:rPr>
            </w:pPr>
          </w:p>
        </w:tc>
      </w:tr>
      <w:tr>
        <w:trPr>
          <w:trHeight w:val="161"/>
        </w:trPr>
        <w:tc>
          <w:tcPr>
            <w:tcW w:w="2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NRG Energy Center Phoenix, AZ</w:t>
            </w:r>
          </w:p>
        </w:tc>
        <w:tc>
          <w:tcPr>
            <w:tcW w:w="27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Approx. 35 chilled water customers</w:t>
            </w:r>
          </w:p>
        </w:tc>
        <w:tc>
          <w:tcPr>
            <w:tcW w:w="14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3"/>
                <w:szCs w:val="13"/>
                <w:color w:val="auto"/>
              </w:rPr>
              <w:t>100</w:t>
            </w:r>
          </w:p>
        </w:tc>
        <w:tc>
          <w:tcPr>
            <w:tcW w:w="16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104</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104</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Chilled water: 29,600 tons</w:t>
            </w:r>
          </w:p>
        </w:tc>
        <w:tc>
          <w:tcPr>
            <w:tcW w:w="0" w:type="dxa"/>
            <w:vAlign w:val="bottom"/>
          </w:tcPr>
          <w:p>
            <w:pPr>
              <w:spacing w:after="0"/>
              <w:rPr>
                <w:sz w:val="1"/>
                <w:szCs w:val="1"/>
                <w:color w:val="auto"/>
              </w:rPr>
            </w:pPr>
          </w:p>
        </w:tc>
      </w:tr>
      <w:tr>
        <w:trPr>
          <w:trHeight w:val="81"/>
        </w:trPr>
        <w:tc>
          <w:tcPr>
            <w:tcW w:w="2100" w:type="dxa"/>
            <w:vAlign w:val="bottom"/>
            <w:vMerge w:val="continue"/>
            <w:shd w:val="clear" w:color="auto" w:fill="CCEEFF"/>
          </w:tcPr>
          <w:p>
            <w:pPr>
              <w:spacing w:after="0"/>
              <w:rPr>
                <w:sz w:val="7"/>
                <w:szCs w:val="7"/>
                <w:color w:val="auto"/>
              </w:rPr>
            </w:pPr>
          </w:p>
        </w:tc>
        <w:tc>
          <w:tcPr>
            <w:tcW w:w="2700" w:type="dxa"/>
            <w:vAlign w:val="bottom"/>
            <w:vMerge w:val="continue"/>
            <w:shd w:val="clear" w:color="auto" w:fill="CCEEFF"/>
          </w:tcPr>
          <w:p>
            <w:pPr>
              <w:spacing w:after="0"/>
              <w:rPr>
                <w:sz w:val="7"/>
                <w:szCs w:val="7"/>
                <w:color w:val="auto"/>
              </w:rPr>
            </w:pPr>
          </w:p>
        </w:tc>
        <w:tc>
          <w:tcPr>
            <w:tcW w:w="1420" w:type="dxa"/>
            <w:vAlign w:val="bottom"/>
            <w:vMerge w:val="restart"/>
            <w:shd w:val="clear" w:color="auto" w:fill="CCEEFF"/>
          </w:tcPr>
          <w:p>
            <w:pPr>
              <w:jc w:val="right"/>
              <w:ind w:right="670"/>
              <w:spacing w:after="0" w:line="161" w:lineRule="exact"/>
              <w:rPr>
                <w:sz w:val="20"/>
                <w:szCs w:val="20"/>
                <w:color w:val="auto"/>
              </w:rPr>
            </w:pPr>
            <w:r>
              <w:rPr>
                <w:rFonts w:ascii="Times New Roman" w:cs="Times New Roman" w:eastAsia="Times New Roman" w:hAnsi="Times New Roman"/>
                <w:sz w:val="18"/>
                <w:szCs w:val="18"/>
                <w:color w:val="auto"/>
                <w:vertAlign w:val="subscript"/>
              </w:rPr>
              <w:t>12</w:t>
            </w:r>
            <w:r>
              <w:rPr>
                <w:rFonts w:ascii="Times New Roman" w:cs="Times New Roman" w:eastAsia="Times New Roman" w:hAnsi="Times New Roman"/>
                <w:sz w:val="7"/>
                <w:szCs w:val="7"/>
                <w:color w:val="auto"/>
              </w:rPr>
              <w:t>(a)</w:t>
            </w:r>
          </w:p>
        </w:tc>
        <w:tc>
          <w:tcPr>
            <w:tcW w:w="1680" w:type="dxa"/>
            <w:vAlign w:val="bottom"/>
            <w:vMerge w:val="restart"/>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14</w:t>
            </w:r>
          </w:p>
        </w:tc>
        <w:tc>
          <w:tcPr>
            <w:tcW w:w="106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25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Chilled water: 3,920 tons</w:t>
            </w:r>
          </w:p>
        </w:tc>
        <w:tc>
          <w:tcPr>
            <w:tcW w:w="0" w:type="dxa"/>
            <w:vAlign w:val="bottom"/>
          </w:tcPr>
          <w:p>
            <w:pPr>
              <w:spacing w:after="0"/>
              <w:rPr>
                <w:sz w:val="1"/>
                <w:szCs w:val="1"/>
                <w:color w:val="auto"/>
              </w:rPr>
            </w:pPr>
          </w:p>
        </w:tc>
      </w:tr>
      <w:tr>
        <w:trPr>
          <w:trHeight w:val="80"/>
        </w:trPr>
        <w:tc>
          <w:tcPr>
            <w:tcW w:w="210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2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0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70"/>
              <w:spacing w:after="0" w:line="192" w:lineRule="exact"/>
              <w:rPr>
                <w:sz w:val="20"/>
                <w:szCs w:val="20"/>
                <w:color w:val="auto"/>
              </w:rPr>
            </w:pPr>
            <w:r>
              <w:rPr>
                <w:rFonts w:ascii="Times New Roman" w:cs="Times New Roman" w:eastAsia="Times New Roman" w:hAnsi="Times New Roman"/>
                <w:sz w:val="22"/>
                <w:szCs w:val="22"/>
                <w:color w:val="auto"/>
                <w:vertAlign w:val="subscript"/>
              </w:rPr>
              <w:t>0</w:t>
            </w:r>
            <w:r>
              <w:rPr>
                <w:rFonts w:ascii="Times New Roman" w:cs="Times New Roman" w:eastAsia="Times New Roman" w:hAnsi="Times New Roman"/>
                <w:sz w:val="8"/>
                <w:szCs w:val="8"/>
                <w:color w:val="auto"/>
              </w:rPr>
              <w:t>(a)</w:t>
            </w:r>
          </w:p>
        </w:tc>
        <w:tc>
          <w:tcPr>
            <w:tcW w:w="16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28</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Chilled water: 8,000 tons</w:t>
            </w: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460"/>
          </w:cols>
          <w:pgMar w:left="220" w:top="754" w:right="219" w:bottom="1440" w:gutter="0" w:footer="0" w:header="0"/>
          <w:type w:val="continuous"/>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NRG Energy Center Pittsburgh, PA</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NRG Energy Center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San Diego, CA</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NRG Energy Center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Dover, DE</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NRG Energy Center Princeton, NJ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14154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80"/>
        <w:spacing w:after="0" w:line="285" w:lineRule="auto"/>
        <w:rPr>
          <w:sz w:val="20"/>
          <w:szCs w:val="20"/>
          <w:color w:val="auto"/>
        </w:rPr>
      </w:pPr>
      <w:r>
        <w:rPr>
          <w:rFonts w:ascii="Times New Roman" w:cs="Times New Roman" w:eastAsia="Times New Roman" w:hAnsi="Times New Roman"/>
          <w:sz w:val="13"/>
          <w:szCs w:val="13"/>
          <w:color w:val="auto"/>
        </w:rPr>
        <w:t>Approx. 25 steam and 25 chilled water customers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Approx. 20 chilled water customers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Kraft Heinz Company; Proctor and Gamble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Princeton HealthCare System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Generating Capacity (MWt)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color w:val="auto"/>
                <w:w w:val="81"/>
              </w:rPr>
              <w:t>100</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3"/>
                <w:szCs w:val="13"/>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88</w:t>
            </w:r>
          </w:p>
        </w:tc>
        <w:tc>
          <w:tcPr>
            <w:tcW w:w="1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Steam: 302 MMBtu/hr.</w:t>
            </w: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1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7"/>
                <w:szCs w:val="7"/>
                <w:color w:val="auto"/>
              </w:rPr>
            </w:pPr>
          </w:p>
        </w:tc>
        <w:tc>
          <w:tcPr>
            <w:tcW w:w="16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49</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w w:val="97"/>
              </w:rPr>
              <w:t>Chilled water: 13,874 tons</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3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81"/>
              </w:rPr>
              <w:t>100</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24"/>
                <w:szCs w:val="2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c>
          <w:tcPr>
            <w:tcW w:w="1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Chilled water: 8,825 tons</w:t>
            </w:r>
          </w:p>
        </w:tc>
        <w:tc>
          <w:tcPr>
            <w:tcW w:w="0" w:type="dxa"/>
            <w:vAlign w:val="bottom"/>
          </w:tcPr>
          <w:p>
            <w:pPr>
              <w:spacing w:after="0"/>
              <w:rPr>
                <w:sz w:val="1"/>
                <w:szCs w:val="1"/>
                <w:color w:val="auto"/>
              </w:rPr>
            </w:pPr>
          </w:p>
        </w:tc>
      </w:tr>
      <w:tr>
        <w:trPr>
          <w:trHeight w:val="364"/>
        </w:trPr>
        <w:tc>
          <w:tcPr>
            <w:tcW w:w="3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81"/>
              </w:rPr>
              <w:t>100</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24"/>
                <w:szCs w:val="2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66</w:t>
            </w:r>
          </w:p>
        </w:tc>
        <w:tc>
          <w:tcPr>
            <w:tcW w:w="1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Steam: 225 MMBtu/hr.</w:t>
            </w:r>
          </w:p>
        </w:tc>
        <w:tc>
          <w:tcPr>
            <w:tcW w:w="0" w:type="dxa"/>
            <w:vAlign w:val="bottom"/>
          </w:tcPr>
          <w:p>
            <w:pPr>
              <w:spacing w:after="0"/>
              <w:rPr>
                <w:sz w:val="1"/>
                <w:szCs w:val="1"/>
                <w:color w:val="auto"/>
              </w:rPr>
            </w:pPr>
          </w:p>
        </w:tc>
      </w:tr>
      <w:tr>
        <w:trPr>
          <w:trHeight w:val="284"/>
        </w:trPr>
        <w:tc>
          <w:tcPr>
            <w:tcW w:w="32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color w:val="auto"/>
                <w:w w:val="81"/>
              </w:rPr>
              <w:t>100</w:t>
            </w: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24"/>
                <w:szCs w:val="2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21</w:t>
            </w:r>
          </w:p>
        </w:tc>
        <w:tc>
          <w:tcPr>
            <w:tcW w:w="1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Steam: 72 MMBtu/hr.</w:t>
            </w: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1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7"/>
                <w:szCs w:val="7"/>
                <w:color w:val="auto"/>
              </w:rPr>
            </w:pPr>
          </w:p>
        </w:tc>
        <w:tc>
          <w:tcPr>
            <w:tcW w:w="16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Chilled water: 4,700 tons</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1,453</w:t>
            </w:r>
          </w:p>
        </w:tc>
        <w:tc>
          <w:tcPr>
            <w:tcW w:w="10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1,319</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-850265</wp:posOffset>
            </wp:positionV>
            <wp:extent cx="7275195" cy="231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195" cy="23114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-387350</wp:posOffset>
            </wp:positionV>
            <wp:extent cx="7275195"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195"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860" w:space="480"/>
            <w:col w:w="2260" w:space="720"/>
            <w:col w:w="6140"/>
          </w:cols>
          <w:pgMar w:left="220" w:top="754" w:right="219" w:bottom="1440" w:gutter="0" w:footer="0" w:header="0"/>
          <w:type w:val="continuous"/>
        </w:sectPr>
      </w:pPr>
    </w:p>
    <w:p>
      <w:pPr>
        <w:spacing w:after="0" w:line="72" w:lineRule="exact"/>
        <w:rPr>
          <w:sz w:val="20"/>
          <w:szCs w:val="20"/>
          <w:color w:val="auto"/>
        </w:rPr>
      </w:pPr>
    </w:p>
    <w:p>
      <w:pPr>
        <w:ind w:left="120" w:hanging="114"/>
        <w:spacing w:after="0"/>
        <w:tabs>
          <w:tab w:leader="none" w:pos="120" w:val="left"/>
        </w:tabs>
        <w:numPr>
          <w:ilvl w:val="0"/>
          <w:numId w:val="1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Net MWt capacity excludes 134 MWt available under the right-to-use provisions contained in agreements between two of the Company's thermal facilities and certain of its customers.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Properties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Through the Management Services Agreement with NRG, the Company utilizes NRG's leased corporate headquarters offices at 804 Carnegie Center, Princeton, New Jersey.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460"/>
          </w:cols>
          <w:pgMar w:left="220" w:top="754" w:right="2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Item 3 — Legal Proceedings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See Item 15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Note 14,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to the Consolidated Financial Statements for discussion of the material legal proceedings to which the Company is a party.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900"/>
          </w:cols>
          <w:pgMar w:left="220" w:top="894" w:right="779" w:bottom="1440" w:gutter="0" w:footer="0" w:header="0"/>
        </w:sectPr>
      </w:pPr>
    </w:p>
    <w:bookmarkStart w:id="31" w:name="page32"/>
    <w:bookmarkEnd w:id="31"/>
    <w:p>
      <w:pPr>
        <w:ind w:left="54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Market for Registrant's Common Equity, Related Stockholder Matters and Issuer Purchases of Equity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and Holders</w:t>
      </w:r>
    </w:p>
    <w:p>
      <w:pPr>
        <w:spacing w:after="0" w:line="141" w:lineRule="exact"/>
        <w:rPr>
          <w:sz w:val="20"/>
          <w:szCs w:val="20"/>
          <w:color w:val="auto"/>
        </w:rPr>
      </w:pPr>
    </w:p>
    <w:p>
      <w:pPr>
        <w:ind w:firstLine="514"/>
        <w:spacing w:after="0" w:line="291" w:lineRule="auto"/>
        <w:rPr>
          <w:sz w:val="20"/>
          <w:szCs w:val="20"/>
          <w:color w:val="auto"/>
        </w:rPr>
      </w:pPr>
      <w:r>
        <w:rPr>
          <w:rFonts w:ascii="Times New Roman" w:cs="Times New Roman" w:eastAsia="Times New Roman" w:hAnsi="Times New Roman"/>
          <w:sz w:val="14"/>
          <w:szCs w:val="14"/>
          <w:color w:val="auto"/>
        </w:rPr>
        <w:t>As of the date of this report, there is no publicly-traded market for the Company's membership units. All of the Company's Class A and Class C units are held by Yield, Inc. and all of the Company's Class B and Class D units are held by NRG.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lists the distributions paid on the Company's Class A, Class B, Class C and Class D units during the year ended December 31,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2016</w:t>
            </w:r>
          </w:p>
        </w:tc>
        <w:tc>
          <w:tcPr>
            <w:tcW w:w="16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Third Quarter 2016</w:t>
            </w: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2016</w:t>
            </w:r>
          </w:p>
        </w:tc>
        <w:tc>
          <w:tcPr>
            <w:tcW w:w="140" w:type="dxa"/>
            <w:vAlign w:val="bottom"/>
          </w:tcPr>
          <w:p>
            <w:pPr>
              <w:spacing w:after="0"/>
              <w:rPr>
                <w:sz w:val="13"/>
                <w:szCs w:val="13"/>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First Quarter 2016</w:t>
            </w:r>
          </w:p>
        </w:tc>
      </w:tr>
      <w:tr>
        <w:trPr>
          <w:trHeight w:val="189"/>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0.225</w:t>
            </w:r>
          </w:p>
        </w:tc>
      </w:tr>
      <w:tr>
        <w:trPr>
          <w:trHeight w:val="192"/>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0.225</w:t>
            </w:r>
          </w:p>
        </w:tc>
      </w:tr>
    </w:tbl>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February 15, 2017, the Company declared a quarterly distribution on its Class A, Class B, Class C and Class D units of $0.26 per unit payable on March 15, 2017.</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460"/>
          </w:cols>
          <w:pgMar w:left="220" w:top="316" w:right="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Item 6 — Selected Financial Data</w:t>
      </w:r>
    </w:p>
    <w:p>
      <w:pPr>
        <w:spacing w:after="0" w:line="141"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 xml:space="preserve">The following table presents the Company's historical selected financial data, which has been recast to include the Drop Down Assets, as if the transfers had taken place from the beginning of the financial statements period, or from the date the respective entities were under common control (if later than the beginning of the financial statements period). The acquisitions are further described in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231F20"/>
        </w:rPr>
        <w:t>Note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231F20"/>
        </w:rPr>
        <w:t>Business Acquisitions</w:t>
      </w:r>
      <w:r>
        <w:rPr>
          <w:rFonts w:ascii="Times New Roman" w:cs="Times New Roman" w:eastAsia="Times New Roman" w:hAnsi="Times New Roman"/>
          <w:sz w:val="14"/>
          <w:szCs w:val="14"/>
          <w:color w:val="auto"/>
        </w:rPr>
        <w:t>, to the Consolidated Financial Statements. Additionally, for all periods prior to the formation of the Company, the data below reflects the Company's accounting predecessor, or NRG Yield, the financial statements of which were prepared on a ''carve-out'' basis from NRG and are intended to represent the financial results of the contracted renewable energy and conventional generation and thermal infrastructure assets in the U.S. that were acquired by the Company on July 22, 2013. For all periods subsequent to the formation of the Company, the data below reflects the Company's consolidated financial results.</w:t>
      </w:r>
    </w:p>
    <w:p>
      <w:pPr>
        <w:spacing w:after="0" w:line="101" w:lineRule="exact"/>
        <w:rPr>
          <w:sz w:val="20"/>
          <w:szCs w:val="20"/>
          <w:color w:val="auto"/>
        </w:rPr>
      </w:pPr>
    </w:p>
    <w:p>
      <w:pPr>
        <w:jc w:val="both"/>
        <w:ind w:firstLine="514"/>
        <w:spacing w:after="0" w:line="294" w:lineRule="auto"/>
        <w:rPr>
          <w:sz w:val="20"/>
          <w:szCs w:val="20"/>
          <w:color w:val="auto"/>
        </w:rPr>
      </w:pPr>
      <w:r>
        <w:rPr>
          <w:rFonts w:ascii="Times New Roman" w:cs="Times New Roman" w:eastAsia="Times New Roman" w:hAnsi="Times New Roman"/>
          <w:sz w:val="14"/>
          <w:szCs w:val="14"/>
          <w:color w:val="auto"/>
        </w:rPr>
        <w:t xml:space="preserve">This historical data should be read in conjunction with the Consolidated Financial Statements and the related notes thereto in Item 15 and Item 7, </w:t>
      </w:r>
      <w:r>
        <w:rPr>
          <w:rFonts w:ascii="Times New Roman" w:cs="Times New Roman" w:eastAsia="Times New Roman" w:hAnsi="Times New Roman"/>
          <w:sz w:val="14"/>
          <w:szCs w:val="14"/>
          <w:i w:val="1"/>
          <w:iCs w:val="1"/>
          <w:color w:val="auto"/>
        </w:rPr>
        <w:t>Management's Discussion and Analysis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Condition and Results of Operations.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Fiscal year ended December 31,</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205"/>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2012</w:t>
            </w:r>
          </w:p>
        </w:tc>
      </w:tr>
      <w:tr>
        <w:trPr>
          <w:trHeight w:val="20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Statement of Income Data:</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Revenues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operating revenues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1,021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828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186</w:t>
            </w: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Costs and Expenses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Cost of operations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118</w:t>
            </w:r>
          </w:p>
        </w:tc>
      </w:tr>
      <w:tr>
        <w:trPr>
          <w:trHeight w:val="210"/>
        </w:trPr>
        <w:tc>
          <w:tcPr>
            <w:tcW w:w="6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2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39</w:t>
            </w:r>
          </w:p>
        </w:tc>
      </w:tr>
      <w:tr>
        <w:trPr>
          <w:trHeight w:val="21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Impairment losses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210"/>
        </w:trPr>
        <w:tc>
          <w:tcPr>
            <w:tcW w:w="6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2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w:t>
            </w:r>
          </w:p>
        </w:tc>
      </w:tr>
      <w:tr>
        <w:trPr>
          <w:trHeight w:val="214"/>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Acquisition-related transaction and integration costs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94"/>
        </w:trPr>
        <w:tc>
          <w:tcPr>
            <w:tcW w:w="6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operating costs and expenses</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801</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631</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522</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164</w:t>
            </w: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Income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322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22</w:t>
            </w: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Other Income (Expense)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19</w:t>
            </w:r>
          </w:p>
        </w:tc>
      </w:tr>
      <w:tr>
        <w:trPr>
          <w:trHeight w:val="210"/>
        </w:trPr>
        <w:tc>
          <w:tcPr>
            <w:tcW w:w="6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income, net</w:t>
            </w:r>
          </w:p>
        </w:tc>
        <w:tc>
          <w:tcPr>
            <w:tcW w:w="22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w:t>
            </w:r>
          </w:p>
        </w:tc>
      </w:tr>
      <w:tr>
        <w:trPr>
          <w:trHeight w:val="21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Loss on debt extinguishment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210"/>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(262)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(211)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r>
      <w:tr>
        <w:trPr>
          <w:trHeight w:val="199"/>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other expense, net</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(234)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r>
      <w:tr>
        <w:trPr>
          <w:trHeight w:val="19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(Loss) Income Before Income Taxes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88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15</w:t>
            </w:r>
          </w:p>
        </w:tc>
      </w:tr>
      <w:tr>
        <w:trPr>
          <w:trHeight w:val="194"/>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w:t>
            </w: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(Loss) Income</w:t>
            </w:r>
          </w:p>
        </w:tc>
        <w:tc>
          <w:tcPr>
            <w:tcW w:w="22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117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9"/>
                <w:szCs w:val="19"/>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r>
      <w:tr>
        <w:trPr>
          <w:trHeight w:val="182"/>
        </w:trPr>
        <w:tc>
          <w:tcPr>
            <w:tcW w:w="63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Less: Net (loss) income attributable to noncontrolling interests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(142)</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r>
      <w:tr>
        <w:trPr>
          <w:trHeight w:val="22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 Attributable to NRG Yield LLC</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r>
      <w:tr>
        <w:trPr>
          <w:trHeight w:val="197"/>
        </w:trPr>
        <w:tc>
          <w:tcPr>
            <w:tcW w:w="6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Other Financial Data:</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Capital expenditures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1,398</w:t>
            </w: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 Data:</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cash provided by (used in):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0"/>
        </w:trPr>
        <w:tc>
          <w:tcPr>
            <w:tcW w:w="6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Operating activities</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560</w:t>
            </w:r>
          </w:p>
        </w:tc>
        <w:tc>
          <w:tcPr>
            <w:tcW w:w="12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404</w:t>
            </w:r>
          </w:p>
        </w:tc>
        <w:tc>
          <w:tcPr>
            <w:tcW w:w="120" w:type="dxa"/>
            <w:vAlign w:val="bottom"/>
          </w:tcPr>
          <w:p>
            <w:pPr>
              <w:spacing w:after="0"/>
              <w:rPr>
                <w:sz w:val="18"/>
                <w:szCs w:val="18"/>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362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tcPr>
          <w:p>
            <w:pPr>
              <w:spacing w:after="0"/>
              <w:rPr>
                <w:sz w:val="18"/>
                <w:szCs w:val="18"/>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57</w:t>
            </w:r>
          </w:p>
        </w:tc>
      </w:tr>
      <w:tr>
        <w:trPr>
          <w:trHeight w:val="21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Investing activities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(1,421)</w:t>
            </w:r>
          </w:p>
        </w:tc>
      </w:tr>
      <w:tr>
        <w:trPr>
          <w:trHeight w:val="210"/>
        </w:trPr>
        <w:tc>
          <w:tcPr>
            <w:tcW w:w="6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Financing activities</w:t>
            </w:r>
          </w:p>
        </w:tc>
        <w:tc>
          <w:tcPr>
            <w:tcW w:w="220" w:type="dxa"/>
            <w:vAlign w:val="bottom"/>
          </w:tcPr>
          <w:p>
            <w:pPr>
              <w:spacing w:after="0"/>
              <w:rPr>
                <w:sz w:val="18"/>
                <w:szCs w:val="18"/>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1,362</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Sheet Data (at period end):</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0"/>
        </w:trPr>
        <w:tc>
          <w:tcPr>
            <w:tcW w:w="6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316</w:t>
            </w:r>
          </w:p>
        </w:tc>
        <w:tc>
          <w:tcPr>
            <w:tcW w:w="12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110</w:t>
            </w:r>
          </w:p>
        </w:tc>
        <w:tc>
          <w:tcPr>
            <w:tcW w:w="120" w:type="dxa"/>
            <w:vAlign w:val="bottom"/>
          </w:tcPr>
          <w:p>
            <w:pPr>
              <w:spacing w:after="0"/>
              <w:rPr>
                <w:sz w:val="18"/>
                <w:szCs w:val="18"/>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429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8"/>
                <w:szCs w:val="18"/>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22</w:t>
            </w:r>
          </w:p>
        </w:tc>
      </w:tr>
      <w:tr>
        <w:trPr>
          <w:trHeight w:val="219"/>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5,460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5,878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6,009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3,392</w:t>
            </w:r>
          </w:p>
        </w:tc>
      </w:tr>
      <w:tr>
        <w:trPr>
          <w:trHeight w:val="210"/>
        </w:trPr>
        <w:tc>
          <w:tcPr>
            <w:tcW w:w="6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assets</w:t>
            </w:r>
          </w:p>
        </w:tc>
        <w:tc>
          <w:tcPr>
            <w:tcW w:w="22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8,522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8,661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4,582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3,790</w:t>
            </w:r>
          </w:p>
        </w:tc>
      </w:tr>
      <w:tr>
        <w:trPr>
          <w:trHeight w:val="219"/>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Long-term debt, including current maturities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5,728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5,625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2,849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1,880</w:t>
            </w:r>
          </w:p>
        </w:tc>
      </w:tr>
      <w:tr>
        <w:trPr>
          <w:trHeight w:val="210"/>
        </w:trPr>
        <w:tc>
          <w:tcPr>
            <w:tcW w:w="6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6,032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5,982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6,078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3,138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2,449</w:t>
            </w:r>
          </w:p>
        </w:tc>
      </w:tr>
      <w:tr>
        <w:trPr>
          <w:trHeight w:val="219"/>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members' equity</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2,135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2,540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2,583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1,341</w:t>
            </w: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460"/>
          </w:cols>
          <w:pgMar w:left="220" w:top="766" w:right="2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 xml:space="preserve">Item 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Management's Discussion and Analysis of Financial Condition and the Results of Operations</w:t>
      </w:r>
    </w:p>
    <w:p>
      <w:pPr>
        <w:spacing w:after="0" w:line="141" w:lineRule="exact"/>
        <w:rPr>
          <w:sz w:val="20"/>
          <w:szCs w:val="20"/>
          <w:color w:val="auto"/>
        </w:rPr>
      </w:pPr>
    </w:p>
    <w:p>
      <w:pPr>
        <w:jc w:val="both"/>
        <w:ind w:firstLine="514"/>
        <w:spacing w:after="0" w:line="260" w:lineRule="auto"/>
        <w:rPr>
          <w:sz w:val="20"/>
          <w:szCs w:val="20"/>
          <w:color w:val="auto"/>
        </w:rPr>
      </w:pPr>
      <w:r>
        <w:rPr>
          <w:rFonts w:ascii="Times New Roman" w:cs="Times New Roman" w:eastAsia="Times New Roman" w:hAnsi="Times New Roman"/>
          <w:sz w:val="14"/>
          <w:szCs w:val="14"/>
          <w:color w:val="auto"/>
        </w:rPr>
        <w:t xml:space="preserve">The following discussion analyzes the Company's historical financial condition and results of operations, which were recast to include the effect of the Drop Down Assets acquired on June 30, 2014, January 2, 2015, November 3, 2015, and September 1, 2016. As further discussed in Item 15 — Note 1, </w:t>
      </w:r>
      <w:r>
        <w:rPr>
          <w:rFonts w:ascii="Times New Roman" w:cs="Times New Roman" w:eastAsia="Times New Roman" w:hAnsi="Times New Roman"/>
          <w:sz w:val="14"/>
          <w:szCs w:val="14"/>
          <w:i w:val="1"/>
          <w:iCs w:val="1"/>
          <w:color w:val="auto"/>
        </w:rPr>
        <w:t>Nature of Business</w:t>
      </w:r>
      <w:r>
        <w:rPr>
          <w:rFonts w:ascii="Times New Roman" w:cs="Times New Roman" w:eastAsia="Times New Roman" w:hAnsi="Times New Roman"/>
          <w:sz w:val="14"/>
          <w:szCs w:val="14"/>
          <w:color w:val="auto"/>
        </w:rPr>
        <w:t>, to the Consolidated Financial Statements, the purchases of these assets were accounted for in accordance with ASC 805-50</w:t>
      </w:r>
      <w:r>
        <w:rPr>
          <w:rFonts w:ascii="Times New Roman" w:cs="Times New Roman" w:eastAsia="Times New Roman" w:hAnsi="Times New Roman"/>
          <w:sz w:val="14"/>
          <w:szCs w:val="14"/>
          <w:i w:val="1"/>
          <w:iCs w:val="1"/>
          <w:color w:val="auto"/>
        </w:rPr>
        <w:t>, Business Combinations - Related Issues</w:t>
      </w:r>
      <w:r>
        <w:rPr>
          <w:rFonts w:ascii="Times New Roman" w:cs="Times New Roman" w:eastAsia="Times New Roman" w:hAnsi="Times New Roman"/>
          <w:sz w:val="14"/>
          <w:szCs w:val="14"/>
          <w:color w:val="auto"/>
        </w:rPr>
        <w:t>, whereas the assets and liabilities transferred to the Company relate to interests under common control by NRG and, accordingly, were recorded at historical cost. The difference between the cash proceeds and historical value of the net assets was recorded as a distribution to/from NRG and offset to the noncontrolling interest. In accordance with GAAP guidance,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 The financial statements reflect the transfers as if they had taken place on January 1, 2014 for Kansas South, TA High Desert, and CVSR Drop Down; April 1, 2014 for the January 2015 Drop Down Assets and the majority of the November 2015 Drop Down Assets, which represents the date these entities were acquired by NRG.</w:t>
      </w:r>
    </w:p>
    <w:p>
      <w:pPr>
        <w:spacing w:after="0" w:line="62" w:lineRule="exact"/>
        <w:rPr>
          <w:sz w:val="20"/>
          <w:szCs w:val="20"/>
          <w:color w:val="auto"/>
        </w:rPr>
      </w:pPr>
    </w:p>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 xml:space="preserve">As you read this discussion and analysis, refer to the Company's Consolidated Statements of Operations to this Form 10-K, which present the results of operations for the years ended December 31, 2016, 2015 and 2014. Also refer to Item 1 —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which include detailed discussions of various items impacting the Company's business, results of operations and financial condition.</w:t>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6" w:lineRule="exact"/>
        <w:rPr>
          <w:sz w:val="20"/>
          <w:szCs w:val="20"/>
          <w:color w:val="auto"/>
        </w:rPr>
      </w:pPr>
    </w:p>
    <w:p>
      <w:pPr>
        <w:ind w:left="1040" w:hanging="263"/>
        <w:spacing w:after="0"/>
        <w:tabs>
          <w:tab w:leader="none" w:pos="1040" w:val="left"/>
        </w:tabs>
        <w:numPr>
          <w:ilvl w:val="0"/>
          <w:numId w:val="1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3" w:lineRule="exact"/>
        <w:rPr>
          <w:rFonts w:ascii="Times New Roman" w:cs="Times New Roman" w:eastAsia="Times New Roman" w:hAnsi="Times New Roman"/>
          <w:sz w:val="14"/>
          <w:szCs w:val="14"/>
          <w:color w:val="231F20"/>
        </w:rPr>
      </w:pPr>
    </w:p>
    <w:p>
      <w:pPr>
        <w:ind w:left="1040" w:hanging="263"/>
        <w:spacing w:after="0"/>
        <w:tabs>
          <w:tab w:leader="none" w:pos="1040" w:val="left"/>
        </w:tabs>
        <w:numPr>
          <w:ilvl w:val="0"/>
          <w:numId w:val="1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operations;</w:t>
      </w:r>
    </w:p>
    <w:p>
      <w:pPr>
        <w:spacing w:after="0" w:line="53" w:lineRule="exact"/>
        <w:rPr>
          <w:rFonts w:ascii="Times New Roman" w:cs="Times New Roman" w:eastAsia="Times New Roman" w:hAnsi="Times New Roman"/>
          <w:sz w:val="14"/>
          <w:szCs w:val="14"/>
          <w:color w:val="231F20"/>
        </w:rPr>
      </w:pPr>
    </w:p>
    <w:p>
      <w:pPr>
        <w:ind w:left="1040" w:hanging="263"/>
        <w:spacing w:after="0"/>
        <w:tabs>
          <w:tab w:leader="none" w:pos="1040" w:val="left"/>
        </w:tabs>
        <w:numPr>
          <w:ilvl w:val="0"/>
          <w:numId w:val="1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3" w:lineRule="exact"/>
        <w:rPr>
          <w:rFonts w:ascii="Times New Roman" w:cs="Times New Roman" w:eastAsia="Times New Roman" w:hAnsi="Times New Roman"/>
          <w:sz w:val="14"/>
          <w:szCs w:val="14"/>
          <w:color w:val="231F20"/>
        </w:rPr>
      </w:pPr>
    </w:p>
    <w:p>
      <w:pPr>
        <w:ind w:left="1040" w:hanging="263"/>
        <w:spacing w:after="0"/>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3" w:lineRule="exact"/>
        <w:rPr>
          <w:rFonts w:ascii="Times New Roman" w:cs="Times New Roman" w:eastAsia="Times New Roman" w:hAnsi="Times New Roman"/>
          <w:sz w:val="14"/>
          <w:szCs w:val="14"/>
          <w:color w:val="auto"/>
        </w:rPr>
      </w:pPr>
    </w:p>
    <w:p>
      <w:pPr>
        <w:ind w:left="1040" w:right="320" w:hanging="263"/>
        <w:spacing w:after="0" w:line="291"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460"/>
          </w:cols>
          <w:pgMar w:left="220" w:top="766" w:right="2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41" w:lineRule="exact"/>
        <w:rPr>
          <w:sz w:val="20"/>
          <w:szCs w:val="20"/>
          <w:color w:val="auto"/>
        </w:rPr>
      </w:pPr>
    </w:p>
    <w:p>
      <w:pPr>
        <w:jc w:val="both"/>
        <w:ind w:firstLine="514"/>
        <w:spacing w:after="0" w:line="273" w:lineRule="auto"/>
        <w:rPr>
          <w:sz w:val="20"/>
          <w:szCs w:val="20"/>
          <w:color w:val="auto"/>
        </w:rPr>
      </w:pPr>
      <w:r>
        <w:rPr>
          <w:rFonts w:ascii="Times New Roman" w:cs="Times New Roman" w:eastAsia="Times New Roman" w:hAnsi="Times New Roman"/>
          <w:sz w:val="14"/>
          <w:szCs w:val="14"/>
          <w:color w:val="auto"/>
        </w:rPr>
        <w:t>The Company is a dividend growth-oriented company formed to serve as the primary vehicle through which NRG owns, operates and acquires contracted renewable and conventional generation and thermal infrastructure assets. The Company believes it is well positioned to be a premier company for investors seeking stable and growing distribution income from a diversified portfolio of lower-risk high-quality assets.</w:t>
      </w:r>
    </w:p>
    <w:p>
      <w:pPr>
        <w:spacing w:after="0" w:line="94" w:lineRule="exact"/>
        <w:rPr>
          <w:sz w:val="20"/>
          <w:szCs w:val="20"/>
          <w:color w:val="auto"/>
        </w:rPr>
      </w:pPr>
    </w:p>
    <w:p>
      <w:pPr>
        <w:jc w:val="both"/>
        <w:ind w:firstLine="514"/>
        <w:spacing w:after="0" w:line="263" w:lineRule="auto"/>
        <w:rPr>
          <w:sz w:val="20"/>
          <w:szCs w:val="20"/>
          <w:color w:val="auto"/>
        </w:rPr>
      </w:pPr>
      <w:r>
        <w:rPr>
          <w:rFonts w:ascii="Times New Roman" w:cs="Times New Roman" w:eastAsia="Times New Roman" w:hAnsi="Times New Roman"/>
          <w:sz w:val="14"/>
          <w:szCs w:val="14"/>
          <w:color w:val="auto"/>
        </w:rPr>
        <w:t xml:space="preserve">The Company owns a diversified portfolio of contracted renewable and conventional generation and thermal infrastructure assets in the U.S. The Company’s contracted generation portfolio collectively represents </w:t>
      </w:r>
      <w:r>
        <w:rPr>
          <w:rFonts w:ascii="Times New Roman" w:cs="Times New Roman" w:eastAsia="Times New Roman" w:hAnsi="Times New Roman"/>
          <w:sz w:val="14"/>
          <w:szCs w:val="14"/>
          <w:color w:val="231F20"/>
        </w:rPr>
        <w:t>4,563 net MW.</w:t>
      </w:r>
      <w:r>
        <w:rPr>
          <w:rFonts w:ascii="Times New Roman" w:cs="Times New Roman" w:eastAsia="Times New Roman" w:hAnsi="Times New Roman"/>
          <w:sz w:val="14"/>
          <w:szCs w:val="14"/>
          <w:color w:val="auto"/>
        </w:rPr>
        <w:t xml:space="preserve"> Each of these assets sells substantially all of its output pursuant to long-term offtake agreements with creditworthy counterparties. The average remaining contract duration of these offtake agreements was approximately </w:t>
      </w:r>
      <w:r>
        <w:rPr>
          <w:rFonts w:ascii="Times New Roman" w:cs="Times New Roman" w:eastAsia="Times New Roman" w:hAnsi="Times New Roman"/>
          <w:sz w:val="14"/>
          <w:szCs w:val="14"/>
          <w:color w:val="231F20"/>
        </w:rPr>
        <w:t>16 years as of</w:t>
      </w:r>
      <w:r>
        <w:rPr>
          <w:rFonts w:ascii="Times New Roman" w:cs="Times New Roman" w:eastAsia="Times New Roman" w:hAnsi="Times New Roman"/>
          <w:sz w:val="14"/>
          <w:szCs w:val="14"/>
          <w:color w:val="auto"/>
        </w:rPr>
        <w:t xml:space="preserve"> December 31, 2016</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based on CAFD</w:t>
      </w:r>
      <w:r>
        <w:rPr>
          <w:rFonts w:ascii="Times New Roman" w:cs="Times New Roman" w:eastAsia="Times New Roman" w:hAnsi="Times New Roman"/>
          <w:sz w:val="14"/>
          <w:szCs w:val="14"/>
          <w:color w:val="231F20"/>
        </w:rPr>
        <w:t>. The Company also owns thermal infrastructure assets with an aggregate steam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and chilled water capacity of 1,319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Events During the Year Ended December 31, 2016</w:t>
      </w:r>
    </w:p>
    <w:p>
      <w:pPr>
        <w:spacing w:after="0" w:line="141" w:lineRule="exact"/>
        <w:rPr>
          <w:sz w:val="20"/>
          <w:szCs w:val="20"/>
          <w:color w:val="auto"/>
        </w:rPr>
      </w:pPr>
    </w:p>
    <w:p>
      <w:pPr>
        <w:jc w:val="both"/>
        <w:ind w:left="520" w:hanging="257"/>
        <w:spacing w:after="0" w:line="273" w:lineRule="auto"/>
        <w:tabs>
          <w:tab w:leader="none" w:pos="52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During the fourth quarter of 2016, the Company recorded asset impairment losses of $117 million, $60 million, and $6 million for Elbow Creek, Goat Wind and Forward, respectively. For further discussion, refer to </w:t>
      </w:r>
      <w:r>
        <w:rPr>
          <w:rFonts w:ascii="Times New Roman" w:cs="Times New Roman" w:eastAsia="Times New Roman" w:hAnsi="Times New Roman"/>
          <w:sz w:val="14"/>
          <w:szCs w:val="14"/>
          <w:i w:val="1"/>
          <w:iCs w:val="1"/>
          <w:color w:val="auto"/>
        </w:rPr>
        <w:t>Management’s discussion of the results of operations for the years ended December 31, 2016 and 2015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Critical Accounting Policies</w:t>
      </w:r>
      <w:r>
        <w:rPr>
          <w:rFonts w:ascii="Times New Roman" w:cs="Times New Roman" w:eastAsia="Times New Roman" w:hAnsi="Times New Roman"/>
          <w:sz w:val="14"/>
          <w:szCs w:val="14"/>
          <w:color w:val="auto"/>
        </w:rPr>
        <w:t xml:space="preserve"> in this Item 7 below, as well as Item 15 — Note 9, </w:t>
      </w:r>
      <w:r>
        <w:rPr>
          <w:rFonts w:ascii="Times New Roman" w:cs="Times New Roman" w:eastAsia="Times New Roman" w:hAnsi="Times New Roman"/>
          <w:sz w:val="14"/>
          <w:szCs w:val="14"/>
          <w:i w:val="1"/>
          <w:iCs w:val="1"/>
          <w:color w:val="auto"/>
        </w:rPr>
        <w:t>Asset Impairments</w:t>
      </w:r>
      <w:r>
        <w:rPr>
          <w:rFonts w:ascii="Times New Roman" w:cs="Times New Roman" w:eastAsia="Times New Roman" w:hAnsi="Times New Roman"/>
          <w:sz w:val="14"/>
          <w:szCs w:val="14"/>
          <w:color w:val="auto"/>
        </w:rPr>
        <w:t>, to the Consolidated Financial Statements.</w:t>
      </w:r>
    </w:p>
    <w:p>
      <w:pPr>
        <w:spacing w:after="0" w:line="93" w:lineRule="exact"/>
        <w:rPr>
          <w:rFonts w:ascii="Times New Roman" w:cs="Times New Roman" w:eastAsia="Times New Roman" w:hAnsi="Times New Roman"/>
          <w:sz w:val="14"/>
          <w:szCs w:val="14"/>
          <w:b w:val="1"/>
          <w:bCs w:val="1"/>
          <w:color w:val="auto"/>
        </w:rPr>
      </w:pPr>
    </w:p>
    <w:p>
      <w:pPr>
        <w:jc w:val="both"/>
        <w:ind w:left="520" w:hanging="257"/>
        <w:spacing w:after="0" w:line="267"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31, 2016, NRG Energy Center Minneapolis LLC, a subsidiary of the Company, received proceeds of $125 million from the issuance of 3.55% </w:t>
      </w:r>
      <w:r>
        <w:rPr>
          <w:rFonts w:ascii="Times New Roman" w:cs="Times New Roman" w:eastAsia="Times New Roman" w:hAnsi="Times New Roman"/>
          <w:sz w:val="14"/>
          <w:szCs w:val="14"/>
          <w:color w:val="231F20"/>
        </w:rPr>
        <w:t>Series D notes due October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2031, or the Series D Notes, and </w:t>
      </w:r>
      <w:r>
        <w:rPr>
          <w:rFonts w:ascii="Times New Roman" w:cs="Times New Roman" w:eastAsia="Times New Roman" w:hAnsi="Times New Roman"/>
          <w:sz w:val="14"/>
          <w:szCs w:val="14"/>
          <w:color w:val="000000"/>
        </w:rPr>
        <w:t>entered into a shelf facility for the anticipated issuance of an additional $70 million of notes at a 4.80% fixed rate. In the first quarter of 2017, NRG Energy</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Center Minneapolis LLC expects to amend its existing note purchase and private shelf agreement to permit the issuance of $10 million of notes, which if issued, will be utilized in addition to the existing, authorized $70 million of notes to make payments with respect to the EPC agreement discussed below.</w:t>
      </w:r>
    </w:p>
    <w:p>
      <w:pPr>
        <w:spacing w:after="0" w:line="98" w:lineRule="exact"/>
        <w:rPr>
          <w:rFonts w:ascii="Times New Roman" w:cs="Times New Roman" w:eastAsia="Times New Roman" w:hAnsi="Times New Roman"/>
          <w:sz w:val="14"/>
          <w:szCs w:val="14"/>
          <w:color w:val="auto"/>
        </w:rPr>
      </w:pPr>
    </w:p>
    <w:p>
      <w:pPr>
        <w:jc w:val="both"/>
        <w:ind w:left="520" w:hanging="257"/>
        <w:spacing w:after="0" w:line="262" w:lineRule="auto"/>
        <w:tabs>
          <w:tab w:leader="none" w:pos="520" w:val="left"/>
        </w:tabs>
        <w:numPr>
          <w:ilvl w:val="0"/>
          <w:numId w:val="13"/>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color w:val="auto"/>
        </w:rPr>
        <w:t>Additionally, on October 31, 2016, 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Pursuant to the terms of the EPC agreement, NECP agreed to pay NRG Business Services LLC $79 million, subject to adjustment based upon certain conditions in the EPC agreement, upon substantial completion of the project. The project is expected to reach COD in the first quarter of 2018. On January 5, 2017, the parties amended the EPC Agreement, based on a customer change order, to increase the capacity of the district energy system from 73 MWt to 80 MWt, which also increased the payment from $79 million to $87 million.</w:t>
      </w:r>
    </w:p>
    <w:p>
      <w:pPr>
        <w:spacing w:after="0" w:line="100" w:lineRule="exact"/>
        <w:rPr>
          <w:rFonts w:ascii="Times New Roman" w:cs="Times New Roman" w:eastAsia="Times New Roman" w:hAnsi="Times New Roman"/>
          <w:sz w:val="14"/>
          <w:szCs w:val="14"/>
          <w:i w:val="1"/>
          <w:iCs w:val="1"/>
          <w:color w:val="231F20"/>
        </w:rPr>
      </w:pPr>
    </w:p>
    <w:p>
      <w:pPr>
        <w:jc w:val="both"/>
        <w:ind w:left="520" w:hanging="257"/>
        <w:spacing w:after="0" w:line="265" w:lineRule="auto"/>
        <w:tabs>
          <w:tab w:leader="none" w:pos="520" w:val="left"/>
        </w:tabs>
        <w:numPr>
          <w:ilvl w:val="0"/>
          <w:numId w:val="13"/>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color w:val="auto"/>
        </w:rPr>
        <w:t xml:space="preserve">On September 1, 2016, as discussed in Item 15 — Note 3,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 xml:space="preserve"> to the Consolidated Financial Statements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 acquired the remaining 51.05% interest of CVSR Holdco LLC from NRG for total cash consideration of $78.5 million. The acquisition was funded with cash on hand. The Company also assumed additional debt of $496 million, which represents 51.05% of the CVSR project level debt and 51.05% of the notes issued under the CVSR Holdco Financing Agreement. In connection with the retrospective adjustment of prior periods, the Company now consolidates CVSR and 100% of its debt, consisting of $771 million, of project level debt and $200 million of notes issued under the CVSR Holdco Financing Agreement as of September 1, 2016.</w:t>
      </w:r>
    </w:p>
    <w:p>
      <w:pPr>
        <w:spacing w:after="0" w:line="99" w:lineRule="exact"/>
        <w:rPr>
          <w:rFonts w:ascii="Times New Roman" w:cs="Times New Roman" w:eastAsia="Times New Roman" w:hAnsi="Times New Roman"/>
          <w:sz w:val="14"/>
          <w:szCs w:val="14"/>
          <w:i w:val="1"/>
          <w:iCs w:val="1"/>
          <w:color w:val="231F20"/>
        </w:rPr>
      </w:pPr>
    </w:p>
    <w:p>
      <w:pPr>
        <w:jc w:val="both"/>
        <w:ind w:left="520" w:hanging="257"/>
        <w:spacing w:after="0" w:line="273" w:lineRule="auto"/>
        <w:tabs>
          <w:tab w:leader="none" w:pos="520" w:val="left"/>
        </w:tabs>
        <w:numPr>
          <w:ilvl w:val="0"/>
          <w:numId w:val="1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 xml:space="preserve">On August 18, 2016, NRG Yield Operating LLC issued $350 million of senior unsecured notes, or the 2026 Senior Notes. The 2026 Senior Notes bear interest at 5.00% and </w:t>
      </w:r>
      <w:r>
        <w:rPr>
          <w:rFonts w:ascii="Times New Roman" w:cs="Times New Roman" w:eastAsia="Times New Roman" w:hAnsi="Times New Roman"/>
          <w:sz w:val="14"/>
          <w:szCs w:val="14"/>
          <w:color w:val="000000"/>
        </w:rPr>
        <w:t>mature on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September 15, 2026. A portion of the proceeds of the 2026 Senior Notes were used to repay the Company's revolving credit facility. </w:t>
      </w:r>
      <w:r>
        <w:rPr>
          <w:rFonts w:ascii="Times New Roman" w:cs="Times New Roman" w:eastAsia="Times New Roman" w:hAnsi="Times New Roman"/>
          <w:sz w:val="14"/>
          <w:szCs w:val="14"/>
          <w:color w:val="231F20"/>
        </w:rPr>
        <w:t>For further discussion, refer to</w:t>
      </w:r>
      <w:r>
        <w:rPr>
          <w:rFonts w:ascii="Times New Roman" w:cs="Times New Roman" w:eastAsia="Times New Roman" w:hAnsi="Times New Roman"/>
          <w:sz w:val="14"/>
          <w:szCs w:val="14"/>
          <w:color w:val="000000"/>
        </w:rPr>
        <w:t xml:space="preserve"> Item 15 — Note 10,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000000"/>
        </w:rPr>
        <w:t>, to the Consolidated Financial Statements</w:t>
      </w:r>
      <w:r>
        <w:rPr>
          <w:rFonts w:ascii="Times New Roman" w:cs="Times New Roman" w:eastAsia="Times New Roman" w:hAnsi="Times New Roman"/>
          <w:sz w:val="14"/>
          <w:szCs w:val="14"/>
          <w:i w:val="1"/>
          <w:iCs w:val="1"/>
          <w:color w:val="000000"/>
        </w:rPr>
        <w:t>.</w:t>
      </w:r>
    </w:p>
    <w:p>
      <w:pPr>
        <w:spacing w:after="0" w:line="91" w:lineRule="exact"/>
        <w:rPr>
          <w:rFonts w:ascii="Times New Roman" w:cs="Times New Roman" w:eastAsia="Times New Roman" w:hAnsi="Times New Roman"/>
          <w:sz w:val="14"/>
          <w:szCs w:val="14"/>
          <w:color w:val="231F20"/>
        </w:rPr>
      </w:pPr>
    </w:p>
    <w:p>
      <w:pPr>
        <w:ind w:left="520" w:hanging="257"/>
        <w:spacing w:after="0" w:line="294"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August 9, 2016, Yield, Inc. established a $150,000,000 at-the-market equity offering program, or ATM Program, as described in </w:t>
      </w:r>
      <w:r>
        <w:rPr>
          <w:rFonts w:ascii="Times New Roman" w:cs="Times New Roman" w:eastAsia="Times New Roman" w:hAnsi="Times New Roman"/>
          <w:sz w:val="14"/>
          <w:szCs w:val="14"/>
          <w:i w:val="1"/>
          <w:iCs w:val="1"/>
          <w:color w:val="auto"/>
        </w:rPr>
        <w:t>Sources of Liquidity</w:t>
      </w:r>
      <w:r>
        <w:rPr>
          <w:rFonts w:ascii="Times New Roman" w:cs="Times New Roman" w:eastAsia="Times New Roman" w:hAnsi="Times New Roman"/>
          <w:sz w:val="14"/>
          <w:szCs w:val="14"/>
          <w:color w:val="auto"/>
        </w:rPr>
        <w:t xml:space="preserve"> in this Item 7 below. As of December 31, 2016, no shares were issued under the ATM Program.</w:t>
      </w:r>
    </w:p>
    <w:p>
      <w:pPr>
        <w:spacing w:after="0" w:line="89" w:lineRule="exact"/>
        <w:rPr>
          <w:rFonts w:ascii="Times New Roman" w:cs="Times New Roman" w:eastAsia="Times New Roman" w:hAnsi="Times New Roman"/>
          <w:sz w:val="14"/>
          <w:szCs w:val="14"/>
          <w:color w:val="auto"/>
        </w:rPr>
      </w:pPr>
    </w:p>
    <w:p>
      <w:pPr>
        <w:ind w:left="520" w:hanging="257"/>
        <w:spacing w:after="0" w:line="29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 xml:space="preserve">On July 15, 2016, CVSR Holdco, issued $200 million of senior secured notes that bear interest at 4.68% and mature on March 31, 2037. The proceeds were utilized, along with </w:t>
      </w:r>
      <w:r>
        <w:rPr>
          <w:rFonts w:ascii="Times New Roman" w:cs="Times New Roman" w:eastAsia="Times New Roman" w:hAnsi="Times New Roman"/>
          <w:sz w:val="14"/>
          <w:szCs w:val="14"/>
          <w:color w:val="000000"/>
        </w:rPr>
        <w:t>$28 million</w:t>
      </w:r>
      <w:r>
        <w:rPr>
          <w:rFonts w:ascii="Times New Roman" w:cs="Times New Roman" w:eastAsia="Times New Roman" w:hAnsi="Times New Roman"/>
          <w:sz w:val="14"/>
          <w:szCs w:val="14"/>
          <w:color w:val="231F20"/>
        </w:rPr>
        <w:t xml:space="preserve"> of cash on hand, to reduce borrowings under the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460"/>
          </w:cols>
          <w:pgMar w:left="220" w:top="766" w:right="21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4"/>
          <w:szCs w:val="14"/>
          <w:color w:val="231F20"/>
        </w:rPr>
        <w:t xml:space="preserve">Company’s revolving credit facility. For further discussion, refer to </w:t>
      </w:r>
      <w:r>
        <w:rPr>
          <w:rFonts w:ascii="Times New Roman" w:cs="Times New Roman" w:eastAsia="Times New Roman" w:hAnsi="Times New Roman"/>
          <w:sz w:val="14"/>
          <w:szCs w:val="14"/>
          <w:color w:val="000000"/>
        </w:rPr>
        <w:t>Item 15 —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7"/>
          <w:szCs w:val="17"/>
          <w:i w:val="1"/>
          <w:iCs w:val="1"/>
          <w:color w:val="000000"/>
        </w:rPr>
        <w:t>Long-term Debt</w:t>
      </w:r>
      <w:r>
        <w:rPr>
          <w:rFonts w:ascii="Times New Roman" w:cs="Times New Roman" w:eastAsia="Times New Roman" w:hAnsi="Times New Roman"/>
          <w:sz w:val="14"/>
          <w:szCs w:val="14"/>
          <w:color w:val="000000"/>
        </w:rPr>
        <w:t>, to the Consolidated Financial Statements</w:t>
      </w:r>
      <w:r>
        <w:rPr>
          <w:rFonts w:ascii="Times New Roman" w:cs="Times New Roman" w:eastAsia="Times New Roman" w:hAnsi="Times New Roman"/>
          <w:sz w:val="14"/>
          <w:szCs w:val="14"/>
          <w:i w:val="1"/>
          <w:iCs w:val="1"/>
          <w:color w:val="000000"/>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 and Regulatory Matters</w:t>
      </w:r>
    </w:p>
    <w:p>
      <w:pPr>
        <w:spacing w:after="0" w:line="139" w:lineRule="exact"/>
        <w:rPr>
          <w:sz w:val="20"/>
          <w:szCs w:val="20"/>
          <w:color w:val="auto"/>
        </w:rPr>
      </w:pPr>
    </w:p>
    <w:p>
      <w:pPr>
        <w:jc w:val="both"/>
        <w:ind w:firstLine="343"/>
        <w:spacing w:after="0" w:line="294" w:lineRule="auto"/>
        <w:rPr>
          <w:sz w:val="20"/>
          <w:szCs w:val="20"/>
          <w:color w:val="auto"/>
        </w:rPr>
      </w:pPr>
      <w:r>
        <w:rPr>
          <w:rFonts w:ascii="Times New Roman" w:cs="Times New Roman" w:eastAsia="Times New Roman" w:hAnsi="Times New Roman"/>
          <w:sz w:val="14"/>
          <w:szCs w:val="14"/>
          <w:color w:val="auto"/>
        </w:rPr>
        <w:t xml:space="preserve">Details of environmental matters and regulatory matters are presented in Item 1 — </w:t>
      </w:r>
      <w:r>
        <w:rPr>
          <w:rFonts w:ascii="Times New Roman" w:cs="Times New Roman" w:eastAsia="Times New Roman" w:hAnsi="Times New Roman"/>
          <w:sz w:val="14"/>
          <w:szCs w:val="14"/>
          <w:i w:val="1"/>
          <w:iCs w:val="1"/>
          <w:color w:val="auto"/>
        </w:rPr>
        <w:t>Business, Regulatory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Details of some of this information relate to costs that may impact the Company's financial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Trends Affecting Results of Operations and Future Business Performance</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Wind and Solar Resource Availability</w:t>
      </w:r>
    </w:p>
    <w:p>
      <w:pPr>
        <w:spacing w:after="0" w:line="77"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Capital Market Conditions</w:t>
      </w:r>
    </w:p>
    <w:p>
      <w:pPr>
        <w:spacing w:after="0" w:line="205"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The capital markets in general are often subject to volatility that is unrelated to the operating performance of particular companies. The Company’s growth strategy depends on its ability to identify and acquire additional conventional and renewable facilities from NRG and unaffiliated third parties, which will require access to debt and equity financing to complete such acquisitions or replenish capital for future acquisitions. Any broad market fluctuations may affect the Company’s ability to access such capital through debt or equity financings. The Company believes that improved capital market conditions may allow it to access capital in 2017.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Operational Matters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Walnut Creek Forced Outage</w:t>
      </w:r>
    </w:p>
    <w:p>
      <w:pPr>
        <w:spacing w:after="0" w:line="270"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In July and August 2016, Walnut Creek experienced two unrelated outages causing damage to a circuit breaker and a compressor resulting in forced outages on Units 2 and 4, respectively. The Company has undertaken a root cause analysis and is reviewing what is covered by insurance. Unit 2 returned to service on August 10, 2016 and Unit 4 returned to service on September 15, 2016.</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El Segundo Forced Outage</w:t>
      </w:r>
    </w:p>
    <w:p>
      <w:pPr>
        <w:spacing w:after="0" w:line="205" w:lineRule="exact"/>
        <w:rPr>
          <w:sz w:val="20"/>
          <w:szCs w:val="20"/>
          <w:color w:val="auto"/>
        </w:rPr>
      </w:pPr>
    </w:p>
    <w:p>
      <w:pPr>
        <w:ind w:right="240" w:firstLine="321"/>
        <w:spacing w:after="0" w:line="273" w:lineRule="auto"/>
        <w:rPr>
          <w:sz w:val="20"/>
          <w:szCs w:val="20"/>
          <w:color w:val="auto"/>
        </w:rPr>
      </w:pPr>
      <w:r>
        <w:rPr>
          <w:rFonts w:ascii="Times New Roman" w:cs="Times New Roman" w:eastAsia="Times New Roman" w:hAnsi="Times New Roman"/>
          <w:sz w:val="14"/>
          <w:szCs w:val="14"/>
          <w:color w:val="auto"/>
        </w:rPr>
        <w:t>In January 2017, the El Segundo Energy Center began a forced outage on Units 5 and 6 due to increasing vibrations on successive operations at Unit 5. In consultation with the Company’s operations and maintenance service provider, a subsidiary of NRG Energy Inc., the Company elected to replace the rotor on Unit 5. Both Unit 5 and 6 returned to service on February 24, 2017. The Company is reviewing the warranty coverage with the original equipment manufacturer as well as available insurance coverage.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460"/>
          </w:cols>
          <w:pgMar w:left="220" w:top="768" w:right="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2016 compared to 2015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2016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Energy and capacity revenues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 amortization</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Mark-to-market economic hedging activities</w:t>
            </w:r>
          </w:p>
        </w:tc>
        <w:tc>
          <w:tcPr>
            <w:tcW w:w="2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953</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fuels</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Emissions credit amortization</w:t>
            </w:r>
          </w:p>
        </w:tc>
        <w:tc>
          <w:tcPr>
            <w:tcW w:w="2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20" w:type="dxa"/>
            <w:vAlign w:val="bottom"/>
          </w:tcPr>
          <w:p>
            <w:pPr>
              <w:spacing w:after="0"/>
              <w:rPr>
                <w:sz w:val="16"/>
                <w:szCs w:val="16"/>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Impairment losses</w:t>
            </w:r>
          </w:p>
        </w:tc>
        <w:tc>
          <w:tcPr>
            <w:tcW w:w="2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183</w:t>
            </w:r>
          </w:p>
        </w:tc>
        <w:tc>
          <w:tcPr>
            <w:tcW w:w="2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Acquisition-related transaction and integration costs</w:t>
            </w:r>
          </w:p>
        </w:tc>
        <w:tc>
          <w:tcPr>
            <w:tcW w:w="2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631</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170</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322</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Borders>
              <w:top w:val="single" w:sz="8" w:color="auto"/>
            </w:tcBorders>
          </w:tcPr>
          <w:p>
            <w:pPr>
              <w:spacing w:after="0"/>
              <w:rPr>
                <w:sz w:val="15"/>
                <w:szCs w:val="15"/>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20" w:type="dxa"/>
            <w:vAlign w:val="bottom"/>
          </w:tcPr>
          <w:p>
            <w:pPr>
              <w:spacing w:after="0"/>
              <w:rPr>
                <w:sz w:val="16"/>
                <w:szCs w:val="16"/>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7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top w:val="single" w:sz="8" w:color="auto"/>
            </w:tcBorders>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Borders>
              <w:top w:val="single" w:sz="8" w:color="auto"/>
            </w:tcBorders>
          </w:tcPr>
          <w:p>
            <w:pPr>
              <w:spacing w:after="0"/>
              <w:rPr>
                <w:sz w:val="15"/>
                <w:szCs w:val="15"/>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NRG Yield LLC</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7"/>
          </w:tcPr>
          <w:p>
            <w:pPr>
              <w:ind w:left="2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209"/>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2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2015</w:t>
            </w:r>
          </w:p>
        </w:tc>
        <w:tc>
          <w:tcPr>
            <w:tcW w:w="20" w:type="dxa"/>
            <w:vAlign w:val="bottom"/>
          </w:tcPr>
          <w:p>
            <w:pPr>
              <w:spacing w:after="0"/>
              <w:rPr>
                <w:sz w:val="18"/>
                <w:szCs w:val="18"/>
                <w:color w:val="auto"/>
              </w:rPr>
            </w:pPr>
          </w:p>
        </w:tc>
      </w:tr>
      <w:tr>
        <w:trPr>
          <w:trHeight w:val="209"/>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Renewables MWh generated/sold (in thousands) </w:t>
            </w:r>
            <w:r>
              <w:rPr>
                <w:rFonts w:ascii="Times New Roman" w:cs="Times New Roman" w:eastAsia="Times New Roman" w:hAnsi="Times New Roman"/>
                <w:sz w:val="19"/>
                <w:szCs w:val="19"/>
                <w:color w:val="auto"/>
                <w:vertAlign w:val="superscript"/>
              </w:rPr>
              <w:t>(a)</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7,236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6,412</w:t>
            </w:r>
          </w:p>
        </w:tc>
        <w:tc>
          <w:tcPr>
            <w:tcW w:w="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80" w:type="dxa"/>
            <w:vAlign w:val="bottom"/>
            <w:gridSpan w:val="2"/>
          </w:tcPr>
          <w:p>
            <w:pPr>
              <w:spacing w:after="0" w:line="214" w:lineRule="exact"/>
              <w:rPr>
                <w:sz w:val="20"/>
                <w:szCs w:val="20"/>
                <w:color w:val="auto"/>
              </w:rPr>
            </w:pPr>
            <w:r>
              <w:rPr>
                <w:rFonts w:ascii="Times New Roman" w:cs="Times New Roman" w:eastAsia="Times New Roman" w:hAnsi="Times New Roman"/>
                <w:sz w:val="14"/>
                <w:szCs w:val="14"/>
                <w:color w:val="auto"/>
              </w:rPr>
              <w:t xml:space="preserve">Conventional MWh generated (in thousands) </w:t>
            </w:r>
            <w:r>
              <w:rPr>
                <w:rFonts w:ascii="Times New Roman" w:cs="Times New Roman" w:eastAsia="Times New Roman" w:hAnsi="Times New Roman"/>
                <w:sz w:val="19"/>
                <w:szCs w:val="19"/>
                <w:color w:val="auto"/>
                <w:vertAlign w:val="superscript"/>
              </w:rPr>
              <w:t>(a)(b)</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1,697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2,487</w:t>
            </w:r>
          </w:p>
        </w:tc>
        <w:tc>
          <w:tcPr>
            <w:tcW w:w="20" w:type="dxa"/>
            <w:vAlign w:val="bottom"/>
          </w:tcPr>
          <w:p>
            <w:pPr>
              <w:spacing w:after="0"/>
              <w:rPr>
                <w:sz w:val="18"/>
                <w:szCs w:val="18"/>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Thermal MWt sold (in thousands)</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1,966</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1,946</w:t>
            </w:r>
          </w:p>
        </w:tc>
        <w:tc>
          <w:tcPr>
            <w:tcW w:w="20" w:type="dxa"/>
            <w:vAlign w:val="bottom"/>
          </w:tcPr>
          <w:p>
            <w:pPr>
              <w:spacing w:after="0"/>
              <w:rPr>
                <w:sz w:val="16"/>
                <w:szCs w:val="16"/>
                <w:color w:val="auto"/>
              </w:rPr>
            </w:pPr>
          </w:p>
        </w:tc>
      </w:tr>
      <w:tr>
        <w:trPr>
          <w:trHeight w:val="271"/>
        </w:trPr>
        <w:tc>
          <w:tcPr>
            <w:tcW w:w="20" w:type="dxa"/>
            <w:vAlign w:val="bottom"/>
          </w:tcPr>
          <w:p>
            <w:pPr>
              <w:spacing w:after="0"/>
              <w:rPr>
                <w:sz w:val="23"/>
                <w:szCs w:val="23"/>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Thermal MWh sold (in thousands) </w:t>
            </w:r>
            <w:r>
              <w:rPr>
                <w:rFonts w:ascii="Times New Roman" w:cs="Times New Roman" w:eastAsia="Times New Roman" w:hAnsi="Times New Roman"/>
                <w:sz w:val="19"/>
                <w:szCs w:val="19"/>
                <w:color w:val="auto"/>
                <w:vertAlign w:val="superscript"/>
              </w:rPr>
              <w:t>(c)</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4154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153" w:lineRule="exact"/>
        <w:rPr>
          <w:sz w:val="20"/>
          <w:szCs w:val="20"/>
          <w:color w:val="auto"/>
        </w:rPr>
      </w:pPr>
    </w:p>
    <w:p>
      <w:pPr>
        <w:ind w:left="100" w:hanging="94"/>
        <w:spacing w:after="0"/>
        <w:tabs>
          <w:tab w:leader="none" w:pos="100" w:val="left"/>
        </w:tabs>
        <w:numPr>
          <w:ilvl w:val="0"/>
          <w:numId w:val="1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3" w:lineRule="exact"/>
        <w:rPr>
          <w:rFonts w:ascii="Times New Roman" w:cs="Times New Roman" w:eastAsia="Times New Roman" w:hAnsi="Times New Roman"/>
          <w:sz w:val="7"/>
          <w:szCs w:val="7"/>
          <w:color w:val="auto"/>
        </w:rPr>
      </w:pPr>
    </w:p>
    <w:p>
      <w:pPr>
        <w:ind w:left="100" w:hanging="94"/>
        <w:spacing w:after="0"/>
        <w:tabs>
          <w:tab w:leader="none" w:pos="100" w:val="left"/>
        </w:tabs>
        <w:numPr>
          <w:ilvl w:val="0"/>
          <w:numId w:val="1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Volumes generated are not sold as the Conventional facilities sell capacity rather than energy.</w:t>
      </w:r>
    </w:p>
    <w:p>
      <w:pPr>
        <w:spacing w:after="0" w:line="2" w:lineRule="exact"/>
        <w:rPr>
          <w:rFonts w:ascii="Times New Roman" w:cs="Times New Roman" w:eastAsia="Times New Roman" w:hAnsi="Times New Roman"/>
          <w:sz w:val="7"/>
          <w:szCs w:val="7"/>
          <w:color w:val="auto"/>
        </w:rPr>
      </w:pPr>
    </w:p>
    <w:p>
      <w:pPr>
        <w:ind w:right="40" w:firstLine="6"/>
        <w:spacing w:after="0" w:line="261" w:lineRule="auto"/>
        <w:tabs>
          <w:tab w:leader="none" w:pos="97" w:val="left"/>
        </w:tabs>
        <w:numPr>
          <w:ilvl w:val="0"/>
          <w:numId w:val="1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MWh sold do not include 204 MWh generated by NRG Dover, a subsidiary of the Company, under the PPA with NRG Power Marketing during the year ended December 31, 2016, as further described in Item 15 — Note 13, </w:t>
      </w:r>
      <w:r>
        <w:rPr>
          <w:rFonts w:ascii="Times New Roman" w:cs="Times New Roman" w:eastAsia="Times New Roman" w:hAnsi="Times New Roman"/>
          <w:sz w:val="11"/>
          <w:szCs w:val="11"/>
          <w:i w:val="1"/>
          <w:iCs w:val="1"/>
          <w:color w:val="auto"/>
        </w:rPr>
        <w:t>Related Party</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Transactions</w:t>
      </w:r>
      <w:r>
        <w:rPr>
          <w:rFonts w:ascii="Times New Roman" w:cs="Times New Roman" w:eastAsia="Times New Roman" w:hAnsi="Times New Roman"/>
          <w:sz w:val="11"/>
          <w:szCs w:val="11"/>
          <w:color w:val="auto"/>
        </w:rPr>
        <w:t>, to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020"/>
          </w:cols>
          <w:pgMar w:left="220" w:top="766" w:right="659" w:bottom="1440" w:gutter="0" w:footer="0" w:header="0"/>
        </w:sectPr>
      </w:pPr>
    </w:p>
    <w:bookmarkStart w:id="37" w:name="page38"/>
    <w:bookmarkEnd w:id="37"/>
    <w:p>
      <w:pPr>
        <w:ind w:right="5260"/>
        <w:spacing w:after="0" w:line="448" w:lineRule="auto"/>
        <w:rPr>
          <w:sz w:val="20"/>
          <w:szCs w:val="20"/>
          <w:color w:val="auto"/>
        </w:rPr>
      </w:pPr>
      <w:r>
        <w:rPr>
          <w:rFonts w:ascii="Times New Roman" w:cs="Times New Roman" w:eastAsia="Times New Roman" w:hAnsi="Times New Roman"/>
          <w:sz w:val="14"/>
          <w:szCs w:val="14"/>
          <w:b w:val="1"/>
          <w:bCs w:val="1"/>
          <w:color w:val="auto"/>
        </w:rPr>
        <w:t xml:space="preserve">Management’s discussion of the results of operations for the years ended December 31, 2016 and 2015 </w:t>
      </w:r>
      <w:r>
        <w:rPr>
          <w:rFonts w:ascii="Times New Roman" w:cs="Times New Roman" w:eastAsia="Times New Roman" w:hAnsi="Times New Roman"/>
          <w:sz w:val="14"/>
          <w:szCs w:val="14"/>
          <w:b w:val="1"/>
          <w:bCs w:val="1"/>
          <w:i w:val="1"/>
          <w:iCs w:val="1"/>
          <w:color w:val="auto"/>
        </w:rPr>
        <w:t>Gross Margin</w:t>
      </w:r>
    </w:p>
    <w:p>
      <w:pPr>
        <w:spacing w:after="0" w:line="1"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Gross Margin</w:t>
      </w:r>
    </w:p>
    <w:p>
      <w:pPr>
        <w:spacing w:after="0" w:line="143" w:lineRule="exact"/>
        <w:rPr>
          <w:sz w:val="20"/>
          <w:szCs w:val="20"/>
          <w:color w:val="auto"/>
        </w:rPr>
      </w:pPr>
    </w:p>
    <w:p>
      <w:pPr>
        <w:jc w:val="both"/>
        <w:ind w:firstLine="514"/>
        <w:spacing w:after="0" w:line="262" w:lineRule="auto"/>
        <w:rPr>
          <w:sz w:val="20"/>
          <w:szCs w:val="20"/>
          <w:color w:val="auto"/>
        </w:rPr>
      </w:pPr>
      <w:r>
        <w:rPr>
          <w:rFonts w:ascii="Times New Roman" w:cs="Times New Roman" w:eastAsia="Times New Roman" w:hAnsi="Times New Roman"/>
          <w:sz w:val="14"/>
          <w:szCs w:val="14"/>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below tables present the composition of gross margin, as well as the reconciliation to economic gross margin for the years ended December 31, 2016 and 2015: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Conventional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2016</w:t>
            </w:r>
          </w:p>
        </w:tc>
        <w:tc>
          <w:tcPr>
            <w:tcW w:w="20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Energy and capacity revenues</w:t>
            </w:r>
          </w:p>
        </w:tc>
        <w:tc>
          <w:tcPr>
            <w:tcW w:w="3060" w:type="dxa"/>
            <w:vAlign w:val="bottom"/>
            <w:gridSpan w:val="2"/>
          </w:tcPr>
          <w:p>
            <w:pPr>
              <w:jc w:val="right"/>
              <w:ind w:right="88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579</w:t>
            </w:r>
          </w:p>
        </w:tc>
        <w:tc>
          <w:tcPr>
            <w:tcW w:w="120" w:type="dxa"/>
            <w:vAlign w:val="bottom"/>
          </w:tcPr>
          <w:p>
            <w:pPr>
              <w:spacing w:after="0"/>
              <w:rPr>
                <w:sz w:val="16"/>
                <w:szCs w:val="16"/>
                <w:color w:val="auto"/>
              </w:rPr>
            </w:pPr>
          </w:p>
        </w:tc>
        <w:tc>
          <w:tcPr>
            <w:tcW w:w="80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fuels</w:t>
            </w:r>
          </w:p>
        </w:tc>
        <w:tc>
          <w:tcPr>
            <w:tcW w:w="20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amortization</w:t>
            </w:r>
          </w:p>
        </w:tc>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Emissions credit amortization</w:t>
            </w:r>
          </w:p>
        </w:tc>
        <w:tc>
          <w:tcPr>
            <w:tcW w:w="20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3"/>
        </w:trPr>
        <w:tc>
          <w:tcPr>
            <w:tcW w:w="4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0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22"/>
        </w:trPr>
        <w:tc>
          <w:tcPr>
            <w:tcW w:w="42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amortization</w:t>
            </w:r>
          </w:p>
        </w:tc>
        <w:tc>
          <w:tcPr>
            <w:tcW w:w="20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Emissions credit amortization</w:t>
            </w:r>
          </w:p>
        </w:tc>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
        </w:trPr>
        <w:tc>
          <w:tcPr>
            <w:tcW w:w="42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Economic gross margin</w:t>
            </w:r>
          </w:p>
        </w:tc>
        <w:tc>
          <w:tcPr>
            <w:tcW w:w="306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579</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2015</w:t>
            </w:r>
          </w:p>
        </w:tc>
        <w:tc>
          <w:tcPr>
            <w:tcW w:w="20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Energy and capacity revenues</w:t>
            </w:r>
          </w:p>
        </w:tc>
        <w:tc>
          <w:tcPr>
            <w:tcW w:w="3060" w:type="dxa"/>
            <w:vAlign w:val="bottom"/>
            <w:gridSpan w:val="2"/>
          </w:tcPr>
          <w:p>
            <w:pPr>
              <w:jc w:val="right"/>
              <w:ind w:right="88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tcPr>
          <w:p>
            <w:pPr>
              <w:spacing w:after="0"/>
              <w:rPr>
                <w:sz w:val="16"/>
                <w:szCs w:val="16"/>
                <w:color w:val="auto"/>
              </w:rPr>
            </w:pPr>
          </w:p>
        </w:tc>
        <w:tc>
          <w:tcPr>
            <w:tcW w:w="80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fuels</w:t>
            </w:r>
          </w:p>
        </w:tc>
        <w:tc>
          <w:tcPr>
            <w:tcW w:w="20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amortization</w:t>
            </w:r>
          </w:p>
        </w:tc>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Mark-to-market for economic hedging activities</w:t>
            </w:r>
          </w:p>
        </w:tc>
        <w:tc>
          <w:tcPr>
            <w:tcW w:w="20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3"/>
        </w:trPr>
        <w:tc>
          <w:tcPr>
            <w:tcW w:w="4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0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22"/>
        </w:trPr>
        <w:tc>
          <w:tcPr>
            <w:tcW w:w="42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amortization</w:t>
            </w:r>
          </w:p>
        </w:tc>
        <w:tc>
          <w:tcPr>
            <w:tcW w:w="20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Mark-to-market for economic hedging activities</w:t>
            </w:r>
          </w:p>
        </w:tc>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
        </w:trPr>
        <w:tc>
          <w:tcPr>
            <w:tcW w:w="42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Economic gross margin</w:t>
            </w:r>
          </w:p>
        </w:tc>
        <w:tc>
          <w:tcPr>
            <w:tcW w:w="306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429"/>
              <w:spacing w:after="0"/>
              <w:rPr>
                <w:sz w:val="20"/>
                <w:szCs w:val="20"/>
                <w:color w:val="auto"/>
              </w:rPr>
            </w:pPr>
            <w:r>
              <w:rPr>
                <w:rFonts w:ascii="Times New Roman" w:cs="Times New Roman" w:eastAsia="Times New Roman" w:hAnsi="Times New Roman"/>
                <w:sz w:val="14"/>
                <w:szCs w:val="14"/>
                <w:color w:val="auto"/>
              </w:rPr>
              <w:t>38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2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66" w:right="21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4"/>
          <w:szCs w:val="14"/>
          <w:color w:val="auto"/>
        </w:rPr>
        <w:t>Gross margin increased by $72 million and economic gross margin increased by $90 million during the year ended December 31, 2016, compared to the same period in 2015, primarily due to:</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3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32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26% increase in volume generated at the Alta wind projects, as well as a 7% increase in generation at other Wind projects. Additionally, there was an increase of $4 million in</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economic gross margin due to the acquisition of Spring Canyon in May 2015</w:t>
            </w:r>
          </w:p>
        </w:tc>
        <w:tc>
          <w:tcPr>
            <w:tcW w:w="1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2"/>
        </w:trPr>
        <w:tc>
          <w:tcPr>
            <w:tcW w:w="1032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Increase in average price per MWh due to higher pricing in the Alta X and XI PPAs which were effective in January 2016, compared with merchant prices in 2015</w:t>
            </w:r>
          </w:p>
        </w:tc>
        <w:tc>
          <w:tcPr>
            <w:tcW w:w="28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2"/>
        </w:trPr>
        <w:tc>
          <w:tcPr>
            <w:tcW w:w="6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9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Higher sales volume in 2016 as a result of milder weather in 2015, as well as the completion of a project for a new customer in the second half of the year</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
        </w:trPr>
        <w:tc>
          <w:tcPr>
            <w:tcW w:w="6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32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Lower revenues at Walnut Creek as a result of forced outages in 2016, partially offset by higher revenues at El Segundo in 2016 as a result of forced outages in 2015</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
        </w:trPr>
        <w:tc>
          <w:tcPr>
            <w:tcW w:w="6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Increase in economic gross margin</w:t>
            </w:r>
          </w:p>
        </w:tc>
        <w:tc>
          <w:tcPr>
            <w:tcW w:w="1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2"/>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Higher contract amortization primarily for the Alta X and XI PPAs, which began in January 2016</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
        </w:trPr>
        <w:tc>
          <w:tcPr>
            <w:tcW w:w="103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32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Emissions credit amortization of NOx allowances at Walnut Creek and El Segundo in compliance with amendments to the Regional Clean Air Incentives Market program</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losses on forward contracts prior to the start of the PPA for Elbow Creek which began October 2015</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
        </w:trPr>
        <w:tc>
          <w:tcPr>
            <w:tcW w:w="6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63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Increase in gross margin</w:t>
            </w: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72</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Expense</w:t>
            </w: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63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Conventional</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9"/>
        </w:trPr>
        <w:tc>
          <w:tcPr>
            <w:tcW w:w="6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2016</w:t>
            </w:r>
          </w:p>
        </w:tc>
        <w:tc>
          <w:tcPr>
            <w:tcW w:w="108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w:t>
            </w:r>
          </w:p>
        </w:tc>
        <w:tc>
          <w:tcPr>
            <w:tcW w:w="3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94</w:t>
            </w:r>
          </w:p>
        </w:tc>
        <w:tc>
          <w:tcPr>
            <w:tcW w:w="3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48</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92"/>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2015</w:t>
            </w:r>
          </w:p>
        </w:tc>
        <w:tc>
          <w:tcPr>
            <w:tcW w:w="1080" w:type="dxa"/>
            <w:vAlign w:val="bottom"/>
          </w:tcPr>
          <w:p>
            <w:pPr>
              <w:spacing w:after="0"/>
              <w:rPr>
                <w:sz w:val="16"/>
                <w:szCs w:val="16"/>
                <w:color w:val="auto"/>
              </w:rPr>
            </w:pP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tcPr>
          <w:p>
            <w:pPr>
              <w:spacing w:after="0"/>
              <w:rPr>
                <w:sz w:val="16"/>
                <w:szCs w:val="16"/>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97</w:t>
            </w:r>
          </w:p>
        </w:tc>
        <w:tc>
          <w:tcPr>
            <w:tcW w:w="340" w:type="dxa"/>
            <w:vAlign w:val="bottom"/>
          </w:tcPr>
          <w:p>
            <w:pPr>
              <w:spacing w:after="0"/>
              <w:rPr>
                <w:sz w:val="16"/>
                <w:szCs w:val="16"/>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51</w:t>
            </w:r>
          </w:p>
        </w:tc>
        <w:tc>
          <w:tcPr>
            <w:tcW w:w="28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Operations and maintenance expense decreased by $4 million during the year ended December 31, 2016, compared to the same period in 2015, due to:</w:t>
      </w:r>
    </w:p>
    <w:p>
      <w:pPr>
        <w:spacing w:after="0" w:line="18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7275195" cy="135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5195" cy="135890"/>
                    </a:xfrm>
                    <a:prstGeom prst="rect">
                      <a:avLst/>
                    </a:prstGeom>
                    <a:noFill/>
                  </pic:spPr>
                </pic:pic>
              </a:graphicData>
            </a:graphic>
          </wp:anchor>
        </w:drawing>
      </w:r>
    </w:p>
    <w:p>
      <w:pPr>
        <w:sectPr>
          <w:pgSz w:w="11900" w:h="16838" w:orient="portrait"/>
          <w:cols w:equalWidth="0" w:num="1">
            <w:col w:w="11460"/>
          </w:cols>
          <w:pgMar w:left="220" w:top="768" w:right="219" w:bottom="1440" w:gutter="0" w:footer="0" w:header="0"/>
        </w:sectPr>
      </w:pPr>
    </w:p>
    <w:p>
      <w:pPr>
        <w:spacing w:after="0" w:line="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Increase in Conventional segment primarily due to Walnut Creek forced outages in 2016, compared to the forced outages at El Segundo in 2015</w:t>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Decrease in Renewables segment primarily due to insurance proceeds received at Wildorado in 2016 in connection with a 2014 wind outage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275195" cy="135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5195" cy="135890"/>
                    </a:xfrm>
                    <a:prstGeom prst="rect">
                      <a:avLst/>
                    </a:prstGeom>
                    <a:noFill/>
                  </pic:spPr>
                </pic:pic>
              </a:graphicData>
            </a:graphic>
          </wp:anchor>
        </w:drawing>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Decrease in Thermal segment primarily due to acceleration of maintenance work on thermal facilities into 2015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Costs of Operations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932" w:hanging="932"/>
        <w:spacing w:after="0"/>
        <w:tabs>
          <w:tab w:leader="none" w:pos="9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53" w:lineRule="exact"/>
        <w:rPr>
          <w:rFonts w:ascii="Times New Roman" w:cs="Times New Roman" w:eastAsia="Times New Roman" w:hAnsi="Times New Roman"/>
          <w:sz w:val="14"/>
          <w:szCs w:val="14"/>
          <w:color w:val="auto"/>
        </w:rPr>
      </w:pPr>
    </w:p>
    <w:p>
      <w:pPr>
        <w:ind w:left="89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(3)</w:t>
      </w:r>
    </w:p>
    <w:p>
      <w:pPr>
        <w:spacing w:after="0" w:line="64" w:lineRule="exact"/>
        <w:rPr>
          <w:rFonts w:ascii="Times New Roman" w:cs="Times New Roman" w:eastAsia="Times New Roman" w:hAnsi="Times New Roman"/>
          <w:sz w:val="14"/>
          <w:szCs w:val="14"/>
          <w:color w:val="auto"/>
        </w:rPr>
      </w:pPr>
    </w:p>
    <w:p>
      <w:pPr>
        <w:ind w:left="89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36830</wp:posOffset>
            </wp:positionV>
            <wp:extent cx="72136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360" cy="6985"/>
                    </a:xfrm>
                    <a:prstGeom prst="rect">
                      <a:avLst/>
                    </a:prstGeom>
                    <a:noFill/>
                  </pic:spPr>
                </pic:pic>
              </a:graphicData>
            </a:graphic>
          </wp:anchor>
        </w:drawing>
      </w:r>
    </w:p>
    <w:p>
      <w:pPr>
        <w:spacing w:after="0" w:line="56" w:lineRule="exact"/>
        <w:rPr>
          <w:sz w:val="20"/>
          <w:szCs w:val="20"/>
          <w:color w:val="auto"/>
        </w:rPr>
      </w:pPr>
    </w:p>
    <w:p>
      <w:pPr>
        <w:ind w:left="892" w:hanging="892"/>
        <w:spacing w:after="0"/>
        <w:tabs>
          <w:tab w:leader="none" w:pos="89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36830</wp:posOffset>
            </wp:positionV>
            <wp:extent cx="72136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360" cy="698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50800</wp:posOffset>
            </wp:positionV>
            <wp:extent cx="72136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360" cy="6985"/>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9628" w:space="720"/>
            <w:col w:w="1112"/>
          </w:cols>
          <w:pgMar w:left="220" w:top="768" w:right="219" w:bottom="1440" w:gutter="0" w:footer="0" w:header="0"/>
          <w:type w:val="continuous"/>
        </w:sectPr>
      </w:pPr>
    </w:p>
    <w:p>
      <w:pPr>
        <w:ind w:firstLine="321"/>
        <w:spacing w:after="0" w:line="291" w:lineRule="auto"/>
        <w:rPr>
          <w:sz w:val="20"/>
          <w:szCs w:val="20"/>
          <w:color w:val="auto"/>
        </w:rPr>
      </w:pPr>
      <w:r>
        <w:rPr>
          <w:rFonts w:ascii="Times New Roman" w:cs="Times New Roman" w:eastAsia="Times New Roman" w:hAnsi="Times New Roman"/>
          <w:sz w:val="14"/>
          <w:szCs w:val="14"/>
          <w:color w:val="auto"/>
        </w:rPr>
        <w:t>Other costs of operations decreased by $7 million during the year ended December 31, 2016, compared to the same period in 2015, primarily due to lower assessments for property taxes at Alta X and XI and NRG Wind TE Holdco.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43" w:lineRule="exact"/>
        <w:rPr>
          <w:sz w:val="20"/>
          <w:szCs w:val="20"/>
          <w:color w:val="auto"/>
        </w:rPr>
      </w:pPr>
    </w:p>
    <w:p>
      <w:pPr>
        <w:ind w:firstLine="321"/>
        <w:spacing w:after="0" w:line="291" w:lineRule="auto"/>
        <w:rPr>
          <w:sz w:val="20"/>
          <w:szCs w:val="20"/>
          <w:color w:val="auto"/>
        </w:rPr>
      </w:pPr>
      <w:r>
        <w:rPr>
          <w:rFonts w:ascii="Times New Roman" w:cs="Times New Roman" w:eastAsia="Times New Roman" w:hAnsi="Times New Roman"/>
          <w:sz w:val="14"/>
          <w:szCs w:val="14"/>
          <w:color w:val="auto"/>
        </w:rPr>
        <w:t>General and administrative expenses increased by $4 million for the year ended December 31, 2016 compared to the same period in 2015, primarily due to new executive compensation in 2016, and an increase in base management fee for the Management Services Agreement with NRG in connection with the acquisition of the Drop Down Assets.</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460"/>
          </w:cols>
          <w:pgMar w:left="220" w:top="768" w:right="2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Losses</w:t>
      </w:r>
    </w:p>
    <w:p>
      <w:pPr>
        <w:spacing w:after="0" w:line="14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color w:val="auto"/>
        </w:rPr>
        <w:t xml:space="preserve">For the year ended December 31, 2016, the Company recorded impairment losses of $183 million, due to the impairments of property, plant and equipment for Elbow Creek, Goat Wind, and Forward, as further described in Item 15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Note 9, </w:t>
      </w:r>
      <w:r>
        <w:rPr>
          <w:rFonts w:ascii="Times New Roman" w:cs="Times New Roman" w:eastAsia="Times New Roman" w:hAnsi="Times New Roman"/>
          <w:sz w:val="14"/>
          <w:szCs w:val="14"/>
          <w:i w:val="1"/>
          <w:iCs w:val="1"/>
          <w:color w:val="auto"/>
        </w:rPr>
        <w:t>Asset Impairments</w:t>
      </w:r>
      <w:r>
        <w:rPr>
          <w:rFonts w:ascii="Times New Roman" w:cs="Times New Roman" w:eastAsia="Times New Roman" w:hAnsi="Times New Roman"/>
          <w:sz w:val="14"/>
          <w:szCs w:val="14"/>
          <w:color w:val="auto"/>
        </w:rPr>
        <w:t>, to the Consolidated Financial Statements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as well as in </w:t>
      </w:r>
      <w:r>
        <w:rPr>
          <w:rFonts w:ascii="Times New Roman" w:cs="Times New Roman" w:eastAsia="Times New Roman" w:hAnsi="Times New Roman"/>
          <w:sz w:val="14"/>
          <w:szCs w:val="14"/>
          <w:i w:val="1"/>
          <w:iCs w:val="1"/>
          <w:color w:val="auto"/>
        </w:rPr>
        <w:t>Critical Accounting Policies and Estimates</w:t>
      </w:r>
      <w:r>
        <w:rPr>
          <w:rFonts w:ascii="Times New Roman" w:cs="Times New Roman" w:eastAsia="Times New Roman" w:hAnsi="Times New Roman"/>
          <w:sz w:val="14"/>
          <w:szCs w:val="14"/>
          <w:color w:val="auto"/>
        </w:rPr>
        <w:t xml:space="preserve"> in this Item 7 below. Because the projects were acquired from NRG and related to interests under common control by NRG, the property, plant and equipment for these assets was recorded at historical cost of $298 million rather than estimated fair value of $132 million at the acquisition date. The three projects were acquired as part of the November 2015 Drop Down Assets. As discussed in Item 15 — Note 3, Business Acquisitions, the historical cost for November 2015 Drop Down Assets was $369 million for the net assets, which was higher than the fair value paid of $207 million. The difference between the historical cost of net assets and the fair value paid for the November 2015 Drop Down Assets was recorded to contributed capital on the Company’s consolidated balance sheet.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Debt Extinguishment</w:t>
      </w:r>
    </w:p>
    <w:p>
      <w:pPr>
        <w:spacing w:after="0" w:line="14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 xml:space="preserve">A loss on debt extinguishment of $9 million was recorded for the year ended December 31, 2015, driven by the refinancing of the El Segundo credit facility and the termination of the interest rate swaps for Alta Wind X and XI in connection with the sale of an economic interest in Alta TE Holdco to a financial institution as further described in Item 15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Note 5, </w:t>
      </w:r>
      <w:r>
        <w:rPr>
          <w:rFonts w:ascii="Times New Roman" w:cs="Times New Roman" w:eastAsia="Times New Roman" w:hAnsi="Times New Roman"/>
          <w:sz w:val="14"/>
          <w:szCs w:val="14"/>
          <w:i w:val="1"/>
          <w:iCs w:val="1"/>
          <w:color w:val="auto"/>
        </w:rPr>
        <w:t>Investments Accounted for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the Equity Method and Variable Interest Entities, </w:t>
      </w:r>
      <w:r>
        <w:rPr>
          <w:rFonts w:ascii="Times New Roman" w:cs="Times New Roman" w:eastAsia="Times New Roman" w:hAnsi="Times New Roman"/>
          <w:sz w:val="14"/>
          <w:szCs w:val="14"/>
          <w:color w:val="auto"/>
        </w:rPr>
        <w:t>to the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 Earnings of Unconsolidated Affiliates</w:t>
      </w:r>
    </w:p>
    <w:p>
      <w:pPr>
        <w:spacing w:after="0" w:line="143"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Equity in earnings of unconsolidated affiliates increased by $11 million during the year ended December 31, 2016, compared to the same period in 2015, primarily due to an increase in equity earnings from Desert Sunlight, which was acquired in June 2015, DGPV Holdco 1 and RPV Holdco, partially offset by losses from Elkhorn Ridge.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increased by $8 million during the year ended December 31, 2016, compared to the same period in 2015 due to:</w:t>
      </w: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154"/>
        </w:trPr>
        <w:tc>
          <w:tcPr>
            <w:tcW w:w="992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Pr>
          <w:p>
            <w:pPr>
              <w:spacing w:after="0"/>
              <w:rPr>
                <w:sz w:val="13"/>
                <w:szCs w:val="13"/>
                <w:color w:val="auto"/>
              </w:rPr>
            </w:pPr>
          </w:p>
        </w:tc>
      </w:tr>
      <w:tr>
        <w:trPr>
          <w:trHeight w:val="199"/>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the fair value of interest rate swaps primarily acquired with the January 2015 Drop Down Assets and November 2015 Drop Down Assets</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r>
      <w:tr>
        <w:trPr>
          <w:trHeight w:val="192"/>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2026 Senior Notes in August 2016</w:t>
            </w:r>
          </w:p>
        </w:tc>
        <w:tc>
          <w:tcPr>
            <w:tcW w:w="780" w:type="dxa"/>
            <w:vAlign w:val="bottom"/>
          </w:tcPr>
          <w:p>
            <w:pPr>
              <w:spacing w:after="0"/>
              <w:rPr>
                <w:sz w:val="16"/>
                <w:szCs w:val="16"/>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r>
      <w:tr>
        <w:trPr>
          <w:trHeight w:val="22"/>
        </w:trPr>
        <w:tc>
          <w:tcPr>
            <w:tcW w:w="9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due to intercompany debt issued with Yield, Inc. in 2015, due 2020</w:t>
            </w:r>
          </w:p>
        </w:tc>
        <w:tc>
          <w:tcPr>
            <w:tcW w:w="7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r>
      <w:tr>
        <w:trPr>
          <w:trHeight w:val="192"/>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2037 CVSR Holdco Notes in July 2016</w:t>
            </w:r>
          </w:p>
        </w:tc>
        <w:tc>
          <w:tcPr>
            <w:tcW w:w="780" w:type="dxa"/>
            <w:vAlign w:val="bottom"/>
          </w:tcPr>
          <w:p>
            <w:pPr>
              <w:spacing w:after="0"/>
              <w:rPr>
                <w:sz w:val="16"/>
                <w:szCs w:val="16"/>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9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Higher revolving credit facility borrowings in 2016</w:t>
            </w:r>
          </w:p>
        </w:tc>
        <w:tc>
          <w:tcPr>
            <w:tcW w:w="7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r>
      <w:tr>
        <w:trPr>
          <w:trHeight w:val="192"/>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Repricing of project-level financing arrangements and lower principal balances</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2"/>
        </w:trPr>
        <w:tc>
          <w:tcPr>
            <w:tcW w:w="9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0"/>
        </w:trPr>
        <w:tc>
          <w:tcPr>
            <w:tcW w:w="99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Attributable to Noncontrolling Interests</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For the year ended December 31, 2016, the Company had a loss of $31 million attributable to NRG's 25% ownership of the Class B interests in NRG Wind TE Holdco and a loss of $111 million attributable to noncontrolling interests with respect to its tax equity financing arrangements and the application of the HLBV method. For the year ended December 31, 2015, the Company had income of $11 million attributable to NRG's 25% ownership of the Class B interests in NRG Wind TE Holdco and a loss of $62 million attributable to noncontrolling interest with respect to its tax equity financing arrangements and the application of the HLBV method.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460"/>
          </w:cols>
          <w:pgMar w:left="220" w:top="764" w:right="219" w:bottom="1440" w:gutter="0" w:footer="0" w:header="0"/>
        </w:sectPr>
      </w:pPr>
    </w:p>
    <w:bookmarkStart w:id="40" w:name="page41"/>
    <w:bookmarkEnd w:id="40"/>
    <w:p>
      <w:pPr>
        <w:ind w:left="200"/>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2015 compared to 2014</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7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77"/>
        </w:trPr>
        <w:tc>
          <w:tcPr>
            <w:tcW w:w="20" w:type="dxa"/>
            <w:vAlign w:val="bottom"/>
            <w:shd w:val="clear" w:color="auto" w:fill="CCEEFF"/>
          </w:tcPr>
          <w:p>
            <w:pPr>
              <w:spacing w:after="0"/>
              <w:rPr>
                <w:sz w:val="15"/>
                <w:szCs w:val="15"/>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2014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7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Energy and capacity revenues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1,009</w:t>
            </w:r>
          </w:p>
        </w:tc>
        <w:tc>
          <w:tcPr>
            <w:tcW w:w="380" w:type="dxa"/>
            <w:vAlign w:val="bottom"/>
            <w:tcBorders>
              <w:bottom w:val="single" w:sz="8" w:color="CCEEFF"/>
            </w:tcBorders>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154</w:t>
            </w:r>
          </w:p>
        </w:tc>
      </w:tr>
      <w:tr>
        <w:trPr>
          <w:trHeight w:val="192"/>
        </w:trPr>
        <w:tc>
          <w:tcPr>
            <w:tcW w:w="20" w:type="dxa"/>
            <w:vAlign w:val="bottom"/>
          </w:tcPr>
          <w:p>
            <w:pPr>
              <w:spacing w:after="0"/>
              <w:rPr>
                <w:sz w:val="16"/>
                <w:szCs w:val="16"/>
                <w:color w:val="auto"/>
              </w:rPr>
            </w:pPr>
          </w:p>
        </w:tc>
        <w:tc>
          <w:tcPr>
            <w:tcW w:w="7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Contract amortization</w:t>
            </w:r>
          </w:p>
        </w:tc>
        <w:tc>
          <w:tcPr>
            <w:tcW w:w="28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Mark-to-market economic hedging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20" w:type="dxa"/>
            <w:vAlign w:val="bottom"/>
          </w:tcPr>
          <w:p>
            <w:pPr>
              <w:spacing w:after="0"/>
              <w:rPr>
                <w:sz w:val="15"/>
                <w:szCs w:val="15"/>
                <w:color w:val="auto"/>
              </w:rPr>
            </w:pPr>
          </w:p>
        </w:tc>
        <w:tc>
          <w:tcPr>
            <w:tcW w:w="77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fuels</w:t>
            </w:r>
          </w:p>
        </w:tc>
        <w:tc>
          <w:tcPr>
            <w:tcW w:w="28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38</w:t>
            </w:r>
          </w:p>
        </w:tc>
      </w:tr>
      <w:tr>
        <w:trPr>
          <w:trHeight w:val="192"/>
        </w:trPr>
        <w:tc>
          <w:tcPr>
            <w:tcW w:w="20" w:type="dxa"/>
            <w:vAlign w:val="bottom"/>
          </w:tcPr>
          <w:p>
            <w:pPr>
              <w:spacing w:after="0"/>
              <w:rPr>
                <w:sz w:val="16"/>
                <w:szCs w:val="16"/>
                <w:color w:val="auto"/>
              </w:rPr>
            </w:pPr>
          </w:p>
        </w:tc>
        <w:tc>
          <w:tcPr>
            <w:tcW w:w="7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8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24</w:t>
            </w: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64</w:t>
            </w:r>
          </w:p>
        </w:tc>
      </w:tr>
      <w:tr>
        <w:trPr>
          <w:trHeight w:val="192"/>
        </w:trPr>
        <w:tc>
          <w:tcPr>
            <w:tcW w:w="20" w:type="dxa"/>
            <w:vAlign w:val="bottom"/>
          </w:tcPr>
          <w:p>
            <w:pPr>
              <w:spacing w:after="0"/>
              <w:rPr>
                <w:sz w:val="16"/>
                <w:szCs w:val="16"/>
                <w:color w:val="auto"/>
              </w:rPr>
            </w:pPr>
          </w:p>
        </w:tc>
        <w:tc>
          <w:tcPr>
            <w:tcW w:w="7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General and administrative — affiliate</w:t>
            </w:r>
          </w:p>
        </w:tc>
        <w:tc>
          <w:tcPr>
            <w:tcW w:w="28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Acquisition-related transaction and integration costs</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20" w:type="dxa"/>
            <w:vAlign w:val="bottom"/>
          </w:tcPr>
          <w:p>
            <w:pPr>
              <w:spacing w:after="0"/>
              <w:rPr>
                <w:sz w:val="15"/>
                <w:szCs w:val="15"/>
                <w:color w:val="auto"/>
              </w:rPr>
            </w:pPr>
          </w:p>
        </w:tc>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109</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w:t>
            </w:r>
          </w:p>
        </w:tc>
      </w:tr>
      <w:tr>
        <w:trPr>
          <w:trHeight w:val="183"/>
        </w:trPr>
        <w:tc>
          <w:tcPr>
            <w:tcW w:w="20" w:type="dxa"/>
            <w:vAlign w:val="bottom"/>
          </w:tcPr>
          <w:p>
            <w:pPr>
              <w:spacing w:after="0"/>
              <w:rPr>
                <w:sz w:val="15"/>
                <w:szCs w:val="15"/>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r>
      <w:tr>
        <w:trPr>
          <w:trHeight w:val="192"/>
        </w:trPr>
        <w:tc>
          <w:tcPr>
            <w:tcW w:w="20" w:type="dxa"/>
            <w:vAlign w:val="bottom"/>
          </w:tcPr>
          <w:p>
            <w:pPr>
              <w:spacing w:after="0"/>
              <w:rPr>
                <w:sz w:val="16"/>
                <w:szCs w:val="16"/>
                <w:color w:val="auto"/>
              </w:rPr>
            </w:pPr>
          </w:p>
        </w:tc>
        <w:tc>
          <w:tcPr>
            <w:tcW w:w="7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2"/>
        </w:trPr>
        <w:tc>
          <w:tcPr>
            <w:tcW w:w="20" w:type="dxa"/>
            <w:vAlign w:val="bottom"/>
          </w:tcPr>
          <w:p>
            <w:pPr>
              <w:spacing w:after="0"/>
              <w:rPr>
                <w:sz w:val="16"/>
                <w:szCs w:val="16"/>
                <w:color w:val="auto"/>
              </w:rPr>
            </w:pPr>
          </w:p>
        </w:tc>
        <w:tc>
          <w:tcPr>
            <w:tcW w:w="7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3"/>
        </w:trPr>
        <w:tc>
          <w:tcPr>
            <w:tcW w:w="20" w:type="dxa"/>
            <w:vAlign w:val="bottom"/>
          </w:tcPr>
          <w:p>
            <w:pPr>
              <w:spacing w:after="0"/>
              <w:rPr>
                <w:sz w:val="15"/>
                <w:szCs w:val="15"/>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9"/>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NRG Yield LLC</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gridSpan w:val="2"/>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209"/>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2015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2014</w:t>
            </w:r>
          </w:p>
        </w:tc>
      </w:tr>
      <w:tr>
        <w:trPr>
          <w:trHeight w:val="209"/>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Renewables MWh generated/sold (in thousands) </w:t>
            </w:r>
            <w:r>
              <w:rPr>
                <w:rFonts w:ascii="Times New Roman" w:cs="Times New Roman" w:eastAsia="Times New Roman" w:hAnsi="Times New Roman"/>
                <w:sz w:val="19"/>
                <w:szCs w:val="19"/>
                <w:color w:val="auto"/>
                <w:vertAlign w:val="superscript"/>
              </w:rPr>
              <w:t>(a)</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6,412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4,659</w:t>
            </w:r>
          </w:p>
        </w:tc>
      </w:tr>
      <w:tr>
        <w:trPr>
          <w:trHeight w:val="214"/>
        </w:trPr>
        <w:tc>
          <w:tcPr>
            <w:tcW w:w="20" w:type="dxa"/>
            <w:vAlign w:val="bottom"/>
          </w:tcPr>
          <w:p>
            <w:pPr>
              <w:spacing w:after="0"/>
              <w:rPr>
                <w:sz w:val="18"/>
                <w:szCs w:val="18"/>
                <w:color w:val="auto"/>
              </w:rPr>
            </w:pPr>
          </w:p>
        </w:tc>
        <w:tc>
          <w:tcPr>
            <w:tcW w:w="7780" w:type="dxa"/>
            <w:vAlign w:val="bottom"/>
            <w:gridSpan w:val="2"/>
          </w:tcPr>
          <w:p>
            <w:pPr>
              <w:spacing w:after="0" w:line="214" w:lineRule="exact"/>
              <w:rPr>
                <w:sz w:val="20"/>
                <w:szCs w:val="20"/>
                <w:color w:val="auto"/>
              </w:rPr>
            </w:pPr>
            <w:r>
              <w:rPr>
                <w:rFonts w:ascii="Times New Roman" w:cs="Times New Roman" w:eastAsia="Times New Roman" w:hAnsi="Times New Roman"/>
                <w:sz w:val="14"/>
                <w:szCs w:val="14"/>
                <w:color w:val="auto"/>
              </w:rPr>
              <w:t xml:space="preserve">Conventional MWh generated (in thousands) </w:t>
            </w:r>
            <w:r>
              <w:rPr>
                <w:rFonts w:ascii="Times New Roman" w:cs="Times New Roman" w:eastAsia="Times New Roman" w:hAnsi="Times New Roman"/>
                <w:sz w:val="19"/>
                <w:szCs w:val="19"/>
                <w:color w:val="auto"/>
                <w:vertAlign w:val="superscript"/>
              </w:rPr>
              <w:t>(a)(b)</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2,130</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Thermal MWt sold (in thousands)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2,060</w:t>
            </w:r>
          </w:p>
        </w:tc>
      </w:tr>
      <w:tr>
        <w:trPr>
          <w:trHeight w:val="192"/>
        </w:trPr>
        <w:tc>
          <w:tcPr>
            <w:tcW w:w="20" w:type="dxa"/>
            <w:vAlign w:val="bottom"/>
          </w:tcPr>
          <w:p>
            <w:pPr>
              <w:spacing w:after="0"/>
              <w:rPr>
                <w:sz w:val="16"/>
                <w:szCs w:val="16"/>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Thermal MWh sold (in thousands)</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170815</wp:posOffset>
            </wp:positionV>
            <wp:extent cx="141541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74" w:lineRule="exact"/>
        <w:rPr>
          <w:sz w:val="20"/>
          <w:szCs w:val="20"/>
          <w:color w:val="auto"/>
        </w:rPr>
      </w:pPr>
    </w:p>
    <w:p>
      <w:pPr>
        <w:ind w:left="100" w:hanging="94"/>
        <w:spacing w:after="0"/>
        <w:tabs>
          <w:tab w:leader="none" w:pos="100" w:val="left"/>
        </w:tabs>
        <w:numPr>
          <w:ilvl w:val="0"/>
          <w:numId w:val="1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3" w:lineRule="exact"/>
        <w:rPr>
          <w:rFonts w:ascii="Times New Roman" w:cs="Times New Roman" w:eastAsia="Times New Roman" w:hAnsi="Times New Roman"/>
          <w:sz w:val="7"/>
          <w:szCs w:val="7"/>
          <w:color w:val="auto"/>
        </w:rPr>
      </w:pPr>
    </w:p>
    <w:p>
      <w:pPr>
        <w:ind w:left="100" w:hanging="94"/>
        <w:spacing w:after="0"/>
        <w:tabs>
          <w:tab w:leader="none" w:pos="100" w:val="left"/>
        </w:tabs>
        <w:numPr>
          <w:ilvl w:val="0"/>
          <w:numId w:val="1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Volumes generated are not sold as the Conventional facilities sell capacity rather than energy.</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460"/>
          </w:cols>
          <w:pgMar w:left="220" w:top="766" w:right="2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Management’s discussion of the results of operations for the years ended December 31, 2015 and 2014</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As described in Item 15 — Note 3,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 to the Consolidated Financial Statements, the Company completed the following acquisitions from NRG during the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2015:</w:t>
      </w:r>
    </w:p>
    <w:p>
      <w:pPr>
        <w:spacing w:after="0" w:line="125" w:lineRule="exact"/>
        <w:rPr>
          <w:sz w:val="20"/>
          <w:szCs w:val="20"/>
          <w:color w:val="auto"/>
        </w:rPr>
      </w:pPr>
    </w:p>
    <w:p>
      <w:pPr>
        <w:jc w:val="both"/>
        <w:ind w:left="520" w:hanging="257"/>
        <w:spacing w:after="0" w:line="273"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3, 2015, the Company acquired 75% of the Class B interests of NRG Wind TE Holdco, or the November 2015 Drop Down Assets, which owns a portfolio of 12 wind facilities totaling 814 net MW, from NRG for total cash consideration of $209 million. In February 2016, NRG made a final working capital payment of $2 million, reducing total cash consideration to $207 million.</w:t>
      </w:r>
    </w:p>
    <w:p>
      <w:pPr>
        <w:spacing w:after="0" w:line="93" w:lineRule="exact"/>
        <w:rPr>
          <w:rFonts w:ascii="Times New Roman" w:cs="Times New Roman" w:eastAsia="Times New Roman" w:hAnsi="Times New Roman"/>
          <w:sz w:val="14"/>
          <w:szCs w:val="14"/>
          <w:color w:val="auto"/>
        </w:rPr>
      </w:pPr>
    </w:p>
    <w:p>
      <w:pPr>
        <w:ind w:left="520" w:hanging="257"/>
        <w:spacing w:after="0" w:line="291"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 2015, the Company acquired the Laredo Ridge, Tapestry, and Walnut Creek projects, or the January 2015 Drop Down Assets, for total cash consideration of $489 million, plus assumed project-level debt of $737 million.</w:t>
      </w:r>
    </w:p>
    <w:p>
      <w:pPr>
        <w:spacing w:after="0" w:line="81"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The January 2015 Drop Down Assets and the November 2015 Drop Down Assets (other than Elbow Creek) were originally acquired by NRG from EME on April 1, 2014, and are collectively referred to as "EME Assets" throughout this discussion. The Company prepared its consolidated financial statements for the periods ending December 31, 2015 and 2014 to reflect the acquisitions as if they had taken place from the date the entities were under common control, which was April 1, 2014 for the EME Assets. Accordingly, the results presented herein reflect the Company's ownership of the EME Assets for the full year ended December 31, 2015, compared to the nine months from April 1, 2014, through December 31, 2014.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p>
      <w:pPr>
        <w:spacing w:after="0" w:line="143"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Gross Margin</w:t>
      </w:r>
    </w:p>
    <w:p>
      <w:pPr>
        <w:spacing w:after="0" w:line="14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460"/>
          </w:cols>
          <w:pgMar w:left="220" w:top="766" w:right="21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4"/>
          <w:szCs w:val="14"/>
          <w:color w:val="auto"/>
        </w:rPr>
        <w:t>The following tables present the composition of gross margin, as well as the reconciliation to economic gross margin for the years ended December 31, 2015 and 2014:</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30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Conventional</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9"/>
        </w:trPr>
        <w:tc>
          <w:tcPr>
            <w:tcW w:w="63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9"/>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2015</w:t>
            </w:r>
          </w:p>
        </w:tc>
        <w:tc>
          <w:tcPr>
            <w:tcW w:w="1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92"/>
        </w:trPr>
        <w:tc>
          <w:tcPr>
            <w:tcW w:w="6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Energy and capacity revenues</w:t>
            </w:r>
          </w:p>
        </w:tc>
        <w:tc>
          <w:tcPr>
            <w:tcW w:w="104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tcPr>
          <w:p>
            <w:pPr>
              <w:spacing w:after="0"/>
              <w:rPr>
                <w:sz w:val="16"/>
                <w:szCs w:val="16"/>
                <w:color w:val="auto"/>
              </w:rPr>
            </w:pPr>
          </w:p>
        </w:tc>
        <w:tc>
          <w:tcPr>
            <w:tcW w:w="80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1,009</w:t>
            </w:r>
          </w:p>
        </w:tc>
      </w:tr>
      <w:tr>
        <w:trPr>
          <w:trHeight w:val="22"/>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fuels</w:t>
            </w: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92"/>
        </w:trPr>
        <w:tc>
          <w:tcPr>
            <w:tcW w:w="6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amortization</w:t>
            </w: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2"/>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4"/>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Mark-to-market for economic hedging activities</w:t>
            </w:r>
          </w:p>
        </w:tc>
        <w:tc>
          <w:tcPr>
            <w:tcW w:w="10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3"/>
        </w:trPr>
        <w:tc>
          <w:tcPr>
            <w:tcW w:w="6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40" w:type="dxa"/>
            <w:vAlign w:val="bottom"/>
            <w:tcBorders>
              <w:top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15"/>
                <w:szCs w:val="15"/>
                <w:color w:val="auto"/>
              </w:rPr>
            </w:pPr>
          </w:p>
        </w:tc>
        <w:tc>
          <w:tcPr>
            <w:tcW w:w="80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882</w:t>
            </w:r>
          </w:p>
        </w:tc>
      </w:tr>
      <w:tr>
        <w:trPr>
          <w:trHeight w:val="22"/>
        </w:trPr>
        <w:tc>
          <w:tcPr>
            <w:tcW w:w="6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5"/>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amortization</w:t>
            </w: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w:t>
            </w:r>
          </w:p>
        </w:tc>
      </w:tr>
      <w:tr>
        <w:trPr>
          <w:trHeight w:val="192"/>
        </w:trPr>
        <w:tc>
          <w:tcPr>
            <w:tcW w:w="6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Mark-to-market for economic hedging activities</w:t>
            </w:r>
          </w:p>
        </w:tc>
        <w:tc>
          <w:tcPr>
            <w:tcW w:w="104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6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9"/>
        </w:trPr>
        <w:tc>
          <w:tcPr>
            <w:tcW w:w="63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Economic gross margin</w:t>
            </w:r>
          </w:p>
        </w:tc>
        <w:tc>
          <w:tcPr>
            <w:tcW w:w="104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938</w:t>
            </w:r>
          </w:p>
        </w:tc>
      </w:tr>
      <w:tr>
        <w:trPr>
          <w:trHeight w:val="20"/>
        </w:trPr>
        <w:tc>
          <w:tcPr>
            <w:tcW w:w="6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4"/>
        </w:trPr>
        <w:tc>
          <w:tcPr>
            <w:tcW w:w="6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2014</w:t>
            </w: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92"/>
        </w:trPr>
        <w:tc>
          <w:tcPr>
            <w:tcW w:w="6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Energy and capacity revenues</w:t>
            </w:r>
          </w:p>
        </w:tc>
        <w:tc>
          <w:tcPr>
            <w:tcW w:w="104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80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855</w:t>
            </w:r>
          </w:p>
        </w:tc>
      </w:tr>
      <w:tr>
        <w:trPr>
          <w:trHeight w:val="22"/>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fuels</w:t>
            </w: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2"/>
        </w:trPr>
        <w:tc>
          <w:tcPr>
            <w:tcW w:w="6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amortization</w:t>
            </w: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2"/>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4"/>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Mark-to-market for economic hedging activities</w:t>
            </w:r>
          </w:p>
        </w:tc>
        <w:tc>
          <w:tcPr>
            <w:tcW w:w="10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r>
      <w:tr>
        <w:trPr>
          <w:trHeight w:val="183"/>
        </w:trPr>
        <w:tc>
          <w:tcPr>
            <w:tcW w:w="6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40" w:type="dxa"/>
            <w:vAlign w:val="bottom"/>
            <w:tcBorders>
              <w:top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5"/>
                <w:szCs w:val="15"/>
                <w:color w:val="auto"/>
              </w:rPr>
            </w:pPr>
          </w:p>
        </w:tc>
        <w:tc>
          <w:tcPr>
            <w:tcW w:w="80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739</w:t>
            </w:r>
          </w:p>
        </w:tc>
      </w:tr>
      <w:tr>
        <w:trPr>
          <w:trHeight w:val="22"/>
        </w:trPr>
        <w:tc>
          <w:tcPr>
            <w:tcW w:w="6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5"/>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amortization</w:t>
            </w: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r>
      <w:tr>
        <w:trPr>
          <w:trHeight w:val="192"/>
        </w:trPr>
        <w:tc>
          <w:tcPr>
            <w:tcW w:w="6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Mark-to-market for economic hedging activities</w:t>
            </w:r>
          </w:p>
        </w:tc>
        <w:tc>
          <w:tcPr>
            <w:tcW w:w="104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6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9"/>
        </w:trPr>
        <w:tc>
          <w:tcPr>
            <w:tcW w:w="63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Economic gross margin</w:t>
            </w:r>
          </w:p>
        </w:tc>
        <w:tc>
          <w:tcPr>
            <w:tcW w:w="104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766</w:t>
            </w:r>
          </w:p>
        </w:tc>
      </w:tr>
      <w:tr>
        <w:trPr>
          <w:trHeight w:val="20"/>
        </w:trPr>
        <w:tc>
          <w:tcPr>
            <w:tcW w:w="6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Gross margin increased by $143 million and economic gross margin increased by $172 million during the year ended December 31, 2015, compared to the same period in 2014, driven by: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Acquisitions of the Alta Wind Portfolio in August 2014 and Spring Canyon in May 2015</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5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 of EME Assets (Wind)</w:t>
            </w:r>
          </w:p>
        </w:tc>
        <w:tc>
          <w:tcPr>
            <w:tcW w:w="7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7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 of EME Assets (Walnut Creek)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5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Forced outage at El Segundo in the first half of 2015</w:t>
            </w:r>
          </w:p>
        </w:tc>
        <w:tc>
          <w:tcPr>
            <w:tcW w:w="7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Milder weather conditions in 2015 compared to 2014</w:t>
            </w:r>
          </w:p>
        </w:tc>
        <w:tc>
          <w:tcPr>
            <w:tcW w:w="7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Increase in economic gross margin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Borders>
              <w:top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 w:type="dxa"/>
            <w:vAlign w:val="bottom"/>
          </w:tcPr>
          <w:p>
            <w:pPr>
              <w:spacing w:after="0"/>
              <w:rPr>
                <w:sz w:val="16"/>
                <w:szCs w:val="16"/>
                <w:color w:val="auto"/>
              </w:rPr>
            </w:pPr>
          </w:p>
        </w:tc>
        <w:tc>
          <w:tcPr>
            <w:tcW w:w="86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Higher contract amortization primarily due to the amortization of the PPAs acquired in the acquisition of the Alta Wind Portfolio in August 2014</w:t>
            </w: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Unrealized losses in 2015 and unrealized gains in 2014 on forward contracts with an NRG subsidiary hedging the forecasted sale of power from Elbow Creek, prior to the start of</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the PPA</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Increase in gross margin</w:t>
            </w:r>
          </w:p>
        </w:tc>
        <w:tc>
          <w:tcPr>
            <w:tcW w:w="7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Expense</w:t>
            </w: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Conventional</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2015</w:t>
            </w:r>
          </w:p>
        </w:tc>
        <w:tc>
          <w:tcPr>
            <w:tcW w:w="1860" w:type="dxa"/>
            <w:vAlign w:val="bottom"/>
            <w:tcBorders>
              <w:bottom w:val="single" w:sz="8" w:color="CCEEFF"/>
            </w:tcBorders>
            <w:gridSpan w:val="2"/>
            <w:shd w:val="clear" w:color="auto" w:fill="CCEEFF"/>
          </w:tcPr>
          <w:p>
            <w:pPr>
              <w:jc w:val="right"/>
              <w:ind w:right="923"/>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9"/>
              </w:rPr>
              <w:t>97</w:t>
            </w:r>
          </w:p>
        </w:tc>
        <w:tc>
          <w:tcPr>
            <w:tcW w:w="3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51</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December 31, 2014</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9"/>
              </w:rPr>
              <w:t>63</w:t>
            </w:r>
          </w:p>
        </w:tc>
        <w:tc>
          <w:tcPr>
            <w:tcW w:w="340" w:type="dxa"/>
            <w:vAlign w:val="bottom"/>
          </w:tcPr>
          <w:p>
            <w:pPr>
              <w:spacing w:after="0"/>
              <w:rPr>
                <w:sz w:val="16"/>
                <w:szCs w:val="16"/>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47</w:t>
            </w:r>
          </w:p>
        </w:tc>
        <w:tc>
          <w:tcPr>
            <w:tcW w:w="7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4"/>
        </w:trPr>
        <w:tc>
          <w:tcPr>
            <w:tcW w:w="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43</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68" w:right="21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4"/>
          <w:szCs w:val="14"/>
          <w:color w:val="auto"/>
        </w:rPr>
        <w:t>Operations and maintenance expense increased by $38 million during the year ended December 31, 2015, compared to the same period in 2014, driven by: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32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80" w:type="dxa"/>
            <w:vAlign w:val="bottom"/>
          </w:tcPr>
          <w:p>
            <w:pPr>
              <w:spacing w:after="0"/>
              <w:rPr>
                <w:sz w:val="13"/>
                <w:szCs w:val="13"/>
                <w:color w:val="auto"/>
              </w:rPr>
            </w:pPr>
          </w:p>
        </w:tc>
      </w:tr>
      <w:tr>
        <w:trPr>
          <w:trHeight w:val="199"/>
        </w:trPr>
        <w:tc>
          <w:tcPr>
            <w:tcW w:w="10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of the Alta Wind Portfolio in August 2014 and Spring Canyon in May 2015</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r>
      <w:tr>
        <w:trPr>
          <w:trHeight w:val="192"/>
        </w:trPr>
        <w:tc>
          <w:tcPr>
            <w:tcW w:w="10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of EME Assets, primarily in the Renewables segment</w:t>
            </w:r>
          </w:p>
        </w:tc>
        <w:tc>
          <w:tcPr>
            <w:tcW w:w="760" w:type="dxa"/>
            <w:vAlign w:val="bottom"/>
          </w:tcPr>
          <w:p>
            <w:pPr>
              <w:spacing w:after="0"/>
              <w:rPr>
                <w:sz w:val="16"/>
                <w:szCs w:val="16"/>
                <w:color w:val="auto"/>
              </w:rPr>
            </w:pPr>
          </w:p>
        </w:tc>
        <w:tc>
          <w:tcPr>
            <w:tcW w:w="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r>
      <w:tr>
        <w:trPr>
          <w:trHeight w:val="22"/>
        </w:trPr>
        <w:tc>
          <w:tcPr>
            <w:tcW w:w="10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4"/>
        </w:trPr>
        <w:tc>
          <w:tcPr>
            <w:tcW w:w="10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10320" w:type="dxa"/>
            <w:vAlign w:val="bottom"/>
          </w:tcPr>
          <w:p>
            <w:pPr>
              <w:spacing w:after="0"/>
              <w:rPr>
                <w:sz w:val="15"/>
                <w:szCs w:val="15"/>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38</w:t>
            </w:r>
          </w:p>
        </w:tc>
      </w:tr>
      <w:tr>
        <w:trPr>
          <w:trHeight w:val="22"/>
        </w:trPr>
        <w:tc>
          <w:tcPr>
            <w:tcW w:w="10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
        </w:trPr>
        <w:tc>
          <w:tcPr>
            <w:tcW w:w="10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Costs of Operations</w:t>
      </w:r>
    </w:p>
    <w:p>
      <w:pPr>
        <w:spacing w:after="0" w:line="122"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Other costs of operations increased by $24 million during the year ended December 31, 2015, compared to the same period in 2014, primarily due to an increase in property taxes resulting from the acquisitions of the Alta Wind Portfolio in August 2014, and the EME Assets in April 2014.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143"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Depreciation and amortization increased by $64 million during the year ended December 31, 2015, compared to the same period in 2014, primarily due to the acquisitions of the Alta Wind Portfolio in August 2014 and the EME Assets in April 2014.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 Earnings of Unconsolidated Affiliates</w:t>
      </w:r>
    </w:p>
    <w:p>
      <w:pPr>
        <w:spacing w:after="0" w:line="143"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Equity in earnings of unconsolidated affiliates increased by $9 million during the year ended December 31, 2015, compared to the same period in 2014, primarily due to the acquisition of Desert Sunlight in June 2015 as well as the Elkhorn Ridge and San Juan Mesa projects, acquired as part of the EME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increased by $43 million during the year ended December 31, 2015, compared to the same period in 2014, due to:</w:t>
      </w:r>
    </w:p>
    <w:p>
      <w:pPr>
        <w:spacing w:after="0" w:line="317"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972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Pr>
          <w:p>
            <w:pPr>
              <w:spacing w:after="0"/>
              <w:rPr>
                <w:sz w:val="13"/>
                <w:szCs w:val="13"/>
                <w:color w:val="auto"/>
              </w:rPr>
            </w:pPr>
          </w:p>
        </w:tc>
      </w:tr>
      <w:tr>
        <w:trPr>
          <w:trHeight w:val="201"/>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Alta Wind Portfolio in August 2014</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r>
      <w:tr>
        <w:trPr>
          <w:trHeight w:val="22"/>
        </w:trPr>
        <w:tc>
          <w:tcPr>
            <w:tcW w:w="9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the Senior Notes due 2024 in the third quarter of 2014 and intercompany loans with Yield, Inc. in the second quarter of 2015 and the first quarter of 2014</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w:t>
            </w:r>
          </w:p>
        </w:tc>
      </w:tr>
      <w:tr>
        <w:trPr>
          <w:trHeight w:val="192"/>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EME Assets in April 2014</w:t>
            </w:r>
          </w:p>
        </w:tc>
        <w:tc>
          <w:tcPr>
            <w:tcW w:w="760" w:type="dxa"/>
            <w:vAlign w:val="bottom"/>
          </w:tcPr>
          <w:p>
            <w:pPr>
              <w:spacing w:after="0"/>
              <w:rPr>
                <w:sz w:val="16"/>
                <w:szCs w:val="16"/>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9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Repricing of project-level financing arrangements and principal repayments</w:t>
            </w: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2"/>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Changes in the fair value of interest rate swaps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9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0"/>
        </w:trPr>
        <w:tc>
          <w:tcPr>
            <w:tcW w:w="97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Attributable to Noncontrolling Interests</w:t>
      </w:r>
    </w:p>
    <w:p>
      <w:pPr>
        <w:spacing w:after="0" w:line="143" w:lineRule="exact"/>
        <w:rPr>
          <w:sz w:val="20"/>
          <w:szCs w:val="20"/>
          <w:color w:val="auto"/>
        </w:rPr>
      </w:pPr>
    </w:p>
    <w:p>
      <w:pPr>
        <w:ind w:right="40" w:firstLine="321"/>
        <w:spacing w:after="0" w:line="267" w:lineRule="auto"/>
        <w:rPr>
          <w:sz w:val="20"/>
          <w:szCs w:val="20"/>
          <w:color w:val="auto"/>
        </w:rPr>
      </w:pPr>
      <w:r>
        <w:rPr>
          <w:rFonts w:ascii="Times New Roman" w:cs="Times New Roman" w:eastAsia="Times New Roman" w:hAnsi="Times New Roman"/>
          <w:sz w:val="14"/>
          <w:szCs w:val="14"/>
          <w:color w:val="auto"/>
        </w:rPr>
        <w:t>For the year ended December 31, 2015, the Company had income of $11 million attributable to NRG's 25% ownership of the Class B interests in NRG Wind TE Holdco and a loss of $62 million attributable to noncontrolling interest with respect to its tax equity financing arrangements and the application of the HLBV method. For the year ended December 31, 2014, the Company had a loss of $6 million attributable to NRG's 25% ownership of the Class B interests in NRG Wind TE Holdco and income of $9 million attributable to noncontrolling interest with respect to its tax equity financing arrangements and the application of the HLBV method.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460"/>
          </w:cols>
          <w:pgMar w:left="220" w:top="768" w:right="2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1"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4"/>
          <w:szCs w:val="14"/>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 w:cs="Times New Roman" w:eastAsia="Times New Roman" w:hAnsi="Times New Roman"/>
          <w:sz w:val="14"/>
          <w:szCs w:val="14"/>
          <w:color w:val="000000"/>
        </w:rPr>
        <w:t>As a normal part of the Company's business, depending on market conditions, the Company will from time to time consider opportunities to repay, redeem, repurchase 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Position</w:t>
      </w:r>
    </w:p>
    <w:p>
      <w:pPr>
        <w:spacing w:after="0" w:line="143"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2016</w:t>
      </w:r>
      <w:r>
        <w:rPr>
          <w:rFonts w:ascii="Times New Roman" w:cs="Times New Roman" w:eastAsia="Times New Roman" w:hAnsi="Times New Roman"/>
          <w:sz w:val="14"/>
          <w:szCs w:val="14"/>
          <w:color w:val="231F20"/>
        </w:rPr>
        <w:t xml:space="preserve"> and 2015, the Company's liquidity was approximately $915 million and $374 million, respectively, comprised of cash, restricted cash, and availability under the Company's revolving credit facility. The Company's liquidity includes $164 million and $131 million of restricted cash balances as of December 31, 2016 and </w:t>
      </w:r>
      <w:r>
        <w:rPr>
          <w:rFonts w:ascii="Times New Roman" w:cs="Times New Roman" w:eastAsia="Times New Roman" w:hAnsi="Times New Roman"/>
          <w:sz w:val="14"/>
          <w:szCs w:val="14"/>
          <w:color w:val="000000"/>
        </w:rPr>
        <w:t>2015</w:t>
      </w:r>
      <w:r>
        <w:rPr>
          <w:rFonts w:ascii="Times New Roman" w:cs="Times New Roman" w:eastAsia="Times New Roman" w:hAnsi="Times New Roman"/>
          <w:sz w:val="14"/>
          <w:szCs w:val="14"/>
          <w:color w:val="231F20"/>
        </w:rPr>
        <w:t xml:space="preserve">, respectively. Restricted cash consists primarily of funds to satisfy the requirements of certain debt arrangements and funds held within the Company's projects that are restricted in their use. The Company's various financing arrangements are described in Item 15 </w:t>
      </w:r>
      <w:r>
        <w:rPr>
          <w:rFonts w:ascii="Times New Roman" w:cs="Times New Roman" w:eastAsia="Times New Roman" w:hAnsi="Times New Roman"/>
          <w:sz w:val="14"/>
          <w:szCs w:val="14"/>
          <w:color w:val="000000"/>
        </w:rPr>
        <w:t>—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to the Consolidated Financial Statements</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color w:val="231F20"/>
        </w:rPr>
        <w:t xml:space="preserve"> As of December 31, 2016, there were no outstanding borrowings and the Company had $60 million of letters of credit outstanding under the revolving credit facility.</w:t>
      </w:r>
    </w:p>
    <w:p>
      <w:pPr>
        <w:spacing w:after="0" w:line="101"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2016, the Company's 2024 Senior Notes and 2026 Senior Notes are rated BB by S&amp;P and Ba2 by Moody's. The ratings outlook is stable.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borrowings under new and existing financing arrangements and the issuance of additional equity and debt securities by Yield, Inc. or the Company as appropriate given market conditions. As described in </w:t>
      </w:r>
      <w:r>
        <w:rPr>
          <w:rFonts w:ascii="Times New Roman" w:cs="Times New Roman" w:eastAsia="Times New Roman" w:hAnsi="Times New Roman"/>
          <w:sz w:val="14"/>
          <w:szCs w:val="14"/>
          <w:color w:val="000000"/>
        </w:rPr>
        <w:t>Item 15—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xml:space="preserve">, to the Consolidated Financial Statements, and above in </w:t>
      </w:r>
      <w:r>
        <w:rPr>
          <w:rFonts w:ascii="Times New Roman" w:cs="Times New Roman" w:eastAsia="Times New Roman" w:hAnsi="Times New Roman"/>
          <w:sz w:val="14"/>
          <w:szCs w:val="14"/>
          <w:i w:val="1"/>
          <w:iCs w:val="1"/>
          <w:color w:val="000000"/>
        </w:rPr>
        <w:t>Significant Events During the Year Ended December 31, 2016,</w:t>
      </w:r>
      <w:r>
        <w:rPr>
          <w:rFonts w:ascii="Times New Roman" w:cs="Times New Roman" w:eastAsia="Times New Roman" w:hAnsi="Times New Roman"/>
          <w:sz w:val="14"/>
          <w:szCs w:val="14"/>
          <w:color w:val="231F20"/>
        </w:rPr>
        <w:t xml:space="preserve"> the Company's financing arrangements consist of the revolving credit facility, the 2024 Senior Notes, the 2026 Senior Notes, its intercompany borrowings with Yield, Inc. and project-level financings for its various assets.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At-the-Market Equity Offering Program</w:t>
      </w:r>
    </w:p>
    <w:p>
      <w:pPr>
        <w:spacing w:after="0" w:line="173" w:lineRule="exact"/>
        <w:rPr>
          <w:sz w:val="20"/>
          <w:szCs w:val="20"/>
          <w:color w:val="auto"/>
        </w:rPr>
      </w:pPr>
    </w:p>
    <w:p>
      <w:pPr>
        <w:jc w:val="both"/>
        <w:ind w:firstLine="257"/>
        <w:spacing w:after="0" w:line="264" w:lineRule="auto"/>
        <w:rPr>
          <w:sz w:val="20"/>
          <w:szCs w:val="20"/>
          <w:color w:val="auto"/>
        </w:rPr>
      </w:pPr>
      <w:r>
        <w:rPr>
          <w:rFonts w:ascii="Times New Roman" w:cs="Times New Roman" w:eastAsia="Times New Roman" w:hAnsi="Times New Roman"/>
          <w:sz w:val="14"/>
          <w:szCs w:val="14"/>
          <w:color w:val="231F20"/>
        </w:rPr>
        <w:t>On August 9, 2016, NRG Yield, Inc. entered into an equity distribution agreement, or EDA, with Barclays Capital Inc., Credit Suisse Securities (USA) LLC, J.P. Morgan Securities LLC and RBC Capital Markets, LLC, as sales agents. Pursuant to the terms of the EDA, NRG Yield, Inc. may offer and sell shares of its Class C common stock par value $0.01 per share, from time to time through the sales agents, as NRG Yield, Inc.’s sales agents for the offer and sale of the shares, up to an aggregate sales price of $150,000,000 through an at-the-market equity offering program, or ATM Program. NRG Yield, Inc. may also sell shares of its Class C common stock to any of the sales agents, as principals for its own account, at a price agreed upon at the time of sale. As of December 31, 2016, no shares were issued under the ATM Program.</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460"/>
          </w:cols>
          <w:pgMar w:left="220" w:top="766" w:right="2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Thermal Financing</w:t>
      </w:r>
    </w:p>
    <w:p>
      <w:pPr>
        <w:spacing w:after="0" w:line="139" w:lineRule="exact"/>
        <w:rPr>
          <w:sz w:val="20"/>
          <w:szCs w:val="20"/>
          <w:color w:val="auto"/>
        </w:rPr>
      </w:pPr>
    </w:p>
    <w:p>
      <w:pPr>
        <w:jc w:val="both"/>
        <w:ind w:firstLine="257"/>
        <w:spacing w:after="0" w:line="259" w:lineRule="auto"/>
        <w:rPr>
          <w:sz w:val="20"/>
          <w:szCs w:val="20"/>
          <w:color w:val="auto"/>
        </w:rPr>
      </w:pPr>
      <w:r>
        <w:rPr>
          <w:rFonts w:ascii="Times New Roman" w:cs="Times New Roman" w:eastAsia="Times New Roman" w:hAnsi="Times New Roman"/>
          <w:sz w:val="14"/>
          <w:szCs w:val="14"/>
          <w:color w:val="auto"/>
        </w:rPr>
        <w:t>On October 31, 2016, NRG Energy Center Minneapolis LLC, a subsidiary of NRG Yield, Inc., received proceeds of $125 million from the issuance of 3.55% Series D notes due October 31, 2031, or the Series D Notes, and entered into a shelf facility for the anticipated issuance of an additional $70 million of notes. In the first quarter of 2017, NRG Energy Center Minneapolis LLC anticipates amending the shelf facility to allow for the issuance of an additional $10 million of notes, increasing the total principal amount of notes available for issuance under the shelf facility to $80 million. The Series D Notes are, and the additional notes, if issued, will be secured by substantially all of the assets of NRG Energy Center Minneapolis LLC. NRG Thermal LLC has guaranteed the indebtedness and its guarantee is secured by a pledge of the equity interests in all of NRG Thermal LLC’s subsidiaries. NRG Energy Center Minneapolis LLC distributed the proceeds of the Series D Notes to NRG Thermal LLC, who in turn distributed the proceeds to NRG Yield Operating LLC to be utilized for general corporate purposes, including potential acquisitions.</w:t>
      </w:r>
    </w:p>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25" w:lineRule="exact"/>
        <w:rPr>
          <w:sz w:val="20"/>
          <w:szCs w:val="20"/>
          <w:color w:val="auto"/>
        </w:rPr>
      </w:pPr>
    </w:p>
    <w:p>
      <w:pPr>
        <w:jc w:val="both"/>
        <w:ind w:firstLine="386"/>
        <w:spacing w:after="0" w:line="291"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4"/>
          <w:szCs w:val="14"/>
          <w:color w:val="000000"/>
        </w:rPr>
        <w:t>Item 15 — Note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to the Consolidated Financial Statements; (ii) capital expenditures; (iii) acquisitions and investments; and (iv) distributions.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460"/>
          </w:cols>
          <w:pgMar w:left="220" w:top="768" w:right="21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4"/>
          <w:szCs w:val="14"/>
          <w:i w:val="1"/>
          <w:iCs w:val="1"/>
          <w:color w:val="auto"/>
        </w:rPr>
        <w:t>Debt Service Obligations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Principal payments on debt as of December 31, 2016, are due in the following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There -</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60" w:type="dxa"/>
            <w:vAlign w:val="bottom"/>
          </w:tcPr>
          <w:p>
            <w:pPr>
              <w:spacing w:after="0"/>
              <w:rPr>
                <w:sz w:val="14"/>
                <w:szCs w:val="14"/>
                <w:color w:val="auto"/>
              </w:rPr>
            </w:pPr>
          </w:p>
        </w:tc>
        <w:tc>
          <w:tcPr>
            <w:tcW w:w="5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 - affiliate, due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337</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Long-term debt - affiliate, due 2020</w:t>
            </w:r>
          </w:p>
        </w:tc>
        <w:tc>
          <w:tcPr>
            <w:tcW w:w="1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281</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NRG Yield Operating LLC Senior Notes, due 2024</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500</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NRG Yield Operating LLC Senior Notes, due 2026</w:t>
            </w:r>
          </w:p>
        </w:tc>
        <w:tc>
          <w:tcPr>
            <w:tcW w:w="1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350</w:t>
            </w:r>
          </w:p>
        </w:tc>
      </w:tr>
      <w:tr>
        <w:trPr>
          <w:trHeight w:val="26"/>
        </w:trPr>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Corporate-level debt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1,468</w:t>
            </w:r>
          </w:p>
        </w:tc>
      </w:tr>
      <w:tr>
        <w:trPr>
          <w:trHeight w:val="179"/>
        </w:trPr>
        <w:tc>
          <w:tcPr>
            <w:tcW w:w="20" w:type="dxa"/>
            <w:vAlign w:val="bottom"/>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Project-level debt:</w:t>
            </w: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Alta Wind I, lease financing arrangement, due 2034</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242</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II, lease financing arrangement, due 2034</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191</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Alta Wind III, lease financing arrangement, due 2034</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198</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IV, lease financing arrangement, due 2034</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128</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Alta Wind V, lease financing arrangement, due 2035</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206</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Realty Investments, due 2031</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31</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Alta Wind Asset Management, due 2031</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18</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Alpine, due 2022</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145</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Avra Valley, due 2031</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57</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Blythe, due 2028</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19</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Borrego, due 2025 and 2038</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69</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CVSR, due 2037</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771</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199</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 Segundo Energy Center, due 2023</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443</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Energy Center Minneapolis, due 2017 and 2025</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96</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Energy Center Minneapolis Series D Notes, due 2031</w:t>
            </w:r>
          </w:p>
        </w:tc>
        <w:tc>
          <w:tcPr>
            <w:tcW w:w="1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125</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Kansas South, due 2031</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Laredo Ridge, due 2028</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100</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Marsh Landing, due 2017 and 2023</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370</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PFMG and related subsidiaries financing agreement, due 2030</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27</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Roadrunner, due 2031</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South Trent Wind, due 2020</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57</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TA High Desert, due 2020 and 2032</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49</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Tapestry, due 2021</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172</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Viento, due 2023</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178</w:t>
            </w:r>
          </w:p>
        </w:tc>
      </w:tr>
      <w:tr>
        <w:trPr>
          <w:trHeight w:val="188"/>
        </w:trPr>
        <w:tc>
          <w:tcPr>
            <w:tcW w:w="2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Walnut Creek, due 2023</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310</w:t>
            </w: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WCEP Holdings, due 2023</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46</w:t>
            </w:r>
          </w:p>
        </w:tc>
      </w:tr>
      <w:tr>
        <w:trPr>
          <w:trHeight w:val="168"/>
        </w:trPr>
        <w:tc>
          <w:tcPr>
            <w:tcW w:w="20" w:type="dxa"/>
            <w:vAlign w:val="bottom"/>
          </w:tcPr>
          <w:p>
            <w:pPr>
              <w:spacing w:after="0"/>
              <w:rPr>
                <w:sz w:val="14"/>
                <w:szCs w:val="14"/>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project-level debt</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353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439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2,642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4,314</w:t>
            </w:r>
          </w:p>
        </w:tc>
      </w:tr>
      <w:tr>
        <w:trPr>
          <w:trHeight w:val="26"/>
        </w:trPr>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643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634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3,492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5,782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460"/>
          </w:cols>
          <w:pgMar w:left="220" w:top="766" w:right="2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141"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color w:val="231F20"/>
        </w:rPr>
        <w:t xml:space="preserve">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 The Company develops annual capital spending plans based on projected requirements for maintenance and growth capital. For the years ended </w:t>
      </w:r>
      <w:r>
        <w:rPr>
          <w:rFonts w:ascii="Times New Roman" w:cs="Times New Roman" w:eastAsia="Times New Roman" w:hAnsi="Times New Roman"/>
          <w:sz w:val="14"/>
          <w:szCs w:val="14"/>
          <w:color w:val="000000"/>
        </w:rPr>
        <w:t>December 31, 2016</w:t>
      </w:r>
      <w:r>
        <w:rPr>
          <w:rFonts w:ascii="Times New Roman" w:cs="Times New Roman" w:eastAsia="Times New Roman" w:hAnsi="Times New Roman"/>
          <w:sz w:val="14"/>
          <w:szCs w:val="14"/>
          <w:color w:val="231F20"/>
        </w:rPr>
        <w:t xml:space="preserve">, 2015, and 2014, the Company used approximately $20 million, $29 million, and $60 million, respectively, to fund capital expenditures, including maintenance </w:t>
      </w:r>
      <w:r>
        <w:rPr>
          <w:rFonts w:ascii="Times New Roman" w:cs="Times New Roman" w:eastAsia="Times New Roman" w:hAnsi="Times New Roman"/>
          <w:sz w:val="14"/>
          <w:szCs w:val="14"/>
          <w:color w:val="000000"/>
        </w:rPr>
        <w:t xml:space="preserve">capital </w:t>
      </w:r>
      <w:r>
        <w:rPr>
          <w:rFonts w:ascii="Times New Roman" w:cs="Times New Roman" w:eastAsia="Times New Roman" w:hAnsi="Times New Roman"/>
          <w:sz w:val="14"/>
          <w:szCs w:val="14"/>
          <w:color w:val="231F20"/>
        </w:rPr>
        <w:t>expenditures</w:t>
      </w:r>
      <w:r>
        <w:rPr>
          <w:rFonts w:ascii="Times New Roman" w:cs="Times New Roman" w:eastAsia="Times New Roman" w:hAnsi="Times New Roman"/>
          <w:sz w:val="14"/>
          <w:szCs w:val="14"/>
          <w:color w:val="000000"/>
        </w:rPr>
        <w:t xml:space="preserve"> of $16 million, $20 million, and $8 million, respectively. Growth capital expenditures in 2016 were in primarily in the Thermal segment and relate to servicing new customers in district energy centers. Growth capital expenditures in 2015 and 2014 primarily related to the construction of the Company’s solar generating assets, Marsh Landing and El Segundo.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 and Investments</w:t>
      </w:r>
    </w:p>
    <w:p>
      <w:pPr>
        <w:spacing w:after="0" w:line="141"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 Company intends to acquire generation and thermal infrastructure assets developed and constructed by NRG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79" w:lineRule="exact"/>
        <w:rPr>
          <w:sz w:val="20"/>
          <w:szCs w:val="20"/>
          <w:color w:val="auto"/>
        </w:rPr>
      </w:pPr>
    </w:p>
    <w:p>
      <w:pPr>
        <w:jc w:val="both"/>
        <w:ind w:firstLine="321"/>
        <w:spacing w:after="0" w:line="265" w:lineRule="auto"/>
        <w:rPr>
          <w:sz w:val="20"/>
          <w:szCs w:val="20"/>
          <w:color w:val="auto"/>
        </w:rPr>
      </w:pPr>
      <w:r>
        <w:rPr>
          <w:rFonts w:ascii="Times New Roman" w:cs="Times New Roman" w:eastAsia="Times New Roman" w:hAnsi="Times New Roman"/>
          <w:sz w:val="14"/>
          <w:szCs w:val="14"/>
          <w:color w:val="auto"/>
        </w:rPr>
        <w:t xml:space="preserve">On February 24, 2017, as discussed in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Company and NRG entered into a definitive agreement regarding the acquisition of the following facilities: (i) a 16% interest (approximately 31% of NRG's 51% interest) in the Agua Caliente solar farm and (ii) NRG's 50% interests in seven utility-scale solar farms located in Utah, which are part of a tax equity structure with Dominion Solar Projects III, Inc., or Dominion, from which NRG currently receives 50% of cash to be distributed. The Company expects to pay total cash consideration of $130 million and assume non-recourse project debt. The purchase price for the acquisition, which is subject to working capital adjustments to be calculated at close, is expected to be funded with cash on hand. The Company expects to record its interests in the acquired projects as equity method investments.</w:t>
      </w:r>
    </w:p>
    <w:p>
      <w:pPr>
        <w:spacing w:after="0" w:line="97" w:lineRule="exact"/>
        <w:rPr>
          <w:sz w:val="20"/>
          <w:szCs w:val="20"/>
          <w:color w:val="auto"/>
        </w:rPr>
      </w:pPr>
    </w:p>
    <w:p>
      <w:pPr>
        <w:jc w:val="both"/>
        <w:ind w:firstLine="321"/>
        <w:spacing w:after="0" w:line="268" w:lineRule="auto"/>
        <w:rPr>
          <w:sz w:val="20"/>
          <w:szCs w:val="20"/>
          <w:color w:val="auto"/>
        </w:rPr>
      </w:pPr>
      <w:r>
        <w:rPr>
          <w:rFonts w:ascii="Times New Roman" w:cs="Times New Roman" w:eastAsia="Times New Roman" w:hAnsi="Times New Roman"/>
          <w:sz w:val="14"/>
          <w:szCs w:val="14"/>
          <w:color w:val="auto"/>
        </w:rPr>
        <w:t xml:space="preserve">On September 1, 2016, as discussed in Item 15 — Note 3,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 xml:space="preserve"> to the Consolidated Financial Statements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 acquired the remaining 51.05% interest of CVSR Holdco LLC from NRG for total cash consideration of $78.5 million. The acquisition was funded with cash on hand. The Company also assumed additional debt of $496 million, which represents 51.05% of the CVSR project level debt and 51.05% of the notes issued under the CVSR Holdco Financing Agreement. In connection with the retrospective adjustment of prior periods, the Company now consolidates CVSR and 100% of debt, or $771 million of CVSR project level debt and $200 million of notes issued under the CVSR Holdco Financing Agreement as of September 1, 2016.</w:t>
      </w:r>
    </w:p>
    <w:p>
      <w:pPr>
        <w:spacing w:after="0" w:line="97" w:lineRule="exact"/>
        <w:rPr>
          <w:sz w:val="20"/>
          <w:szCs w:val="20"/>
          <w:color w:val="auto"/>
        </w:rPr>
      </w:pPr>
    </w:p>
    <w:p>
      <w:pPr>
        <w:jc w:val="both"/>
        <w:ind w:firstLine="386"/>
        <w:spacing w:after="0" w:line="291" w:lineRule="auto"/>
        <w:rPr>
          <w:sz w:val="20"/>
          <w:szCs w:val="20"/>
          <w:color w:val="auto"/>
        </w:rPr>
      </w:pPr>
      <w:r>
        <w:rPr>
          <w:rFonts w:ascii="Times New Roman" w:cs="Times New Roman" w:eastAsia="Times New Roman" w:hAnsi="Times New Roman"/>
          <w:sz w:val="14"/>
          <w:szCs w:val="14"/>
          <w:color w:val="auto"/>
        </w:rPr>
        <w:t xml:space="preserve">During the year ended December 31, 2016, the Company invested $80 million in distributed and residential solar investment partnerships with NRG, as further described in Item 15 — Note 5, </w:t>
      </w:r>
      <w:r>
        <w:rPr>
          <w:rFonts w:ascii="Times New Roman" w:cs="Times New Roman" w:eastAsia="Times New Roman" w:hAnsi="Times New Roman"/>
          <w:sz w:val="14"/>
          <w:szCs w:val="14"/>
          <w:i w:val="1"/>
          <w:iCs w:val="1"/>
          <w:color w:val="auto"/>
        </w:rPr>
        <w:t>Investments Accounting for by the Equity Method and Variable Interest Entities.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Cash Distributions to Yield, Inc. and NRG</w:t>
      </w:r>
    </w:p>
    <w:p>
      <w:pPr>
        <w:spacing w:after="0" w:line="141"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Distributions on units </w:t>
      </w:r>
      <w:r>
        <w:rPr>
          <w:rFonts w:ascii="Times New Roman" w:cs="Times New Roman" w:eastAsia="Times New Roman" w:hAnsi="Times New Roman"/>
          <w:sz w:val="14"/>
          <w:szCs w:val="14"/>
          <w:color w:val="000000"/>
        </w:rPr>
        <w:t>are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subject to available capital, market conditions, and compliance with associated laws, regulations and other contractual obligations. The Company expects that, based on current circumstances, comparable distributions will continue to be paid in the foreseeable future.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460"/>
          </w:cols>
          <w:pgMar w:left="220" w:top="766" w:right="219" w:bottom="1440" w:gutter="0" w:footer="0" w:header="0"/>
        </w:sectPr>
      </w:pPr>
    </w:p>
    <w:bookmarkStart w:id="48" w:name="page49"/>
    <w:bookmarkEnd w:id="48"/>
    <w:p>
      <w:pPr>
        <w:ind w:left="200"/>
        <w:spacing w:after="0"/>
        <w:rPr>
          <w:sz w:val="20"/>
          <w:szCs w:val="20"/>
          <w:color w:val="auto"/>
        </w:rPr>
      </w:pPr>
      <w:r>
        <w:rPr>
          <w:rFonts w:ascii="Times New Roman" w:cs="Times New Roman" w:eastAsia="Times New Roman" w:hAnsi="Times New Roman"/>
          <w:sz w:val="14"/>
          <w:szCs w:val="14"/>
          <w:color w:val="auto"/>
        </w:rPr>
        <w:t>The following table lists the distributions paid on the Company's Class A, Class B, Class C and Class D units during the year ended December 31,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2016</w:t>
            </w:r>
          </w:p>
        </w:tc>
        <w:tc>
          <w:tcPr>
            <w:tcW w:w="12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2016</w:t>
            </w:r>
          </w:p>
        </w:tc>
        <w:tc>
          <w:tcPr>
            <w:tcW w:w="10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2016</w:t>
            </w:r>
          </w:p>
        </w:tc>
        <w:tc>
          <w:tcPr>
            <w:tcW w:w="140" w:type="dxa"/>
            <w:vAlign w:val="bottom"/>
          </w:tcPr>
          <w:p>
            <w:pPr>
              <w:spacing w:after="0"/>
              <w:rPr>
                <w:sz w:val="13"/>
                <w:szCs w:val="13"/>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First Quarter 2016</w:t>
            </w:r>
          </w:p>
        </w:tc>
      </w:tr>
      <w:tr>
        <w:trPr>
          <w:trHeight w:val="189"/>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0.225</w:t>
            </w:r>
          </w:p>
        </w:tc>
      </w:tr>
      <w:tr>
        <w:trPr>
          <w:trHeight w:val="192"/>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0.225</w:t>
            </w:r>
          </w:p>
        </w:tc>
      </w:tr>
    </w:tbl>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On February 15, 2017, the Company declared a quarterly distribution on its Class A, Class B, Class C and Class D units of $0.26 per unit payable on March 15, 2017.</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40"/>
          </w:cols>
          <w:pgMar w:left="340" w:top="76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2016 Compared to Year Ended December 31, 2015</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reflects the changes in cash flows for the year ended December 31, 2016, compared to 2015: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2016</w:t>
            </w:r>
          </w:p>
        </w:tc>
        <w:tc>
          <w:tcPr>
            <w:tcW w:w="4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2015</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209"/>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560</w:t>
            </w:r>
          </w:p>
        </w:tc>
        <w:tc>
          <w:tcPr>
            <w:tcW w:w="4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9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(161)</w:t>
            </w:r>
          </w:p>
        </w:tc>
        <w:tc>
          <w:tcPr>
            <w:tcW w:w="460" w:type="dxa"/>
            <w:vAlign w:val="bottom"/>
          </w:tcPr>
          <w:p>
            <w:pPr>
              <w:spacing w:after="0"/>
              <w:rPr>
                <w:sz w:val="16"/>
                <w:szCs w:val="16"/>
                <w:color w:val="auto"/>
              </w:rPr>
            </w:pPr>
          </w:p>
        </w:tc>
        <w:tc>
          <w:tcPr>
            <w:tcW w:w="7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(1,108)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(193)</w:t>
            </w:r>
          </w:p>
        </w:tc>
        <w:tc>
          <w:tcPr>
            <w:tcW w:w="4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342"/>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200"/>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operating income adjusted for non-cash items driven by higher revenues mainly in the Renewables segment in 2016 compared to 2015</w:t>
            </w:r>
          </w:p>
        </w:tc>
        <w:tc>
          <w:tcPr>
            <w:tcW w:w="7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5"/>
              </w:rPr>
              <w:t>127</w:t>
            </w:r>
          </w:p>
        </w:tc>
        <w:tc>
          <w:tcPr>
            <w:tcW w:w="0" w:type="dxa"/>
            <w:vAlign w:val="bottom"/>
          </w:tcPr>
          <w:p>
            <w:pPr>
              <w:spacing w:after="0"/>
              <w:rPr>
                <w:sz w:val="1"/>
                <w:szCs w:val="1"/>
                <w:color w:val="auto"/>
              </w:rPr>
            </w:pPr>
          </w:p>
        </w:tc>
      </w:tr>
      <w:tr>
        <w:trPr>
          <w:trHeight w:val="19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working capital driven primarily by the timing of accounts receivable collections in 2015 compared to 2016</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Higher distributions from unconsolidated affiliates</w:t>
            </w: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3"/>
        </w:trPr>
        <w:tc>
          <w:tcPr>
            <w:tcW w:w="8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2"/>
        </w:trPr>
        <w:tc>
          <w:tcPr>
            <w:tcW w:w="81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4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8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200"/>
        </w:trPr>
        <w:tc>
          <w:tcPr>
            <w:tcW w:w="1022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Higher payments for the acquisition of the January 2015 and November 2015 Drop Down Assets in 2015 compared to the payments made for the CVSR Drop Down in 2016</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5"/>
              </w:rPr>
              <w:t>621</w:t>
            </w:r>
          </w:p>
        </w:tc>
        <w:tc>
          <w:tcPr>
            <w:tcW w:w="0" w:type="dxa"/>
            <w:vAlign w:val="bottom"/>
          </w:tcPr>
          <w:p>
            <w:pPr>
              <w:spacing w:after="0"/>
              <w:rPr>
                <w:sz w:val="1"/>
                <w:szCs w:val="1"/>
                <w:color w:val="auto"/>
              </w:rPr>
            </w:pPr>
          </w:p>
        </w:tc>
      </w:tr>
      <w:tr>
        <w:trPr>
          <w:trHeight w:val="19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Higher net investments in unconsolidated affiliates in 2015, primarily due to investment in Desert Sunlight</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to acquire businesses, net of cash acquired, in 2015</w:t>
            </w:r>
          </w:p>
        </w:tc>
        <w:tc>
          <w:tcPr>
            <w:tcW w:w="3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2"/>
        </w:trPr>
        <w:tc>
          <w:tcPr>
            <w:tcW w:w="9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Decrease in capital expenditures primarily due to the completion of a project in the Thermal segment in 2015, as well as lower maintenance capital expenditures in 2016</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Receipt of insurance proceeds in 2016 in the Renewables segment</w:t>
            </w:r>
          </w:p>
        </w:tc>
        <w:tc>
          <w:tcPr>
            <w:tcW w:w="3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8"/>
        </w:trPr>
        <w:tc>
          <w:tcPr>
            <w:tcW w:w="1022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Higher restricted cash balances in 2016, primarily driven by higher revenues in the Renewables segment in the third and fourth quarters of 2016, which in turn provided more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available for distribution by certain projects</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Provided By Financing Activities</w:t>
            </w: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8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net cash (used in) provided by financing activities were driven by: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182"/>
        </w:trPr>
        <w:tc>
          <w:tcPr>
            <w:tcW w:w="102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sale of an economic interest in Alta TE Holdco in 2015, as further described in Item 15 — Note 5, </w:t>
            </w:r>
            <w:r>
              <w:rPr>
                <w:rFonts w:ascii="Times New Roman" w:cs="Times New Roman" w:eastAsia="Times New Roman" w:hAnsi="Times New Roman"/>
                <w:sz w:val="14"/>
                <w:szCs w:val="14"/>
                <w:i w:val="1"/>
                <w:iCs w:val="1"/>
                <w:color w:val="auto"/>
              </w:rPr>
              <w:t>Investments Accounted for by the Equity Method and Variable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i w:val="1"/>
                <w:iCs w:val="1"/>
                <w:color w:val="auto"/>
              </w:rPr>
              <w:t>Interest Entities</w:t>
            </w:r>
            <w:r>
              <w:rPr>
                <w:rFonts w:ascii="Times New Roman" w:cs="Times New Roman" w:eastAsia="Times New Roman" w:hAnsi="Times New Roman"/>
                <w:sz w:val="14"/>
                <w:szCs w:val="14"/>
                <w:color w:val="auto"/>
              </w:rPr>
              <w:t>, compared to lower net contributions from tax equity investors in 2016</w:t>
            </w:r>
          </w:p>
        </w:tc>
        <w:tc>
          <w:tcPr>
            <w:tcW w:w="3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78"/>
        </w:trPr>
        <w:tc>
          <w:tcPr>
            <w:tcW w:w="1022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Higher payments of distributions to NRG related to NRG's 25% ownership of NRG Wind TE Holdco and distributions made to NRG from Drop Down Assets prior to the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 dates</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Class C units in 2015</w:t>
            </w:r>
          </w:p>
        </w:tc>
        <w:tc>
          <w:tcPr>
            <w:tcW w:w="3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9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repayments of $306 million under the revolving credit facility in 2016 compared to the net borrowings of $306 million in 2015</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debt proceeds, as well as a decrease in payments for long-term debt in 2016, compared to 2015</w:t>
            </w:r>
          </w:p>
        </w:tc>
        <w:tc>
          <w:tcPr>
            <w:tcW w:w="3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19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distributions paid to unit holders</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5660"/>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8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66" w:right="2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2015 Compared to Year Ended December 31, 2014</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reflects the changes in cash flows for the year ended December 31, 2015, compared to 2014:</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50"/>
        </w:trPr>
        <w:tc>
          <w:tcPr>
            <w:tcW w:w="8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2014</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9"/>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42</w:t>
            </w:r>
          </w:p>
        </w:tc>
      </w:tr>
      <w:tr>
        <w:trPr>
          <w:trHeight w:val="192"/>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16"/>
                <w:szCs w:val="16"/>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r>
      <w:tr>
        <w:trPr>
          <w:trHeight w:val="22"/>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22"/>
        </w:trPr>
        <w:tc>
          <w:tcPr>
            <w:tcW w:w="8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r>
    </w:tbl>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ectPr>
          <w:pgSz w:w="11900" w:h="16838" w:orient="portrait"/>
          <w:cols w:equalWidth="0" w:num="1">
            <w:col w:w="11460"/>
          </w:cols>
          <w:pgMar w:left="220" w:top="1064" w:right="219" w:bottom="1440" w:gutter="0" w:footer="0" w:header="0"/>
        </w:sectPr>
      </w:pP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275195" cy="135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195" cy="13589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 in operating income adjusted for non-cash items</w:t>
      </w:r>
    </w:p>
    <w:p>
      <w:pPr>
        <w:spacing w:after="0" w:line="53" w:lineRule="exact"/>
        <w:rPr>
          <w:sz w:val="20"/>
          <w:szCs w:val="20"/>
          <w:color w:val="auto"/>
        </w:rPr>
      </w:pPr>
    </w:p>
    <w:p>
      <w:pPr>
        <w:ind w:left="20" w:right="2150"/>
        <w:spacing w:after="0" w:line="355" w:lineRule="auto"/>
        <w:rPr>
          <w:sz w:val="20"/>
          <w:szCs w:val="20"/>
          <w:color w:val="auto"/>
        </w:rPr>
      </w:pPr>
      <w:r>
        <w:rPr>
          <w:rFonts w:ascii="Times New Roman" w:cs="Times New Roman" w:eastAsia="Times New Roman" w:hAnsi="Times New Roman"/>
          <w:sz w:val="14"/>
          <w:szCs w:val="14"/>
          <w:color w:val="auto"/>
        </w:rPr>
        <w:t>Higher distributions from unconsolidated affiliates for the year ending December 31, 2015 compared to the same period in 2014 Changes in working capital primarily driven by timing of capacity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7275195" cy="13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195" cy="135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10"/>
        <w:spacing w:after="0"/>
        <w:rPr>
          <w:sz w:val="20"/>
          <w:szCs w:val="20"/>
          <w:color w:val="auto"/>
        </w:rPr>
      </w:pPr>
      <w:r>
        <w:rPr>
          <w:rFonts w:ascii="Times New Roman" w:cs="Times New Roman" w:eastAsia="Times New Roman" w:hAnsi="Times New Roman"/>
          <w:sz w:val="11"/>
          <w:szCs w:val="11"/>
          <w:b w:val="1"/>
          <w:bCs w:val="1"/>
          <w:u w:val="single" w:color="auto"/>
          <w:color w:val="auto"/>
        </w:rPr>
        <w:t>(In millions)</w:t>
      </w:r>
    </w:p>
    <w:p>
      <w:pPr>
        <w:spacing w:after="0" w:line="39" w:lineRule="exact"/>
        <w:rPr>
          <w:sz w:val="20"/>
          <w:szCs w:val="20"/>
          <w:color w:val="auto"/>
        </w:rPr>
      </w:pPr>
    </w:p>
    <w:p>
      <w:pPr>
        <w:ind w:left="990" w:hanging="990"/>
        <w:spacing w:after="0"/>
        <w:tabs>
          <w:tab w:leader="none" w:pos="99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w:t>
      </w:r>
    </w:p>
    <w:p>
      <w:pPr>
        <w:spacing w:after="0" w:line="53" w:lineRule="exact"/>
        <w:rPr>
          <w:rFonts w:ascii="Times New Roman" w:cs="Times New Roman" w:eastAsia="Times New Roman" w:hAnsi="Times New Roman"/>
          <w:sz w:val="14"/>
          <w:szCs w:val="14"/>
          <w:color w:val="auto"/>
        </w:rPr>
      </w:pPr>
    </w:p>
    <w:p>
      <w:pPr>
        <w:ind w:left="99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w:t>
      </w:r>
    </w:p>
    <w:p>
      <w:pPr>
        <w:spacing w:after="0" w:line="53" w:lineRule="exact"/>
        <w:rPr>
          <w:rFonts w:ascii="Times New Roman" w:cs="Times New Roman" w:eastAsia="Times New Roman" w:hAnsi="Times New Roman"/>
          <w:sz w:val="14"/>
          <w:szCs w:val="14"/>
          <w:color w:val="auto"/>
        </w:rPr>
      </w:pPr>
    </w:p>
    <w:p>
      <w:pPr>
        <w:ind w:left="10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36830</wp:posOffset>
            </wp:positionV>
            <wp:extent cx="79629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6290" cy="6985"/>
                    </a:xfrm>
                    <a:prstGeom prst="rect">
                      <a:avLst/>
                    </a:prstGeom>
                    <a:noFill/>
                  </pic:spPr>
                </pic:pic>
              </a:graphicData>
            </a:graphic>
          </wp:anchor>
        </w:drawing>
      </w:r>
    </w:p>
    <w:p>
      <w:pPr>
        <w:spacing w:after="0" w:line="56" w:lineRule="exact"/>
        <w:rPr>
          <w:sz w:val="20"/>
          <w:szCs w:val="20"/>
          <w:color w:val="auto"/>
        </w:rPr>
      </w:pPr>
    </w:p>
    <w:p>
      <w:pPr>
        <w:ind w:left="990" w:hanging="990"/>
        <w:spacing w:after="0"/>
        <w:tabs>
          <w:tab w:leader="none" w:pos="99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29845</wp:posOffset>
            </wp:positionV>
            <wp:extent cx="79629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6290" cy="698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43180</wp:posOffset>
            </wp:positionV>
            <wp:extent cx="79629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6290" cy="6985"/>
                    </a:xfrm>
                    <a:prstGeom prst="rect">
                      <a:avLst/>
                    </a:prstGeom>
                    <a:noFill/>
                  </pic:spPr>
                </pic:pic>
              </a:graphicData>
            </a:graphic>
          </wp:anchor>
        </w:drawing>
      </w:r>
    </w:p>
    <w:p>
      <w:pPr>
        <w:spacing w:after="0" w:line="578" w:lineRule="exact"/>
        <w:rPr>
          <w:sz w:val="20"/>
          <w:szCs w:val="20"/>
          <w:color w:val="auto"/>
        </w:rPr>
      </w:pPr>
    </w:p>
    <w:p>
      <w:pPr>
        <w:sectPr>
          <w:pgSz w:w="11900" w:h="16838" w:orient="portrait"/>
          <w:cols w:equalWidth="0" w:num="2">
            <w:col w:w="9510" w:space="720"/>
            <w:col w:w="1230"/>
          </w:cols>
          <w:pgMar w:left="220" w:top="1064" w:right="21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10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tc>
        <w:tc>
          <w:tcPr>
            <w:tcW w:w="220" w:type="dxa"/>
            <w:vAlign w:val="bottom"/>
          </w:tcPr>
          <w:p>
            <w:pPr>
              <w:spacing w:after="0"/>
              <w:rPr>
                <w:sz w:val="15"/>
                <w:szCs w:val="15"/>
                <w:color w:val="auto"/>
              </w:rPr>
            </w:pPr>
          </w:p>
        </w:tc>
        <w:tc>
          <w:tcPr>
            <w:tcW w:w="1040" w:type="dxa"/>
            <w:vAlign w:val="bottom"/>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200"/>
        </w:trPr>
        <w:tc>
          <w:tcPr>
            <w:tcW w:w="10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to acquire businesses, net of cash acquired (primarily the Alta acquisition in 2014)</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5"/>
              </w:rPr>
              <w:t>864</w:t>
            </w:r>
          </w:p>
        </w:tc>
        <w:tc>
          <w:tcPr>
            <w:tcW w:w="0" w:type="dxa"/>
            <w:vAlign w:val="bottom"/>
          </w:tcPr>
          <w:p>
            <w:pPr>
              <w:spacing w:after="0"/>
              <w:rPr>
                <w:sz w:val="1"/>
                <w:szCs w:val="1"/>
                <w:color w:val="auto"/>
              </w:rPr>
            </w:pPr>
          </w:p>
        </w:tc>
      </w:tr>
      <w:tr>
        <w:trPr>
          <w:trHeight w:val="192"/>
        </w:trPr>
        <w:tc>
          <w:tcPr>
            <w:tcW w:w="10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Higher payments made to acquire Drop Down Assets in 2015 compared to payments made in 2014</w:t>
            </w: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2"/>
        </w:trPr>
        <w:tc>
          <w:tcPr>
            <w:tcW w:w="10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capital expenditures due to several projects being placed in service in early 2014</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2"/>
        </w:trPr>
        <w:tc>
          <w:tcPr>
            <w:tcW w:w="10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restricted cash primarily due to cash transfers in connection with higher debt principal payments in 2015</w:t>
            </w: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2"/>
        </w:trPr>
        <w:tc>
          <w:tcPr>
            <w:tcW w:w="10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renewable energy grants in 2014</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92"/>
        </w:trPr>
        <w:tc>
          <w:tcPr>
            <w:tcW w:w="10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net investments in unconsolidated affiliates in 2015 compared to 2014, primarily due to the investment in Desert Sunlight made in 2015</w:t>
            </w: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22"/>
        </w:trPr>
        <w:tc>
          <w:tcPr>
            <w:tcW w:w="10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Receipt of indemnity from supplier for CVSR</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2"/>
        </w:trPr>
        <w:tc>
          <w:tcPr>
            <w:tcW w:w="10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
        </w:trPr>
        <w:tc>
          <w:tcPr>
            <w:tcW w:w="10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20"/>
        </w:trPr>
        <w:tc>
          <w:tcPr>
            <w:tcW w:w="102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Financing Activities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0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0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net cash provided by financing activities were driven by:</w:t>
            </w:r>
          </w:p>
        </w:tc>
        <w:tc>
          <w:tcPr>
            <w:tcW w:w="220" w:type="dxa"/>
            <w:vAlign w:val="bottom"/>
          </w:tcPr>
          <w:p>
            <w:pPr>
              <w:spacing w:after="0"/>
              <w:rPr>
                <w:sz w:val="24"/>
                <w:szCs w:val="24"/>
                <w:color w:val="auto"/>
              </w:rPr>
            </w:pPr>
          </w:p>
        </w:tc>
        <w:tc>
          <w:tcPr>
            <w:tcW w:w="1040" w:type="dxa"/>
            <w:vAlign w:val="bottom"/>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200"/>
        </w:trPr>
        <w:tc>
          <w:tcPr>
            <w:tcW w:w="10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 payments of dividends and returns of capital to NRG, partially offset by contributions from NRG in 2014</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5"/>
              </w:rPr>
              <w:t>274</w:t>
            </w:r>
          </w:p>
        </w:tc>
        <w:tc>
          <w:tcPr>
            <w:tcW w:w="0" w:type="dxa"/>
            <w:vAlign w:val="bottom"/>
          </w:tcPr>
          <w:p>
            <w:pPr>
              <w:spacing w:after="0"/>
              <w:rPr>
                <w:sz w:val="1"/>
                <w:szCs w:val="1"/>
                <w:color w:val="auto"/>
              </w:rPr>
            </w:pPr>
          </w:p>
        </w:tc>
      </w:tr>
      <w:tr>
        <w:trPr>
          <w:trHeight w:val="192"/>
        </w:trPr>
        <w:tc>
          <w:tcPr>
            <w:tcW w:w="10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Lower contributions from tax equity investors in 2015</w:t>
            </w: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2"/>
        </w:trPr>
        <w:tc>
          <w:tcPr>
            <w:tcW w:w="10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 net proceeds from the issuance of Class C units in 2015 compared to the net proceeds of Class A units issued in 2014</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2"/>
        </w:trPr>
        <w:tc>
          <w:tcPr>
            <w:tcW w:w="10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distributions paid to unit holders</w:t>
            </w: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2"/>
        </w:trPr>
        <w:tc>
          <w:tcPr>
            <w:tcW w:w="10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 net proceeds from the revolving credit facility in 2015 compared to 2014</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2"/>
        </w:trPr>
        <w:tc>
          <w:tcPr>
            <w:tcW w:w="10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decrease in proceeds from long-term debt, as well as an increase in debt payments, in 2015 compared to 2014</w:t>
            </w: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2"/>
        </w:trPr>
        <w:tc>
          <w:tcPr>
            <w:tcW w:w="10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debt issuance costs due to lower borrowing in 2015</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3"/>
        </w:trPr>
        <w:tc>
          <w:tcPr>
            <w:tcW w:w="1020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2"/>
        </w:trPr>
        <w:tc>
          <w:tcPr>
            <w:tcW w:w="10200" w:type="dxa"/>
            <w:vAlign w:val="bottom"/>
            <w:vMerge w:val="restart"/>
          </w:tcPr>
          <w:p>
            <w:pPr>
              <w:ind w:left="5660"/>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2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10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064" w:right="2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Certain Guarantee Contracts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Retained or Contingent Interests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Obligations Arising Out of a Variable Interest in an Unconsolidated Entity</w:t>
      </w:r>
    </w:p>
    <w:p>
      <w:pPr>
        <w:spacing w:after="0" w:line="120" w:lineRule="exact"/>
        <w:rPr>
          <w:sz w:val="20"/>
          <w:szCs w:val="20"/>
          <w:color w:val="auto"/>
        </w:rPr>
      </w:pPr>
    </w:p>
    <w:p>
      <w:pPr>
        <w:jc w:val="both"/>
        <w:ind w:firstLine="321"/>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Variable interest in equity investments </w:t>
      </w:r>
      <w:r>
        <w:rPr>
          <w:rFonts w:ascii="Times New Roman" w:cs="Times New Roman" w:eastAsia="Times New Roman" w:hAnsi="Times New Roman"/>
          <w:sz w:val="14"/>
          <w:szCs w:val="14"/>
          <w:color w:val="auto"/>
        </w:rPr>
        <w:t>— As of December 31, 2016, the Company has several investments with an ownership interest percentage of 50% or less in energy and energy-related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entities that are accounted for under the equity method. NRG DGPV Holdco 1 LLC</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NRG DGPV Holdco 2 LLC, NRG RPV Holdco 1 LLC and GenConn are variable interest entities for which the Company is not the primary beneficiary.</w:t>
      </w:r>
    </w:p>
    <w:p>
      <w:pPr>
        <w:spacing w:after="0" w:line="70"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 xml:space="preserve">The Company's pro-rata share of non-recourse debt held by unconsolidated affiliates was approximately $453 million as of December 31, 2016. This indebtedness may restrict the ability of these subsidiaries to issue dividends or distributions to the Company. See also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to the Consolidated Financial Statements.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 and Commercial Commitments</w:t>
      </w:r>
    </w:p>
    <w:p>
      <w:pPr>
        <w:spacing w:after="0" w:line="120"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The Company has a variety of contractual obligations and other commercial commitments that represent prospective cash requirements in addition to the Company's capital expenditure programs. The following table summarizes the Company's contractual obligations. See Item 15 — Note 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and Note 14,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to the Consolidated Financial Statements for additional discussion.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By Remaining Maturity at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2015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Contractual Cash Obligations</w:t>
            </w:r>
          </w:p>
        </w:tc>
        <w:tc>
          <w:tcPr>
            <w:tcW w:w="260" w:type="dxa"/>
            <w:vAlign w:val="bottom"/>
          </w:tcPr>
          <w:p>
            <w:pPr>
              <w:spacing w:after="0"/>
              <w:rPr>
                <w:sz w:val="10"/>
                <w:szCs w:val="10"/>
                <w:color w:val="auto"/>
              </w:rPr>
            </w:pPr>
          </w:p>
        </w:tc>
        <w:tc>
          <w:tcPr>
            <w:tcW w:w="1020" w:type="dxa"/>
            <w:vAlign w:val="bottom"/>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Under</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1-3 Years</w:t>
            </w:r>
          </w:p>
        </w:tc>
        <w:tc>
          <w:tcPr>
            <w:tcW w:w="140" w:type="dxa"/>
            <w:vAlign w:val="bottom"/>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3-5 Years</w:t>
            </w:r>
          </w:p>
        </w:tc>
        <w:tc>
          <w:tcPr>
            <w:tcW w:w="280" w:type="dxa"/>
            <w:vAlign w:val="bottom"/>
          </w:tcPr>
          <w:p>
            <w:pPr>
              <w:spacing w:after="0"/>
              <w:rPr>
                <w:sz w:val="10"/>
                <w:szCs w:val="10"/>
                <w:color w:val="auto"/>
              </w:rPr>
            </w:pPr>
          </w:p>
        </w:tc>
        <w:tc>
          <w:tcPr>
            <w:tcW w:w="96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Over</w:t>
            </w: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Pr>
          <w:p>
            <w:pPr>
              <w:spacing w:after="0"/>
              <w:rPr>
                <w:sz w:val="10"/>
                <w:szCs w:val="10"/>
                <w:color w:val="auto"/>
              </w:rPr>
            </w:pPr>
          </w:p>
        </w:tc>
        <w:tc>
          <w:tcPr>
            <w:tcW w:w="860" w:type="dxa"/>
            <w:vAlign w:val="bottom"/>
            <w:vMerge w:val="restart"/>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2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(including estimated interest)</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554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1,431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1,469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7,866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7,002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60" w:type="dxa"/>
            <w:vAlign w:val="bottom"/>
          </w:tcPr>
          <w:p>
            <w:pPr>
              <w:spacing w:after="0"/>
              <w:rPr>
                <w:sz w:val="16"/>
                <w:szCs w:val="16"/>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Fuel purchase and transportation obligations</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gridSpan w:val="2"/>
          </w:tcPr>
          <w:p>
            <w:pPr>
              <w:spacing w:after="0" w:line="214" w:lineRule="exact"/>
              <w:rPr>
                <w:sz w:val="20"/>
                <w:szCs w:val="20"/>
                <w:color w:val="auto"/>
              </w:rPr>
            </w:pPr>
            <w:r>
              <w:rPr>
                <w:rFonts w:ascii="Times New Roman" w:cs="Times New Roman" w:eastAsia="Times New Roman" w:hAnsi="Times New Roman"/>
                <w:sz w:val="14"/>
                <w:szCs w:val="14"/>
                <w:color w:val="auto"/>
              </w:rPr>
              <w:t xml:space="preserve">Other liabilities </w:t>
            </w:r>
            <w:r>
              <w:rPr>
                <w:rFonts w:ascii="Times New Roman" w:cs="Times New Roman" w:eastAsia="Times New Roman" w:hAnsi="Times New Roman"/>
                <w:sz w:val="19"/>
                <w:szCs w:val="19"/>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590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1,479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1,514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4,655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8,238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156210</wp:posOffset>
            </wp:positionV>
            <wp:extent cx="13881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225" w:lineRule="exact"/>
        <w:rPr>
          <w:sz w:val="20"/>
          <w:szCs w:val="20"/>
          <w:color w:val="auto"/>
        </w:rPr>
      </w:pPr>
    </w:p>
    <w:p>
      <w:pPr>
        <w:ind w:left="140" w:hanging="134"/>
        <w:spacing w:after="0"/>
        <w:tabs>
          <w:tab w:leader="none" w:pos="14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Includes water right agreements, service and maintenance agreements, and LTSA commitments.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41" w:lineRule="exact"/>
        <w:rPr>
          <w:sz w:val="20"/>
          <w:szCs w:val="20"/>
          <w:color w:val="auto"/>
        </w:rPr>
      </w:pPr>
    </w:p>
    <w:p>
      <w:pPr>
        <w:jc w:val="both"/>
        <w:ind w:right="100" w:firstLine="321"/>
        <w:spacing w:after="0" w:line="291" w:lineRule="auto"/>
        <w:rPr>
          <w:sz w:val="20"/>
          <w:szCs w:val="20"/>
          <w:color w:val="auto"/>
        </w:rPr>
      </w:pPr>
      <w:r>
        <w:rPr>
          <w:rFonts w:ascii="Times New Roman" w:cs="Times New Roman" w:eastAsia="Times New Roman" w:hAnsi="Times New Roman"/>
          <w:sz w:val="14"/>
          <w:szCs w:val="14"/>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81" w:lineRule="exact"/>
        <w:rPr>
          <w:sz w:val="20"/>
          <w:szCs w:val="20"/>
          <w:color w:val="auto"/>
        </w:rPr>
      </w:pPr>
    </w:p>
    <w:p>
      <w:pPr>
        <w:jc w:val="both"/>
        <w:ind w:firstLine="386"/>
        <w:spacing w:after="0" w:line="267"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December 31, 2016</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December 31, 2016</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w:t>
      </w:r>
      <w:r>
        <w:rPr>
          <w:rFonts w:ascii="Times New Roman" w:cs="Times New Roman" w:eastAsia="Times New Roman" w:hAnsi="Times New Roman"/>
          <w:sz w:val="14"/>
          <w:szCs w:val="14"/>
          <w:color w:val="000000"/>
        </w:rPr>
        <w:t xml:space="preserve"> Item 15 — Note 6</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to the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460"/>
          </w:cols>
          <w:pgMar w:left="220" w:top="766"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Derivative Activity (Losses)/Gains</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contracts as of December 31, 2015</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Contracts realized or otherwise settled during the period</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Changes in fair value</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 of contracts as of December 31, 2016</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gridSpan w:val="6"/>
            <w:vMerge w:val="restart"/>
          </w:tcPr>
          <w:p>
            <w:pPr>
              <w:jc w:val="center"/>
              <w:ind w:left="36"/>
              <w:spacing w:after="0"/>
              <w:rPr>
                <w:sz w:val="20"/>
                <w:szCs w:val="20"/>
                <w:color w:val="auto"/>
              </w:rPr>
            </w:pPr>
            <w:r>
              <w:rPr>
                <w:rFonts w:ascii="Times New Roman" w:cs="Times New Roman" w:eastAsia="Times New Roman" w:hAnsi="Times New Roman"/>
                <w:sz w:val="11"/>
                <w:szCs w:val="11"/>
                <w:b w:val="1"/>
                <w:bCs w:val="1"/>
                <w:color w:val="auto"/>
              </w:rPr>
              <w:t>Fair value of contracts as of December 31, 2016</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6"/>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Fair Value Hierarchy Losses</w:t>
            </w:r>
          </w:p>
        </w:tc>
        <w:tc>
          <w:tcPr>
            <w:tcW w:w="180" w:type="dxa"/>
            <w:vAlign w:val="bottom"/>
          </w:tcPr>
          <w:p>
            <w:pPr>
              <w:spacing w:after="0"/>
              <w:rPr>
                <w:sz w:val="10"/>
                <w:szCs w:val="10"/>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1 Year or Less</w:t>
            </w: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9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rPr>
              <w:t>Total Fair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7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1 Year to 3 Years</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3 Years to 5 Years</w:t>
            </w: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231F20"/>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4"/>
          <w:szCs w:val="14"/>
          <w:i w:val="1"/>
          <w:iCs w:val="1"/>
          <w:color w:val="231F20"/>
        </w:rPr>
        <w:t xml:space="preserve">Quantitative and Qualitative Disclosures about Market Risk -Commodity Price Risk, </w:t>
      </w:r>
      <w:r>
        <w:rPr>
          <w:rFonts w:ascii="Times New Roman" w:cs="Times New Roman" w:eastAsia="Times New Roman" w:hAnsi="Times New Roman"/>
          <w:sz w:val="14"/>
          <w:szCs w:val="14"/>
          <w:color w:val="231F20"/>
        </w:rPr>
        <w:t>NRG, on behalf of the</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000000"/>
        </w:rPr>
        <w:t>Company, measures the sensitivity of the portfolio to potential changes in market prices</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000000"/>
        </w:rPr>
        <w:t>using VaR, a statistical model which attempts to predict risk of loss based on market price and volatility. NRG's risk management policy places a limit on one-day holding period VaR, which limits the net open position.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1"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3"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2" w:lineRule="exact"/>
        <w:rPr>
          <w:sz w:val="20"/>
          <w:szCs w:val="20"/>
          <w:color w:val="auto"/>
        </w:rPr>
      </w:pPr>
    </w:p>
    <w:p>
      <w:pPr>
        <w:jc w:val="both"/>
        <w:ind w:firstLine="343"/>
        <w:spacing w:after="0" w:line="268" w:lineRule="auto"/>
        <w:rPr>
          <w:sz w:val="20"/>
          <w:szCs w:val="20"/>
          <w:color w:val="auto"/>
        </w:rPr>
      </w:pPr>
      <w:r>
        <w:rPr>
          <w:rFonts w:ascii="Times New Roman" w:cs="Times New Roman" w:eastAsia="Times New Roman" w:hAnsi="Times New Roman"/>
          <w:sz w:val="14"/>
          <w:szCs w:val="14"/>
          <w:color w:val="auto"/>
        </w:rPr>
        <w:t xml:space="preserve">The Company's significant accounting policies are summarized in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460"/>
          </w:cols>
          <w:pgMar w:left="220" w:top="892" w:right="219" w:bottom="1440" w:gutter="0" w:footer="0" w:header="0"/>
        </w:sectPr>
      </w:pPr>
    </w:p>
    <w:bookmarkStart w:id="53" w:name="page54"/>
    <w:bookmarkEnd w:id="53"/>
    <w:tbl>
      <w:tblPr>
        <w:tblLayout w:type="fixed"/>
        <w:tblInd w:w="20" w:type="dxa"/>
        <w:tblCellMar>
          <w:top w:w="0" w:type="dxa"/>
          <w:left w:w="0" w:type="dxa"/>
          <w:bottom w:w="0" w:type="dxa"/>
          <w:right w:w="0" w:type="dxa"/>
        </w:tblCellMar>
      </w:tblPr>
      <w:tr>
        <w:trPr>
          <w:trHeight w:val="127"/>
        </w:trPr>
        <w:tc>
          <w:tcPr>
            <w:tcW w:w="6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Accounting Policy</w:t>
            </w:r>
          </w:p>
        </w:tc>
        <w:tc>
          <w:tcPr>
            <w:tcW w:w="5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Judgments/Uncertainties Affecting Application</w:t>
            </w:r>
          </w:p>
        </w:tc>
      </w:tr>
      <w:tr>
        <w:trPr>
          <w:trHeight w:val="20"/>
        </w:trPr>
        <w:tc>
          <w:tcPr>
            <w:tcW w:w="90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304"/>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Impairment of Long Lived Assets</w:t>
            </w: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Recoverability of investments through future operations</w:t>
            </w:r>
          </w:p>
        </w:tc>
      </w:tr>
      <w:tr>
        <w:trPr>
          <w:trHeight w:val="214"/>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and political environments and requirements</w:t>
            </w:r>
          </w:p>
        </w:tc>
      </w:tr>
      <w:tr>
        <w:trPr>
          <w:trHeight w:val="214"/>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useful lives of assets</w:t>
            </w:r>
          </w:p>
        </w:tc>
      </w:tr>
      <w:tr>
        <w:trPr>
          <w:trHeight w:val="214"/>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Operational limitations and environmental obligations</w:t>
            </w:r>
          </w:p>
        </w:tc>
      </w:tr>
      <w:tr>
        <w:trPr>
          <w:trHeight w:val="214"/>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Estimates of future cash flows</w:t>
            </w:r>
          </w:p>
        </w:tc>
      </w:tr>
      <w:tr>
        <w:trPr>
          <w:trHeight w:val="214"/>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Estimates of fair value</w:t>
            </w:r>
          </w:p>
        </w:tc>
      </w:tr>
      <w:tr>
        <w:trPr>
          <w:trHeight w:val="214"/>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Judgment about triggering events</w:t>
            </w: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 Accounting</w:t>
            </w: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Identification of intangible assets acquired</w:t>
            </w:r>
          </w:p>
        </w:tc>
      </w:tr>
      <w:tr>
        <w:trPr>
          <w:trHeight w:val="214"/>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Inputs for fair value of assets and liabilities acquired</w:t>
            </w:r>
          </w:p>
        </w:tc>
      </w:tr>
      <w:tr>
        <w:trPr>
          <w:trHeight w:val="214"/>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Application of various methodologies</w:t>
            </w:r>
          </w:p>
        </w:tc>
      </w:tr>
    </w:tbl>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Evaluation of Assets for Impairment and Other-Than-Temporary Decline in Value</w:t>
      </w:r>
    </w:p>
    <w:p>
      <w:pPr>
        <w:spacing w:after="0" w:line="141" w:lineRule="exact"/>
        <w:rPr>
          <w:sz w:val="20"/>
          <w:szCs w:val="20"/>
          <w:color w:val="auto"/>
        </w:rPr>
      </w:pPr>
    </w:p>
    <w:p>
      <w:pPr>
        <w:jc w:val="both"/>
        <w:ind w:firstLine="343"/>
        <w:spacing w:after="0" w:line="289" w:lineRule="auto"/>
        <w:rPr>
          <w:sz w:val="20"/>
          <w:szCs w:val="20"/>
          <w:color w:val="auto"/>
        </w:rPr>
      </w:pPr>
      <w:r>
        <w:rPr>
          <w:rFonts w:ascii="Times New Roman" w:cs="Times New Roman" w:eastAsia="Times New Roman" w:hAnsi="Times New Roman"/>
          <w:sz w:val="14"/>
          <w:szCs w:val="14"/>
          <w:color w:val="auto"/>
        </w:rPr>
        <w:t xml:space="preserve">In accordance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or ASC 360, property, plant and equipment and certain intangible assets are evaluated for impairment whenever indicators of impairment exist. Examples of such indicators or events are:</w:t>
      </w:r>
    </w:p>
    <w:p>
      <w:pPr>
        <w:ind w:left="520" w:hanging="257"/>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decrease in the market price of a long-lived asset;</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adverse change in the manner an asset is being used or its physical condition;</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business climate;</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Accumulation of costs significantly in excess of the amount originally expected for the construction or acquisition of an asset;</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Current-period loss combined with a history of losses or the projection of future losses; and</w:t>
      </w:r>
    </w:p>
    <w:p>
      <w:pPr>
        <w:spacing w:after="0" w:line="53" w:lineRule="exact"/>
        <w:rPr>
          <w:rFonts w:ascii="Times New Roman" w:cs="Times New Roman" w:eastAsia="Times New Roman" w:hAnsi="Times New Roman"/>
          <w:sz w:val="14"/>
          <w:szCs w:val="14"/>
          <w:color w:val="auto"/>
        </w:rPr>
      </w:pPr>
    </w:p>
    <w:p>
      <w:pPr>
        <w:ind w:left="520" w:hanging="257"/>
        <w:spacing w:after="0" w:line="265"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the Company's intent about an asset from an intent to hold to a greater than 50% likelihood that an asset will be sold or disposed of before the end of its previously estimated useful life.</w:t>
      </w:r>
    </w:p>
    <w:p>
      <w:pPr>
        <w:spacing w:after="0" w:line="294" w:lineRule="exact"/>
        <w:rPr>
          <w:sz w:val="20"/>
          <w:szCs w:val="20"/>
          <w:color w:val="auto"/>
        </w:rPr>
      </w:pPr>
    </w:p>
    <w:p>
      <w:pPr>
        <w:jc w:val="both"/>
        <w:ind w:firstLine="343"/>
        <w:spacing w:after="0" w:line="262" w:lineRule="auto"/>
        <w:rPr>
          <w:sz w:val="20"/>
          <w:szCs w:val="20"/>
          <w:color w:val="auto"/>
        </w:rPr>
      </w:pPr>
      <w:r>
        <w:rPr>
          <w:rFonts w:ascii="Times New Roman" w:cs="Times New Roman" w:eastAsia="Times New Roman" w:hAnsi="Times New Roman"/>
          <w:sz w:val="14"/>
          <w:szCs w:val="14"/>
          <w:color w:val="auto"/>
        </w:rPr>
        <w:t>Recoverability of assets to be held and used is measured by a comparison of the carrying amount of the assets to the future net cash flows expected to be generated by the asset, through considering project specific assumptions for long-term power pool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103" w:lineRule="exact"/>
        <w:rPr>
          <w:sz w:val="20"/>
          <w:szCs w:val="20"/>
          <w:color w:val="auto"/>
        </w:rPr>
      </w:pPr>
    </w:p>
    <w:p>
      <w:pPr>
        <w:jc w:val="both"/>
        <w:ind w:firstLine="343"/>
        <w:spacing w:after="0" w:line="291" w:lineRule="auto"/>
        <w:rPr>
          <w:sz w:val="20"/>
          <w:szCs w:val="20"/>
          <w:color w:val="auto"/>
        </w:rPr>
      </w:pPr>
      <w:r>
        <w:rPr>
          <w:rFonts w:ascii="Times New Roman" w:cs="Times New Roman" w:eastAsia="Times New Roman" w:hAnsi="Times New Roman"/>
          <w:sz w:val="14"/>
          <w:szCs w:val="14"/>
          <w:color w:val="auto"/>
        </w:rPr>
        <w:t>Annually, during the fourth quarter, the Company revises its views of power prices, including the Company's fundamental view for long-term power prices, forecasted generation and operating and capital expenditures, in connection with the preparation of its annual budget.</w:t>
      </w:r>
    </w:p>
    <w:p>
      <w:pPr>
        <w:spacing w:after="0" w:line="79" w:lineRule="exact"/>
        <w:rPr>
          <w:sz w:val="20"/>
          <w:szCs w:val="20"/>
          <w:color w:val="auto"/>
        </w:rPr>
      </w:pPr>
    </w:p>
    <w:p>
      <w:pPr>
        <w:jc w:val="both"/>
        <w:ind w:firstLine="343"/>
        <w:spacing w:after="0" w:line="268" w:lineRule="auto"/>
        <w:rPr>
          <w:sz w:val="20"/>
          <w:szCs w:val="20"/>
          <w:color w:val="auto"/>
        </w:rPr>
      </w:pPr>
      <w:r>
        <w:rPr>
          <w:rFonts w:ascii="Times New Roman" w:cs="Times New Roman" w:eastAsia="Times New Roman" w:hAnsi="Times New Roman"/>
          <w:sz w:val="14"/>
          <w:szCs w:val="14"/>
          <w:color w:val="auto"/>
        </w:rPr>
        <w:t xml:space="preserve">The Company recorded certain long-lived asset impairments in 2016, as described in Item 15 — Note 9, </w:t>
      </w:r>
      <w:r>
        <w:rPr>
          <w:rFonts w:ascii="Times New Roman" w:cs="Times New Roman" w:eastAsia="Times New Roman" w:hAnsi="Times New Roman"/>
          <w:sz w:val="14"/>
          <w:szCs w:val="14"/>
          <w:i w:val="1"/>
          <w:iCs w:val="1"/>
          <w:color w:val="auto"/>
        </w:rPr>
        <w:t>Asset Impairments</w:t>
      </w:r>
      <w:r>
        <w:rPr>
          <w:rFonts w:ascii="Times New Roman" w:cs="Times New Roman" w:eastAsia="Times New Roman" w:hAnsi="Times New Roman"/>
          <w:sz w:val="14"/>
          <w:szCs w:val="14"/>
          <w:color w:val="auto"/>
        </w:rPr>
        <w:t xml:space="preserve">, to the Consolidated Financial Statements, with respect to several wind projects that were acquired in connection with the acquisition of the November 2015 Drop Down Assets. Because the projects were acquired from NRG, they were recorded at historical cost rather than fair value. The historical cost of the assets was higher than its fair value at the date the interests under common control were acquired, as described in Item 15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Note 3,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Acquisitions, </w:t>
      </w:r>
      <w:r>
        <w:rPr>
          <w:rFonts w:ascii="Times New Roman" w:cs="Times New Roman" w:eastAsia="Times New Roman" w:hAnsi="Times New Roman"/>
          <w:sz w:val="14"/>
          <w:szCs w:val="14"/>
          <w:color w:val="auto"/>
        </w:rPr>
        <w:t>to the Consolidated Financial Statements.</w:t>
      </w:r>
    </w:p>
    <w:p>
      <w:pPr>
        <w:spacing w:after="0" w:line="97" w:lineRule="exact"/>
        <w:rPr>
          <w:sz w:val="20"/>
          <w:szCs w:val="20"/>
          <w:color w:val="auto"/>
        </w:rPr>
      </w:pPr>
    </w:p>
    <w:p>
      <w:pPr>
        <w:jc w:val="both"/>
        <w:ind w:firstLine="343"/>
        <w:spacing w:after="0" w:line="262" w:lineRule="auto"/>
        <w:rPr>
          <w:sz w:val="20"/>
          <w:szCs w:val="20"/>
          <w:color w:val="auto"/>
        </w:rPr>
      </w:pPr>
      <w:r>
        <w:rPr>
          <w:rFonts w:ascii="Times New Roman" w:cs="Times New Roman" w:eastAsia="Times New Roman" w:hAnsi="Times New Roman"/>
          <w:sz w:val="14"/>
          <w:szCs w:val="14"/>
          <w:color w:val="auto"/>
        </w:rPr>
        <w:t>During the fourth quarter of 2016, as the Company updated its estimated cash flows in connection with the preparation and review of the Company's annual budget, the Company determined that the cash flows for the Elbow Creek and Goat Wind projects located in Texas and the Forward project in Pennsylvania were below the carrying value (historical cost transferred under common control) of the related assets, primarily driven by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utilizes estimates of discounted future cash flows, which include key inputs, such as forecasted power prices, operations and maintenance expense, and discount rates. The Company measured the impairment loss as the difference between the carrying amount and the fair value of the assets and recorded impairment losses of $117 million, $60 million and $6 million for Elbow Creek, Goat Wind and Forward, respectively.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460"/>
          </w:cols>
          <w:pgMar w:left="220" w:top="892" w:right="219" w:bottom="1440" w:gutter="0" w:footer="0" w:header="0"/>
        </w:sectPr>
      </w:pPr>
    </w:p>
    <w:bookmarkStart w:id="54" w:name="page55"/>
    <w:bookmarkEnd w:id="54"/>
    <w:p>
      <w:pPr>
        <w:jc w:val="both"/>
        <w:ind w:firstLine="343"/>
        <w:spacing w:after="0" w:line="263" w:lineRule="auto"/>
        <w:rPr>
          <w:sz w:val="20"/>
          <w:szCs w:val="20"/>
          <w:color w:val="auto"/>
        </w:rPr>
      </w:pPr>
      <w:r>
        <w:rPr>
          <w:rFonts w:ascii="Times New Roman" w:cs="Times New Roman" w:eastAsia="Times New Roman" w:hAnsi="Times New Roman"/>
          <w:sz w:val="14"/>
          <w:szCs w:val="14"/>
          <w:color w:val="auto"/>
        </w:rPr>
        <w:t xml:space="preserve">The Company is also required to evaluate its equity method investments to determine whether or not they are impaired. ASC 323, </w:t>
      </w:r>
      <w:r>
        <w:rPr>
          <w:rFonts w:ascii="Times New Roman" w:cs="Times New Roman" w:eastAsia="Times New Roman" w:hAnsi="Times New Roman"/>
          <w:sz w:val="14"/>
          <w:szCs w:val="14"/>
          <w:i w:val="1"/>
          <w:iCs w:val="1"/>
          <w:color w:val="auto"/>
        </w:rPr>
        <w:t>Investments - Equity Method and Joint Ventures</w:t>
      </w:r>
      <w:r>
        <w:rPr>
          <w:rFonts w:ascii="Times New Roman" w:cs="Times New Roman" w:eastAsia="Times New Roman" w:hAnsi="Times New Roman"/>
          <w:sz w:val="14"/>
          <w:szCs w:val="14"/>
          <w:color w:val="auto"/>
        </w:rPr>
        <w:t>, or ASC 323, provides the accounting requirements for these investments. The standard for determining whether an impairment 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w:t>
      </w:r>
    </w:p>
    <w:p>
      <w:pPr>
        <w:spacing w:after="0" w:line="101" w:lineRule="exact"/>
        <w:rPr>
          <w:sz w:val="20"/>
          <w:szCs w:val="20"/>
          <w:color w:val="auto"/>
        </w:rPr>
      </w:pPr>
    </w:p>
    <w:p>
      <w:pPr>
        <w:jc w:val="both"/>
        <w:ind w:firstLine="386"/>
        <w:spacing w:after="0" w:line="273" w:lineRule="auto"/>
        <w:rPr>
          <w:sz w:val="20"/>
          <w:szCs w:val="20"/>
          <w:color w:val="auto"/>
        </w:rPr>
      </w:pPr>
      <w:r>
        <w:rPr>
          <w:rFonts w:ascii="Times New Roman" w:cs="Times New Roman" w:eastAsia="Times New Roman" w:hAnsi="Times New Roman"/>
          <w:sz w:val="14"/>
          <w:szCs w:val="14"/>
          <w:color w:val="auto"/>
        </w:rPr>
        <w:t>Certain of the Company’s projects have useful lives that extend well beyond the contract period and therefore, management’s view of long-term power prices in the post-contract periods may have a significant impact on the expected future cash flows for these projects. Accordingly, if management’s view of long-term power prices in certain markets continues to decrease, it is possible that some of the Company’s other long-lived assets may be impaired.</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Acquisition Accounting</w:t>
      </w:r>
    </w:p>
    <w:p>
      <w:pPr>
        <w:spacing w:after="0" w:line="141" w:lineRule="exact"/>
        <w:rPr>
          <w:sz w:val="20"/>
          <w:szCs w:val="20"/>
          <w:color w:val="auto"/>
        </w:rPr>
      </w:pPr>
    </w:p>
    <w:p>
      <w:pPr>
        <w:jc w:val="both"/>
        <w:ind w:firstLine="279"/>
        <w:spacing w:after="0" w:line="268" w:lineRule="auto"/>
        <w:rPr>
          <w:sz w:val="20"/>
          <w:szCs w:val="20"/>
          <w:color w:val="auto"/>
        </w:rPr>
      </w:pPr>
      <w:r>
        <w:rPr>
          <w:rFonts w:ascii="Times New Roman" w:cs="Times New Roman" w:eastAsia="Times New Roman" w:hAnsi="Times New Roman"/>
          <w:sz w:val="14"/>
          <w:szCs w:val="14"/>
          <w:color w:val="auto"/>
        </w:rPr>
        <w:t xml:space="preserve">The Company applies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when accounting for the acquisition of a business, with identifiable assets acquired and liabilities assumed recorded at their estimated fair values on the acquisition date. The Company completes the accounting for an acquisition when the evaluations are completed to the extent that additional information is obtained about the facts and circumstances that existed as of the acquisition date. The allocation of the purchase price may be modified up to one year from the date of the acquisition as more information is obtained about the fair value of assets acquired and liabilities assumed. </w:t>
      </w:r>
      <w:r>
        <w:rPr>
          <w:rFonts w:ascii="Times New Roman" w:cs="Times New Roman" w:eastAsia="Times New Roman" w:hAnsi="Times New Roman"/>
          <w:sz w:val="14"/>
          <w:szCs w:val="14"/>
          <w:color w:val="231F20"/>
        </w:rPr>
        <w:t>Consideration is measured based on fair value of the assets transferred to the seller.</w:t>
      </w:r>
    </w:p>
    <w:p>
      <w:pPr>
        <w:spacing w:after="0" w:line="97" w:lineRule="exact"/>
        <w:rPr>
          <w:sz w:val="20"/>
          <w:szCs w:val="20"/>
          <w:color w:val="auto"/>
        </w:rPr>
      </w:pPr>
    </w:p>
    <w:p>
      <w:pPr>
        <w:jc w:val="both"/>
        <w:ind w:firstLine="279"/>
        <w:spacing w:after="0" w:line="262" w:lineRule="auto"/>
        <w:rPr>
          <w:sz w:val="20"/>
          <w:szCs w:val="20"/>
          <w:color w:val="auto"/>
        </w:rPr>
      </w:pPr>
      <w:r>
        <w:rPr>
          <w:rFonts w:ascii="Times New Roman" w:cs="Times New Roman" w:eastAsia="Times New Roman" w:hAnsi="Times New Roman"/>
          <w:sz w:val="14"/>
          <w:szCs w:val="14"/>
          <w:color w:val="231F20"/>
        </w:rPr>
        <w:t xml:space="preserve">Significant judgment is required in determining the acquisition date fair value of the assets acquired and liabilities assumed, predominantly with respect to property, plant and equipment, power purchase agreements, asset retirement obligations and other contractual arrangements. Evaluations include numerous inputs including </w:t>
      </w:r>
      <w:r>
        <w:rPr>
          <w:rFonts w:ascii="Times New Roman" w:cs="Times New Roman" w:eastAsia="Times New Roman" w:hAnsi="Times New Roman"/>
          <w:sz w:val="14"/>
          <w:szCs w:val="14"/>
          <w:color w:val="000000"/>
        </w:rPr>
        <w:t>forecasted cash flows that incorporate the specific attributes of</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each asset including age, useful life, equipment condition and technology, as well as current replacement costs for similar assets. Other key inputs that require judgment include discount rates, </w:t>
      </w:r>
      <w:r>
        <w:rPr>
          <w:rFonts w:ascii="Times New Roman" w:cs="Times New Roman" w:eastAsia="Times New Roman" w:hAnsi="Times New Roman"/>
          <w:sz w:val="14"/>
          <w:szCs w:val="14"/>
          <w:color w:val="231F20"/>
        </w:rPr>
        <w:t>comparable market transactions, estimated 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01" w:lineRule="exact"/>
        <w:rPr>
          <w:sz w:val="20"/>
          <w:szCs w:val="20"/>
          <w:color w:val="auto"/>
        </w:rPr>
      </w:pPr>
    </w:p>
    <w:p>
      <w:pPr>
        <w:jc w:val="both"/>
        <w:ind w:firstLine="321"/>
        <w:spacing w:after="0" w:line="265" w:lineRule="auto"/>
        <w:rPr>
          <w:sz w:val="20"/>
          <w:szCs w:val="20"/>
          <w:color w:val="auto"/>
        </w:rPr>
      </w:pPr>
      <w:r>
        <w:rPr>
          <w:rFonts w:ascii="Times New Roman" w:cs="Times New Roman" w:eastAsia="Times New Roman" w:hAnsi="Times New Roman"/>
          <w:sz w:val="14"/>
          <w:szCs w:val="14"/>
          <w:color w:val="231F20"/>
        </w:rPr>
        <w:t xml:space="preserve">The Company must apply ASC 805-50, </w:t>
      </w:r>
      <w:r>
        <w:rPr>
          <w:rFonts w:ascii="Times New Roman" w:cs="Times New Roman" w:eastAsia="Times New Roman" w:hAnsi="Times New Roman"/>
          <w:sz w:val="14"/>
          <w:szCs w:val="14"/>
          <w:i w:val="1"/>
          <w:iCs w:val="1"/>
          <w:color w:val="231F20"/>
        </w:rPr>
        <w:t>Business Combinations - Related Issues,</w:t>
      </w:r>
      <w:r>
        <w:rPr>
          <w:rFonts w:ascii="Times New Roman" w:cs="Times New Roman" w:eastAsia="Times New Roman" w:hAnsi="Times New Roman"/>
          <w:sz w:val="14"/>
          <w:szCs w:val="14"/>
          <w:color w:val="231F20"/>
        </w:rPr>
        <w:t xml:space="preserve"> when it acquires an interest from NRG. The assets and liabilities transferred to the Company related to interests under common control by NRG must be recorded at historical cost, with the difference between the amount paid and the historical value of the related equity recorded as a distribution to or contribution from NRG with the offset to noncontrolling interest. Economics may change in the years subsequent to NRG’s construction or acquisition of certain assets, and although the Company may acquire these assets from NRG based on a different valuation, the Company must record the assets at historical cost. These changes in economics may impact the amount that the Company pays for the assets but will not alter the carrying amount. Accordingly, significant changes in the economics related to these assets may trigger a requirement for impairment testing.</w:t>
      </w:r>
    </w:p>
    <w:p>
      <w:pPr>
        <w:spacing w:after="0" w:line="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See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the Consolidated Financial Statements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460"/>
          </w:cols>
          <w:pgMar w:left="220" w:top="766" w:right="2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Item 7A — Quantitative and Qualitative Disclosures About Market Risk</w:t>
      </w:r>
    </w:p>
    <w:p>
      <w:pPr>
        <w:spacing w:after="0" w:line="141" w:lineRule="exact"/>
        <w:rPr>
          <w:sz w:val="20"/>
          <w:szCs w:val="20"/>
          <w:color w:val="auto"/>
        </w:rPr>
      </w:pPr>
    </w:p>
    <w:p>
      <w:pPr>
        <w:jc w:val="both"/>
        <w:ind w:right="280" w:firstLine="321"/>
        <w:spacing w:after="0" w:line="273" w:lineRule="auto"/>
        <w:rPr>
          <w:sz w:val="20"/>
          <w:szCs w:val="20"/>
          <w:color w:val="auto"/>
        </w:rPr>
      </w:pPr>
      <w:r>
        <w:rPr>
          <w:rFonts w:ascii="Times New Roman" w:cs="Times New Roman" w:eastAsia="Times New Roman" w:hAnsi="Times New Roman"/>
          <w:sz w:val="14"/>
          <w:szCs w:val="14"/>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color w:val="231F20"/>
        </w:rPr>
        <w:t>, to the Consolidated Financial Statements for more information.</w:t>
      </w:r>
    </w:p>
    <w:p>
      <w:pPr>
        <w:spacing w:after="0" w:line="98"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Times New Roman" w:cs="Times New Roman" w:eastAsia="Times New Roman" w:hAnsi="Times New Roman"/>
          <w:sz w:val="14"/>
          <w:szCs w:val="14"/>
          <w:color w:val="000000"/>
        </w:rPr>
        <w:t>$1 million</w:t>
      </w:r>
      <w:r>
        <w:rPr>
          <w:rFonts w:ascii="Times New Roman" w:cs="Times New Roman" w:eastAsia="Times New Roman" w:hAnsi="Times New Roman"/>
          <w:sz w:val="14"/>
          <w:szCs w:val="14"/>
          <w:color w:val="231F20"/>
        </w:rPr>
        <w:t xml:space="preserve"> in the net value of derivatives as of </w:t>
      </w:r>
      <w:r>
        <w:rPr>
          <w:rFonts w:ascii="Times New Roman" w:cs="Times New Roman" w:eastAsia="Times New Roman" w:hAnsi="Times New Roman"/>
          <w:sz w:val="14"/>
          <w:szCs w:val="14"/>
          <w:color w:val="000000"/>
        </w:rPr>
        <w:t>December 31, 2016</w:t>
      </w:r>
      <w:r>
        <w:rPr>
          <w:rFonts w:ascii="Times New Roman" w:cs="Times New Roman" w:eastAsia="Times New Roman" w:hAnsi="Times New Roman"/>
          <w:sz w:val="14"/>
          <w:szCs w:val="14"/>
          <w:color w:val="231F20"/>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color w:val="231F20"/>
        </w:rPr>
        <w:t>, to the Consolidated Financial Statements for more information.</w:t>
      </w:r>
    </w:p>
    <w:p>
      <w:pPr>
        <w:spacing w:after="0" w:line="98"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231F20"/>
        </w:rPr>
        <w:t xml:space="preserve">Most of the Company's project subsidiaries enter into interest rate swaps, intended to hedge the risks associated with interest rates on non-recourse project level debt.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to the Consolidated Financial Statements for more information about interest rate swaps of the Company's project subsidiaries.</w:t>
      </w:r>
    </w:p>
    <w:p>
      <w:pPr>
        <w:spacing w:after="0" w:line="81"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231F20"/>
        </w:rPr>
        <w:t xml:space="preserve">If all of the above swaps had been discontinued on </w:t>
      </w:r>
      <w:r>
        <w:rPr>
          <w:rFonts w:ascii="Times New Roman" w:cs="Times New Roman" w:eastAsia="Times New Roman" w:hAnsi="Times New Roman"/>
          <w:sz w:val="14"/>
          <w:szCs w:val="14"/>
          <w:color w:val="000000"/>
        </w:rPr>
        <w:t>December 31, 2016</w:t>
      </w:r>
      <w:r>
        <w:rPr>
          <w:rFonts w:ascii="Times New Roman" w:cs="Times New Roman" w:eastAsia="Times New Roman" w:hAnsi="Times New Roman"/>
          <w:sz w:val="14"/>
          <w:szCs w:val="14"/>
          <w:color w:val="231F20"/>
        </w:rPr>
        <w:t>, the Company would have owed the counterparties $72 million. Based on the credit ratings of the counterparties, the Company believes its exposure to credit risk due to nonperformance by counterparties to its hedge contracts to be insignificant.</w:t>
      </w:r>
    </w:p>
    <w:p>
      <w:pPr>
        <w:spacing w:after="0" w:line="81"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December 31, 2016</w:t>
      </w:r>
      <w:r>
        <w:rPr>
          <w:rFonts w:ascii="Times New Roman" w:cs="Times New Roman" w:eastAsia="Times New Roman" w:hAnsi="Times New Roman"/>
          <w:sz w:val="14"/>
          <w:szCs w:val="14"/>
          <w:color w:val="231F20"/>
        </w:rPr>
        <w:t>, a 1% change in interest rates would result in an approximately $3 million change in market interest expense on a rolling twelve month basis.</w:t>
      </w:r>
    </w:p>
    <w:p>
      <w:pPr>
        <w:spacing w:after="0" w:line="81"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2016</w:t>
      </w:r>
      <w:r>
        <w:rPr>
          <w:rFonts w:ascii="Times New Roman" w:cs="Times New Roman" w:eastAsia="Times New Roman" w:hAnsi="Times New Roman"/>
          <w:sz w:val="14"/>
          <w:szCs w:val="14"/>
          <w:color w:val="231F20"/>
        </w:rPr>
        <w:t>, the fair value of the Company's debt was $5,756 million and the carrying value was $5,782 million. The Company estimates that a 1% decrease in market interest rates would have increased the fair value of its long-term debt by $476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43"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Times New Roman" w:cs="Times New Roman" w:eastAsia="Times New Roman" w:hAnsi="Times New Roman"/>
          <w:sz w:val="14"/>
          <w:szCs w:val="14"/>
          <w:color w:val="000000"/>
        </w:rPr>
        <w:t>Note 1</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Nature of Business</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to the Consolidated Financial Statements for more information about concentration of credit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 Financial Statements and Supplementary Data</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financial statements and schedules are listed in Part IV, Item 15 of this Form 10-K.</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460"/>
          </w:cols>
          <w:pgMar w:left="220" w:top="766" w:right="2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Item 9 — Changes in and Disagreements with Accountants on Accounting and Financial Disclosure</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 Controls and Procedures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 and Internal Control Over Financial Reporting</w:t>
      </w:r>
    </w:p>
    <w:p>
      <w:pPr>
        <w:spacing w:after="0" w:line="141"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report on Form 10-K.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55"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such term is defined in Rule 13a-15(f) under the Exchange Act) that occurred in the fourth quarter of 2016 that materially affected, or are reasonably likely to materially affect,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over Internal Controls</w:t>
      </w:r>
    </w:p>
    <w:p>
      <w:pPr>
        <w:spacing w:after="0" w:line="55"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38" w:lineRule="exact"/>
        <w:rPr>
          <w:sz w:val="20"/>
          <w:szCs w:val="20"/>
          <w:color w:val="auto"/>
        </w:rPr>
      </w:pPr>
    </w:p>
    <w:p>
      <w:pPr>
        <w:ind w:left="480" w:hanging="153"/>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Company's assets;</w:t>
      </w:r>
    </w:p>
    <w:p>
      <w:pPr>
        <w:spacing w:after="0" w:line="24" w:lineRule="exact"/>
        <w:rPr>
          <w:rFonts w:ascii="Times New Roman" w:cs="Times New Roman" w:eastAsia="Times New Roman" w:hAnsi="Times New Roman"/>
          <w:sz w:val="14"/>
          <w:szCs w:val="14"/>
          <w:color w:val="auto"/>
        </w:rPr>
      </w:pPr>
    </w:p>
    <w:p>
      <w:pPr>
        <w:ind w:firstLine="327"/>
        <w:spacing w:after="0" w:line="255" w:lineRule="auto"/>
        <w:tabs>
          <w:tab w:leader="none" w:pos="46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ind w:firstLine="327"/>
        <w:spacing w:after="0" w:line="271" w:lineRule="auto"/>
        <w:tabs>
          <w:tab w:leader="none" w:pos="48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consolidated financial statements.</w:t>
      </w:r>
    </w:p>
    <w:p>
      <w:pPr>
        <w:spacing w:after="0" w:line="51"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55"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4"/>
          <w:szCs w:val="14"/>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Based on the Company's evaluation under the framework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the Company's management concluded that its internal control over financial reporting was effective as of December 31,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 Other Information</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460"/>
          </w:cols>
          <w:pgMar w:left="220" w:top="766" w:right="21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 Directors, Executive Officers and Corporate Governance</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Item 10 has been omitted from this report pursuant to the reduced disclosure format permitted by General Instruction I to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 Executive Compensation</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Item 11 has been omitted from this report pursuant to the reduced disclosure format permitted by General Instruction I to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 Security Ownership of Certain Beneficial Owners and Management and Related Stockholder Matters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Item 12 has been omitted from this report pursuant to the reduced disclosure format permitted by General Instruction I to Form 10-K.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 Certain Relationships and Related Transactions, and Director Independence</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Item 13 has been omitted from this report pursuant to the reduced disclosure format permitted by General Instruction I to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 Principal Accounting Fees and Services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Audit and Nonaudit Fees</w:t>
      </w:r>
    </w:p>
    <w:p>
      <w:pPr>
        <w:spacing w:after="0" w:line="184" w:lineRule="exact"/>
        <w:rPr>
          <w:sz w:val="20"/>
          <w:szCs w:val="20"/>
          <w:color w:val="auto"/>
        </w:rPr>
      </w:pPr>
    </w:p>
    <w:p>
      <w:pPr>
        <w:ind w:firstLine="321"/>
        <w:spacing w:after="0" w:line="291" w:lineRule="auto"/>
        <w:rPr>
          <w:sz w:val="20"/>
          <w:szCs w:val="20"/>
          <w:color w:val="auto"/>
        </w:rPr>
      </w:pPr>
      <w:r>
        <w:rPr>
          <w:rFonts w:ascii="Times New Roman" w:cs="Times New Roman" w:eastAsia="Times New Roman" w:hAnsi="Times New Roman"/>
          <w:sz w:val="14"/>
          <w:szCs w:val="14"/>
          <w:color w:val="auto"/>
        </w:rPr>
        <w:t>The following table presents fees for professional services rendered by KPMG LLP, the Company's principal independent registered public accounting firm, for the years ended December 31, 2016 and December 31, 2015.</w:t>
      </w:r>
    </w:p>
    <w:p>
      <w:pPr>
        <w:spacing w:after="0" w:line="251"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6"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3" w:lineRule="exact"/>
        <w:rPr>
          <w:sz w:val="20"/>
          <w:szCs w:val="20"/>
          <w:color w:val="auto"/>
        </w:rPr>
      </w:pPr>
    </w:p>
    <w:tbl>
      <w:tblPr>
        <w:tblLayout w:type="fixed"/>
        <w:tblInd w:w="1900" w:type="dxa"/>
        <w:tblCellMar>
          <w:top w:w="0" w:type="dxa"/>
          <w:left w:w="0" w:type="dxa"/>
          <w:bottom w:w="0" w:type="dxa"/>
          <w:right w:w="0" w:type="dxa"/>
        </w:tblCellMar>
      </w:tblPr>
      <w:tr>
        <w:trPr>
          <w:trHeight w:val="205"/>
        </w:trPr>
        <w:tc>
          <w:tcPr>
            <w:tcW w:w="434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CCEEFF"/>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Audit Fees</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1,952,210</w:t>
            </w:r>
          </w:p>
        </w:tc>
        <w:tc>
          <w:tcPr>
            <w:tcW w:w="8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1,680,000</w:t>
            </w:r>
          </w:p>
        </w:tc>
      </w:tr>
      <w:tr>
        <w:trPr>
          <w:trHeight w:val="22"/>
        </w:trPr>
        <w:tc>
          <w:tcPr>
            <w:tcW w:w="4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4"/>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Audit-Related Fees</w:t>
            </w:r>
          </w:p>
        </w:tc>
        <w:tc>
          <w:tcPr>
            <w:tcW w:w="9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Tax Fees</w:t>
            </w:r>
          </w:p>
        </w:tc>
        <w:tc>
          <w:tcPr>
            <w:tcW w:w="96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79,269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260,817</w:t>
            </w:r>
          </w:p>
        </w:tc>
      </w:tr>
      <w:tr>
        <w:trPr>
          <w:trHeight w:val="22"/>
        </w:trPr>
        <w:tc>
          <w:tcPr>
            <w:tcW w:w="4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4"/>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Fees</w:t>
            </w:r>
          </w:p>
        </w:tc>
        <w:tc>
          <w:tcPr>
            <w:tcW w:w="9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2,031,479</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1,940,817</w:t>
            </w:r>
          </w:p>
        </w:tc>
      </w:tr>
      <w:tr>
        <w:trPr>
          <w:trHeight w:val="20"/>
        </w:trPr>
        <w:tc>
          <w:tcPr>
            <w:tcW w:w="4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Audit Fees</w:t>
      </w:r>
    </w:p>
    <w:p>
      <w:pPr>
        <w:spacing w:after="0" w:line="184"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For 2016 and 2015 audit services, KPMG LLP billed the Company approximately $1,952,210 and $1,680,000, respectively, for the audit of the Company’s consolidated financial statements and the review of the Company’s quarterly consolidated financial statements on Form 10-Q that are customary under the standards of the Public Company Accounting Oversight Board (United States), and in connection with statutory audits.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Audit-Related Fees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no audit-related fees billed to the Company by KPMG LLP for 2016 or 2015.</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Tax Fees</w:t>
      </w:r>
    </w:p>
    <w:p>
      <w:pPr>
        <w:spacing w:after="0" w:line="184"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There were approximately $79,269 in tax fees billed to the Company by KPMG LLP for 2016, relating mainly to compliance work. There were approximately $260,817 in tax fees billed to the Company by KPMG LLP for 2015.</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All Other Fees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no other fees billed to the Company by KPMG LLP for 2016 or 2015.</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460"/>
          </w:cols>
          <w:pgMar w:left="220" w:top="316" w:right="219" w:bottom="1440" w:gutter="0" w:footer="0" w:header="0"/>
        </w:sectPr>
      </w:pPr>
    </w:p>
    <w:bookmarkStart w:id="58" w:name="page59"/>
    <w:bookmarkEnd w:id="58"/>
    <w:p>
      <w:pPr>
        <w:ind w:left="320"/>
        <w:spacing w:after="0"/>
        <w:rPr>
          <w:sz w:val="20"/>
          <w:szCs w:val="20"/>
          <w:color w:val="auto"/>
        </w:rPr>
      </w:pPr>
      <w:r>
        <w:rPr>
          <w:rFonts w:ascii="Times New Roman" w:cs="Times New Roman" w:eastAsia="Times New Roman" w:hAnsi="Times New Roman"/>
          <w:sz w:val="14"/>
          <w:szCs w:val="14"/>
          <w:b w:val="1"/>
          <w:bCs w:val="1"/>
          <w:color w:val="auto"/>
        </w:rPr>
        <w:t>Policy on Audit Committee Pre-approval</w:t>
      </w:r>
    </w:p>
    <w:p>
      <w:pPr>
        <w:spacing w:after="0" w:line="184" w:lineRule="exact"/>
        <w:rPr>
          <w:sz w:val="20"/>
          <w:szCs w:val="20"/>
          <w:color w:val="auto"/>
        </w:rPr>
      </w:pPr>
    </w:p>
    <w:p>
      <w:pPr>
        <w:jc w:val="both"/>
        <w:ind w:firstLine="321"/>
        <w:spacing w:after="0" w:line="284" w:lineRule="auto"/>
        <w:rPr>
          <w:sz w:val="20"/>
          <w:szCs w:val="20"/>
          <w:color w:val="auto"/>
        </w:rPr>
      </w:pPr>
      <w:r>
        <w:rPr>
          <w:rFonts w:ascii="Times New Roman" w:cs="Times New Roman" w:eastAsia="Times New Roman" w:hAnsi="Times New Roman"/>
          <w:sz w:val="14"/>
          <w:szCs w:val="14"/>
          <w:color w:val="auto"/>
        </w:rPr>
        <w:t>The Audit Committee of Yield, Inc. is responsible for appointing, setting compensation for, and overseeing the work of the independent registered public accounting firm of the Company. The Audit Committee of Yield, Inc. has established a policy regarding pre-approval of all audit and permissible nonaudit services provided by the independent registered public accounting firm of the Company.</w:t>
      </w:r>
    </w:p>
    <w:p>
      <w:pPr>
        <w:spacing w:after="0" w:line="305"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The Audit Committee of Yield, Inc. will annually review and pre-approve services that are expected to be provided by the independent registered public accounting firm. The term of the pre-approval will be 12 months from the date of the pre-approval, unless the Audit Committee of Yield, Inc. approves a shorter time period. The Audit Committee may periodically amend and/or supplement the pre-approved services based on subsequent determinations.</w:t>
      </w:r>
    </w:p>
    <w:p>
      <w:pPr>
        <w:spacing w:after="0" w:line="137"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Unless the Audit Committee of Yield, Inc. has pre-approved Audit Services or a specified category of nonaudit services, any engagement to provide such services must be pre-approved by the Audit Committee of Yield, Inc. if it is to be provided by the independent registered public accounting firm. The Audit Committee of Yield, Inc. must also pre-approve any proposed services exceeding the pre-approved budgeted fee levels for a specified type of service.</w:t>
      </w:r>
    </w:p>
    <w:p>
      <w:pPr>
        <w:spacing w:after="0" w:line="137"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 Audit Committee of Yield, Inc. has authorized its Chair to pre-approve services in amounts up to $100,000 per engagement. Engagements exceeding $100,000 must be approved by the full Audit Committee of Yield, Inc. Engagements pre-approved by the Chair are reported to the Audit Committee of Yield, Inc. at its next scheduled meeting.</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460"/>
          </w:cols>
          <w:pgMar w:left="220" w:top="766" w:right="219" w:bottom="1440" w:gutter="0" w:footer="0" w:header="0"/>
        </w:sectPr>
      </w:pPr>
    </w:p>
    <w:bookmarkStart w:id="59" w:name="page60"/>
    <w:bookmarkEnd w:id="59"/>
    <w:p>
      <w:pPr>
        <w:ind w:left="546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 Exhibits, Financial Statement Schedules</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consolidated financial statements of NRG Yield LLC and related notes thereto, together with the reports thereon of KPMG LLP, are included herein:</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Income — Years ended December 31, 2016, 2015 and 2014</w:t>
      </w:r>
    </w:p>
    <w:p>
      <w:pPr>
        <w:spacing w:after="0" w:line="139" w:lineRule="exact"/>
        <w:rPr>
          <w:sz w:val="20"/>
          <w:szCs w:val="20"/>
          <w:color w:val="auto"/>
        </w:rPr>
      </w:pPr>
    </w:p>
    <w:p>
      <w:pPr>
        <w:ind w:left="580" w:right="3699"/>
        <w:spacing w:after="0" w:line="447" w:lineRule="auto"/>
        <w:rPr>
          <w:sz w:val="20"/>
          <w:szCs w:val="20"/>
          <w:color w:val="auto"/>
        </w:rPr>
      </w:pPr>
      <w:r>
        <w:rPr>
          <w:rFonts w:ascii="Times New Roman" w:cs="Times New Roman" w:eastAsia="Times New Roman" w:hAnsi="Times New Roman"/>
          <w:sz w:val="14"/>
          <w:szCs w:val="14"/>
          <w:color w:val="auto"/>
        </w:rPr>
        <w:t>Consolidated Statements of Comprehensive Income — Years ended December 31, 2016, 2015 and 2014 Consolidated Balance Sheets — As of December 31, 2016 and 2015</w:t>
      </w:r>
    </w:p>
    <w:p>
      <w:pPr>
        <w:ind w:left="580" w:right="4079"/>
        <w:spacing w:after="0" w:line="447" w:lineRule="auto"/>
        <w:rPr>
          <w:sz w:val="20"/>
          <w:szCs w:val="20"/>
          <w:color w:val="auto"/>
        </w:rPr>
      </w:pPr>
      <w:r>
        <w:rPr>
          <w:rFonts w:ascii="Times New Roman" w:cs="Times New Roman" w:eastAsia="Times New Roman" w:hAnsi="Times New Roman"/>
          <w:sz w:val="14"/>
          <w:szCs w:val="14"/>
          <w:color w:val="auto"/>
        </w:rPr>
        <w:t>Consolidated Statements of Cash Flows — Years ended December 31, 2016, 2015 and 2014 Consolidated Statements of Members' Equity — Years ended December 31, 2016, 2015 and 2014 Notes to Consolidated Financial Statements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(a)(2) Not applicable</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(a)(3) Exhibits: See Exhibit Index submitted as a separate section of this report</w:t>
      </w:r>
    </w:p>
    <w:p>
      <w:pPr>
        <w:spacing w:after="0" w:line="139" w:lineRule="exact"/>
        <w:rPr>
          <w:sz w:val="20"/>
          <w:szCs w:val="20"/>
          <w:color w:val="auto"/>
        </w:rPr>
      </w:pPr>
    </w:p>
    <w:p>
      <w:pPr>
        <w:ind w:left="600" w:hanging="208"/>
        <w:spacing w:after="0"/>
        <w:tabs>
          <w:tab w:leader="none" w:pos="6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39"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Exhibit Index submitted as a separate section of this report</w:t>
      </w:r>
    </w:p>
    <w:p>
      <w:pPr>
        <w:spacing w:after="0" w:line="139" w:lineRule="exact"/>
        <w:rPr>
          <w:rFonts w:ascii="Times New Roman" w:cs="Times New Roman" w:eastAsia="Times New Roman" w:hAnsi="Times New Roman"/>
          <w:sz w:val="14"/>
          <w:szCs w:val="14"/>
          <w:color w:val="auto"/>
        </w:rPr>
      </w:pPr>
    </w:p>
    <w:p>
      <w:pPr>
        <w:ind w:left="580" w:hanging="188"/>
        <w:spacing w:after="0"/>
        <w:tabs>
          <w:tab w:leader="none" w:pos="5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3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239"/>
          </w:cols>
          <w:pgMar w:left="220" w:top="766"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Members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NRG Yield LLC:</w:t>
      </w:r>
    </w:p>
    <w:p>
      <w:pPr>
        <w:spacing w:after="0" w:line="2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NRG Yield LLC and subsidiaries as of December 31, 2016 and 2015, and the related consolidated statements of operations, comprehensive (loss) income, members’ equity, and cash flows for each of the years in the three-year period ended December 31, 2016. These consolidated financial statements are the responsibility of the Company’s management. Our responsibility is to express an opinion on these consolidated financial statements and financial statement schedule based on our audits.</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7" w:lineRule="exact"/>
        <w:rPr>
          <w:sz w:val="20"/>
          <w:szCs w:val="20"/>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NRG Yield LLC and subsidiaries as of December 31, 2016 and 2015, and the results of their operations and their cash flows for each of the years in the three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period ended December 31, 2016, in conformity with U.S. generally accepted accounting principles.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 KPMG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2017</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460"/>
          </w:cols>
          <w:pgMar w:left="220" w:top="937" w:right="2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NRG YIELD LLC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205"/>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7"/>
                <w:szCs w:val="17"/>
                <w:color w:val="auto"/>
              </w:rPr>
            </w:pPr>
          </w:p>
        </w:tc>
        <w:tc>
          <w:tcPr>
            <w:tcW w:w="800" w:type="dxa"/>
            <w:vAlign w:val="bottom"/>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 xml:space="preserve">2015 </w:t>
            </w:r>
            <w:r>
              <w:rPr>
                <w:rFonts w:ascii="Times New Roman" w:cs="Times New Roman" w:eastAsia="Times New Roman" w:hAnsi="Times New Roman"/>
                <w:sz w:val="7"/>
                <w:szCs w:val="7"/>
                <w:b w:val="1"/>
                <w:bCs w:val="1"/>
                <w:color w:val="auto"/>
              </w:rPr>
              <w:t>(a)</w:t>
            </w:r>
          </w:p>
        </w:tc>
        <w:tc>
          <w:tcPr>
            <w:tcW w:w="200" w:type="dxa"/>
            <w:vAlign w:val="bottom"/>
          </w:tcPr>
          <w:p>
            <w:pPr>
              <w:spacing w:after="0"/>
              <w:rPr>
                <w:sz w:val="17"/>
                <w:szCs w:val="17"/>
                <w:color w:val="auto"/>
              </w:rPr>
            </w:pPr>
          </w:p>
        </w:tc>
        <w:tc>
          <w:tcPr>
            <w:tcW w:w="800" w:type="dxa"/>
            <w:vAlign w:val="bottom"/>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 xml:space="preserve">2014 </w:t>
            </w:r>
            <w:r>
              <w:rPr>
                <w:rFonts w:ascii="Times New Roman" w:cs="Times New Roman" w:eastAsia="Times New Roman" w:hAnsi="Times New Roman"/>
                <w:sz w:val="7"/>
                <w:szCs w:val="7"/>
                <w:b w:val="1"/>
                <w:bCs w:val="1"/>
                <w:color w:val="auto"/>
              </w:rPr>
              <w:t>(a)</w:t>
            </w:r>
          </w:p>
        </w:tc>
      </w:tr>
      <w:tr>
        <w:trPr>
          <w:trHeight w:val="189"/>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2"/>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1,021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828</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92"/>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operations</w:t>
            </w:r>
          </w:p>
        </w:tc>
        <w:tc>
          <w:tcPr>
            <w:tcW w:w="24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277</w:t>
            </w:r>
          </w:p>
        </w:tc>
      </w:tr>
      <w:tr>
        <w:trPr>
          <w:trHeight w:val="22"/>
        </w:trPr>
        <w:tc>
          <w:tcPr>
            <w:tcW w:w="8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233</w:t>
            </w:r>
          </w:p>
        </w:tc>
      </w:tr>
      <w:tr>
        <w:trPr>
          <w:trHeight w:val="192"/>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losses</w:t>
            </w:r>
          </w:p>
        </w:tc>
        <w:tc>
          <w:tcPr>
            <w:tcW w:w="24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r>
      <w:tr>
        <w:trPr>
          <w:trHeight w:val="192"/>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Acquisition-related transaction and integration costs</w:t>
            </w:r>
          </w:p>
        </w:tc>
        <w:tc>
          <w:tcPr>
            <w:tcW w:w="24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5"/>
        </w:trPr>
        <w:tc>
          <w:tcPr>
            <w:tcW w:w="8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522</w:t>
            </w:r>
          </w:p>
        </w:tc>
      </w:tr>
      <w:tr>
        <w:trPr>
          <w:trHeight w:val="18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306</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92"/>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r>
      <w:tr>
        <w:trPr>
          <w:trHeight w:val="22"/>
        </w:trPr>
        <w:tc>
          <w:tcPr>
            <w:tcW w:w="8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r>
      <w:tr>
        <w:trPr>
          <w:trHeight w:val="192"/>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8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4"/>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183"/>
        </w:trPr>
        <w:tc>
          <w:tcPr>
            <w:tcW w:w="8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other expense, net</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117</w:t>
            </w:r>
          </w:p>
        </w:tc>
      </w:tr>
      <w:tr>
        <w:trPr>
          <w:trHeight w:val="183"/>
        </w:trPr>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NRG Yield LLC</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41541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(a) </w:t>
      </w:r>
      <w:r>
        <w:rPr>
          <w:rFonts w:ascii="Times New Roman" w:cs="Times New Roman" w:eastAsia="Times New Roman" w:hAnsi="Times New Roman"/>
          <w:sz w:val="11"/>
          <w:szCs w:val="11"/>
          <w:color w:val="auto"/>
        </w:rPr>
        <w:t>Retrospectively adjusted as discussed in Note 1,</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460"/>
          </w:cols>
          <w:pgMar w:left="220" w:top="766" w:right="2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NRG YIELD LLC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201"/>
        </w:trPr>
        <w:tc>
          <w:tcPr>
            <w:tcW w:w="8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2016</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 xml:space="preserve">2015 </w:t>
            </w:r>
            <w:r>
              <w:rPr>
                <w:rFonts w:ascii="Times New Roman" w:cs="Times New Roman" w:eastAsia="Times New Roman" w:hAnsi="Times New Roman"/>
                <w:sz w:val="7"/>
                <w:szCs w:val="7"/>
                <w:b w:val="1"/>
                <w:bCs w:val="1"/>
                <w:color w:val="auto"/>
              </w:rPr>
              <w:t>(a)</w:t>
            </w:r>
          </w:p>
        </w:tc>
        <w:tc>
          <w:tcPr>
            <w:tcW w:w="200" w:type="dxa"/>
            <w:vAlign w:val="bottom"/>
          </w:tcPr>
          <w:p>
            <w:pPr>
              <w:spacing w:after="0"/>
              <w:rPr>
                <w:sz w:val="17"/>
                <w:szCs w:val="17"/>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 xml:space="preserve">2014 </w:t>
            </w:r>
            <w:r>
              <w:rPr>
                <w:rFonts w:ascii="Times New Roman" w:cs="Times New Roman" w:eastAsia="Times New Roman" w:hAnsi="Times New Roman"/>
                <w:sz w:val="7"/>
                <w:szCs w:val="7"/>
                <w:b w:val="1"/>
                <w:bCs w:val="1"/>
                <w:color w:val="auto"/>
              </w:rPr>
              <w:t>(a)</w:t>
            </w:r>
          </w:p>
        </w:tc>
      </w:tr>
      <w:tr>
        <w:trPr>
          <w:trHeight w:val="209"/>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199"/>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62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117</w:t>
            </w:r>
          </w:p>
        </w:tc>
      </w:tr>
      <w:tr>
        <w:trPr>
          <w:trHeight w:val="19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
        </w:trPr>
        <w:tc>
          <w:tcPr>
            <w:tcW w:w="8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4"/>
        </w:trPr>
        <w:tc>
          <w:tcPr>
            <w:tcW w:w="8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Unrealized gain (loss) on derivatives</w:t>
            </w:r>
          </w:p>
        </w:tc>
        <w:tc>
          <w:tcPr>
            <w:tcW w:w="6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(65)</w:t>
            </w:r>
          </w:p>
        </w:tc>
      </w:tr>
      <w:tr>
        <w:trPr>
          <w:trHeight w:val="183"/>
        </w:trPr>
        <w:tc>
          <w:tcPr>
            <w:tcW w:w="81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(65)</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6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52</w:t>
            </w:r>
          </w:p>
        </w:tc>
      </w:tr>
      <w:tr>
        <w:trPr>
          <w:trHeight w:val="18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Comprehensive (loss) income attributable to noncontrolling interests</w:t>
            </w:r>
          </w:p>
        </w:tc>
        <w:tc>
          <w:tcPr>
            <w:tcW w:w="6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(142)</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NRG Yield LLC</w:t>
            </w:r>
          </w:p>
        </w:tc>
        <w:tc>
          <w:tcPr>
            <w:tcW w:w="62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41541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(a) </w:t>
      </w:r>
      <w:r>
        <w:rPr>
          <w:rFonts w:ascii="Times New Roman" w:cs="Times New Roman" w:eastAsia="Times New Roman" w:hAnsi="Times New Roman"/>
          <w:sz w:val="11"/>
          <w:szCs w:val="11"/>
          <w:color w:val="auto"/>
        </w:rPr>
        <w:t>Retrospectively adjusted as discussed in Note 1,</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460"/>
          </w:cols>
          <w:pgMar w:left="220" w:top="766" w:right="219" w:bottom="1440" w:gutter="0" w:footer="0" w:header="0"/>
        </w:sectPr>
      </w:pPr>
    </w:p>
    <w:bookmarkStart w:id="63" w:name="page64"/>
    <w:bookmarkEnd w:id="63"/>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NRG YIELD LLC</w:t>
      </w:r>
    </w:p>
    <w:p>
      <w:pPr>
        <w:spacing w:after="0" w:line="9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74" w:type="dxa"/>
        <w:tblCellMar>
          <w:top w:w="0" w:type="dxa"/>
          <w:left w:w="0" w:type="dxa"/>
          <w:bottom w:w="0" w:type="dxa"/>
          <w:right w:w="0" w:type="dxa"/>
        </w:tblCellMar>
      </w:tblPr>
      <w:tr>
        <w:trPr>
          <w:trHeight w:val="150"/>
        </w:trPr>
        <w:tc>
          <w:tcPr>
            <w:tcW w:w="758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2016</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 xml:space="preserve">December 31, 2015 </w:t>
            </w:r>
            <w:r>
              <w:rPr>
                <w:rFonts w:ascii="Times New Roman" w:cs="Times New Roman" w:eastAsia="Times New Roman" w:hAnsi="Times New Roman"/>
                <w:sz w:val="7"/>
                <w:szCs w:val="7"/>
                <w:b w:val="1"/>
                <w:bCs w:val="1"/>
                <w:color w:val="auto"/>
              </w:rPr>
              <w:t>(a)</w:t>
            </w:r>
          </w:p>
        </w:tc>
        <w:tc>
          <w:tcPr>
            <w:tcW w:w="0" w:type="dxa"/>
            <w:vAlign w:val="bottom"/>
          </w:tcPr>
          <w:p>
            <w:pPr>
              <w:spacing w:after="0"/>
              <w:rPr>
                <w:sz w:val="1"/>
                <w:szCs w:val="1"/>
                <w:color w:val="auto"/>
              </w:rPr>
            </w:pPr>
          </w:p>
        </w:tc>
      </w:tr>
      <w:tr>
        <w:trPr>
          <w:trHeight w:val="199"/>
        </w:trPr>
        <w:tc>
          <w:tcPr>
            <w:tcW w:w="7580" w:type="dxa"/>
            <w:vAlign w:val="bottom"/>
            <w:tcBorders>
              <w:bottom w:val="single" w:sz="8" w:color="CCEEFF"/>
            </w:tcBorders>
          </w:tcPr>
          <w:p>
            <w:pPr>
              <w:ind w:left="35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0" w:type="dxa"/>
            <w:vAlign w:val="bottom"/>
          </w:tcPr>
          <w:p>
            <w:pPr>
              <w:jc w:val="right"/>
              <w:ind w:right="125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140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 affiliates</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Inventory</w:t>
            </w:r>
          </w:p>
        </w:tc>
        <w:tc>
          <w:tcPr>
            <w:tcW w:w="140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Notes receivable — current</w:t>
            </w:r>
          </w:p>
        </w:tc>
        <w:tc>
          <w:tcPr>
            <w:tcW w:w="140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1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75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4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5,460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5,878</w:t>
            </w:r>
          </w:p>
        </w:tc>
        <w:tc>
          <w:tcPr>
            <w:tcW w:w="0" w:type="dxa"/>
            <w:vAlign w:val="bottom"/>
          </w:tcPr>
          <w:p>
            <w:pPr>
              <w:spacing w:after="0"/>
              <w:rPr>
                <w:sz w:val="1"/>
                <w:szCs w:val="1"/>
                <w:color w:val="auto"/>
              </w:rPr>
            </w:pPr>
          </w:p>
        </w:tc>
      </w:tr>
      <w:tr>
        <w:trPr>
          <w:trHeight w:val="188"/>
        </w:trPr>
        <w:tc>
          <w:tcPr>
            <w:tcW w:w="7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710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697</w:t>
            </w: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Notes receivable — non-current</w:t>
            </w:r>
          </w:p>
        </w:tc>
        <w:tc>
          <w:tcPr>
            <w:tcW w:w="140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Intangible assets, net</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1,286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1,362</w:t>
            </w: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140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68"/>
        </w:trPr>
        <w:tc>
          <w:tcPr>
            <w:tcW w:w="75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14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2,062</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2,225</w:t>
            </w:r>
          </w:p>
        </w:tc>
        <w:tc>
          <w:tcPr>
            <w:tcW w:w="0" w:type="dxa"/>
            <w:vAlign w:val="bottom"/>
          </w:tcPr>
          <w:p>
            <w:pPr>
              <w:spacing w:after="0"/>
              <w:rPr>
                <w:sz w:val="1"/>
                <w:szCs w:val="1"/>
                <w:color w:val="auto"/>
              </w:rPr>
            </w:pPr>
          </w:p>
        </w:tc>
      </w:tr>
      <w:tr>
        <w:trPr>
          <w:trHeight w:val="26"/>
        </w:trPr>
        <w:tc>
          <w:tcPr>
            <w:tcW w:w="75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0" w:type="dxa"/>
            <w:vAlign w:val="bottom"/>
            <w:tcBorders>
              <w:bottom w:val="single" w:sz="8" w:color="auto"/>
            </w:tcBorders>
            <w:shd w:val="clear" w:color="auto" w:fill="CCEEFF"/>
          </w:tcPr>
          <w:p>
            <w:pPr>
              <w:jc w:val="right"/>
              <w:ind w:right="125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8,167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8,522</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LIABILITIES AND MEMBERS' EQUITY</w:t>
            </w: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58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long-term debt — external</w:t>
            </w:r>
          </w:p>
        </w:tc>
        <w:tc>
          <w:tcPr>
            <w:tcW w:w="1400" w:type="dxa"/>
            <w:vAlign w:val="bottom"/>
          </w:tcPr>
          <w:p>
            <w:pPr>
              <w:jc w:val="right"/>
              <w:ind w:right="125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264</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 — trade</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 affiliate</w:t>
            </w:r>
          </w:p>
        </w:tc>
        <w:tc>
          <w:tcPr>
            <w:tcW w:w="140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0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26"/>
        </w:trPr>
        <w:tc>
          <w:tcPr>
            <w:tcW w:w="75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488</w:t>
            </w:r>
          </w:p>
        </w:tc>
        <w:tc>
          <w:tcPr>
            <w:tcW w:w="0" w:type="dxa"/>
            <w:vAlign w:val="bottom"/>
          </w:tcPr>
          <w:p>
            <w:pPr>
              <w:spacing w:after="0"/>
              <w:rPr>
                <w:sz w:val="1"/>
                <w:szCs w:val="1"/>
                <w:color w:val="auto"/>
              </w:rPr>
            </w:pPr>
          </w:p>
        </w:tc>
      </w:tr>
      <w:tr>
        <w:trPr>
          <w:trHeight w:val="179"/>
        </w:trPr>
        <w:tc>
          <w:tcPr>
            <w:tcW w:w="7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debt — external</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4,828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4,743</w:t>
            </w: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Long-term debt — affiliate</w:t>
            </w:r>
          </w:p>
        </w:tc>
        <w:tc>
          <w:tcPr>
            <w:tcW w:w="140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618</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 — affiliate</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140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68"/>
        </w:trPr>
        <w:tc>
          <w:tcPr>
            <w:tcW w:w="7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non-current liabilities</w:t>
            </w:r>
          </w:p>
        </w:tc>
        <w:tc>
          <w:tcPr>
            <w:tcW w:w="14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5,574</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5,494</w:t>
            </w:r>
          </w:p>
        </w:tc>
        <w:tc>
          <w:tcPr>
            <w:tcW w:w="0" w:type="dxa"/>
            <w:vAlign w:val="bottom"/>
          </w:tcPr>
          <w:p>
            <w:pPr>
              <w:spacing w:after="0"/>
              <w:rPr>
                <w:sz w:val="1"/>
                <w:szCs w:val="1"/>
                <w:color w:val="auto"/>
              </w:rPr>
            </w:pPr>
          </w:p>
        </w:tc>
      </w:tr>
      <w:tr>
        <w:trPr>
          <w:trHeight w:val="26"/>
        </w:trPr>
        <w:tc>
          <w:tcPr>
            <w:tcW w:w="75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6,032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5,982</w:t>
            </w:r>
          </w:p>
        </w:tc>
        <w:tc>
          <w:tcPr>
            <w:tcW w:w="0" w:type="dxa"/>
            <w:vAlign w:val="bottom"/>
          </w:tcPr>
          <w:p>
            <w:pPr>
              <w:spacing w:after="0"/>
              <w:rPr>
                <w:sz w:val="1"/>
                <w:szCs w:val="1"/>
                <w:color w:val="auto"/>
              </w:rPr>
            </w:pPr>
          </w:p>
        </w:tc>
      </w:tr>
      <w:tr>
        <w:trPr>
          <w:trHeight w:val="179"/>
        </w:trPr>
        <w:tc>
          <w:tcPr>
            <w:tcW w:w="7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14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Contributed capital</w:t>
            </w:r>
          </w:p>
        </w:tc>
        <w:tc>
          <w:tcPr>
            <w:tcW w:w="140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2,083</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1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88"/>
        </w:trPr>
        <w:tc>
          <w:tcPr>
            <w:tcW w:w="7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0" w:type="dxa"/>
            <w:vAlign w:val="bottom"/>
          </w:tcPr>
          <w:p>
            <w:pPr>
              <w:spacing w:after="0"/>
              <w:rPr>
                <w:sz w:val="16"/>
                <w:szCs w:val="16"/>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460</w:t>
            </w:r>
          </w:p>
        </w:tc>
        <w:tc>
          <w:tcPr>
            <w:tcW w:w="0" w:type="dxa"/>
            <w:vAlign w:val="bottom"/>
          </w:tcPr>
          <w:p>
            <w:pPr>
              <w:spacing w:after="0"/>
              <w:rPr>
                <w:sz w:val="1"/>
                <w:szCs w:val="1"/>
                <w:color w:val="auto"/>
              </w:rPr>
            </w:pPr>
          </w:p>
        </w:tc>
      </w:tr>
      <w:tr>
        <w:trPr>
          <w:trHeight w:val="168"/>
        </w:trPr>
        <w:tc>
          <w:tcPr>
            <w:tcW w:w="7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14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2,135</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2,540</w:t>
            </w:r>
          </w:p>
        </w:tc>
        <w:tc>
          <w:tcPr>
            <w:tcW w:w="0" w:type="dxa"/>
            <w:vAlign w:val="bottom"/>
          </w:tcPr>
          <w:p>
            <w:pPr>
              <w:spacing w:after="0"/>
              <w:rPr>
                <w:sz w:val="1"/>
                <w:szCs w:val="1"/>
                <w:color w:val="auto"/>
              </w:rPr>
            </w:pPr>
          </w:p>
        </w:tc>
      </w:tr>
      <w:tr>
        <w:trPr>
          <w:trHeight w:val="26"/>
        </w:trPr>
        <w:tc>
          <w:tcPr>
            <w:tcW w:w="75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400" w:type="dxa"/>
            <w:vAlign w:val="bottom"/>
            <w:tcBorders>
              <w:bottom w:val="single" w:sz="8" w:color="auto"/>
            </w:tcBorders>
            <w:shd w:val="clear" w:color="auto" w:fill="CCEEFF"/>
          </w:tcPr>
          <w:p>
            <w:pPr>
              <w:jc w:val="right"/>
              <w:ind w:right="125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8,167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8,522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41541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50" w:lineRule="exact"/>
        <w:rPr>
          <w:sz w:val="20"/>
          <w:szCs w:val="20"/>
          <w:color w:val="auto"/>
        </w:rPr>
      </w:pPr>
    </w:p>
    <w:p>
      <w:pPr>
        <w:ind w:left="94" w:hanging="94"/>
        <w:spacing w:after="0"/>
        <w:tabs>
          <w:tab w:leader="none" w:pos="94" w:val="left"/>
        </w:tabs>
        <w:numPr>
          <w:ilvl w:val="0"/>
          <w:numId w:val="2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178"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32"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1394"/>
          </w:cols>
          <w:pgMar w:left="226" w:top="766" w:right="2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NRG YIELD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6"/>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20" w:type="dxa"/>
            <w:vAlign w:val="bottom"/>
            <w:tcBorders>
              <w:bottom w:val="single" w:sz="8" w:color="auto"/>
            </w:tcBorders>
          </w:tcPr>
          <w:p>
            <w:pPr>
              <w:spacing w:after="0"/>
              <w:rPr>
                <w:sz w:val="13"/>
                <w:szCs w:val="13"/>
                <w:color w:val="auto"/>
              </w:rPr>
            </w:pPr>
          </w:p>
        </w:tc>
      </w:tr>
      <w:tr>
        <w:trPr>
          <w:trHeight w:val="205"/>
        </w:trPr>
        <w:tc>
          <w:tcPr>
            <w:tcW w:w="8500" w:type="dxa"/>
            <w:vAlign w:val="bottom"/>
          </w:tcPr>
          <w:p>
            <w:pPr>
              <w:spacing w:after="0"/>
              <w:rPr>
                <w:sz w:val="17"/>
                <w:szCs w:val="17"/>
                <w:color w:val="auto"/>
              </w:rPr>
            </w:pP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w w:val="99"/>
              </w:rPr>
              <w:t>2016</w:t>
            </w: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 xml:space="preserve">2015 </w:t>
            </w:r>
            <w:r>
              <w:rPr>
                <w:rFonts w:ascii="Times New Roman" w:cs="Times New Roman" w:eastAsia="Times New Roman" w:hAnsi="Times New Roman"/>
                <w:sz w:val="7"/>
                <w:szCs w:val="7"/>
                <w:b w:val="1"/>
                <w:bCs w:val="1"/>
                <w:color w:val="auto"/>
              </w:rPr>
              <w:t>(a)</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 xml:space="preserve">2014 </w:t>
            </w:r>
            <w:r>
              <w:rPr>
                <w:rFonts w:ascii="Times New Roman" w:cs="Times New Roman" w:eastAsia="Times New Roman" w:hAnsi="Times New Roman"/>
                <w:sz w:val="7"/>
                <w:szCs w:val="7"/>
                <w:b w:val="1"/>
                <w:bCs w:val="1"/>
                <w:color w:val="auto"/>
              </w:rPr>
              <w:t>(a)</w:t>
            </w:r>
          </w:p>
        </w:tc>
      </w:tr>
      <w:tr>
        <w:trPr>
          <w:trHeight w:val="194"/>
        </w:trPr>
        <w:tc>
          <w:tcPr>
            <w:tcW w:w="8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r>
      <w:tr>
        <w:trPr>
          <w:trHeight w:val="188"/>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117</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Distributions from unconsolidated affiliates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Depreciation, amortization and ARO accretion</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235</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Amortization of financing costs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Amortization of intangibles and out-of-market contracts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28</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Impairment losses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Changes in derivative instruments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Loss on disposal of asset components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provided by (used in) changes in other working capital:</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Changes in prepaid and accrued capacity payments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Changes in other working capital</w:t>
            </w:r>
          </w:p>
        </w:tc>
        <w:tc>
          <w:tcPr>
            <w:tcW w:w="5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5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362</w:t>
            </w:r>
          </w:p>
        </w:tc>
      </w:tr>
      <w:tr>
        <w:trPr>
          <w:trHeight w:val="26"/>
        </w:trPr>
        <w:tc>
          <w:tcPr>
            <w:tcW w:w="8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5"/>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Acquisition of Drop Down Assets, net of cash acquired</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Capital expenditures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Receipt of indemnity from supplier</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(Increase) decrease in restricted cash</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Cash receipts from notes receivable</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Proceeds from renewable energy grants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422</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Return of investment from unconsolidated affiliates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Investments in unconsolidated affiliates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Other</w:t>
            </w:r>
          </w:p>
        </w:tc>
        <w:tc>
          <w:tcPr>
            <w:tcW w:w="5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5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(161)</w:t>
            </w: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w:t>
            </w:r>
          </w:p>
        </w:tc>
      </w:tr>
      <w:tr>
        <w:trPr>
          <w:trHeight w:val="26"/>
        </w:trPr>
        <w:tc>
          <w:tcPr>
            <w:tcW w:w="8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5"/>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Contributions from tax equity investors, net of distributions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190</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Capital contributions from NRG</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Distributions and return of capital to NRG prior to the acquisition of Drop Down Assets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(113)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Proceeds from the issuance of class A and class C units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630</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Payments of distributions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(183)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Proceeds from the revolving credit facility</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551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500</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Payments for the revolving credit facility</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(366)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Proceeds from issuance of long-term debt — external</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178</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Proceeds from issuance of long-term debt — affiliate</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337</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88"/>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Payments for long-term debt — external</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(264)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w:t>
            </w:r>
          </w:p>
        </w:tc>
      </w:tr>
      <w:tr>
        <w:trPr>
          <w:trHeight w:val="26"/>
        </w:trPr>
        <w:tc>
          <w:tcPr>
            <w:tcW w:w="8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(193)</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747</w:t>
            </w:r>
          </w:p>
        </w:tc>
      </w:tr>
      <w:tr>
        <w:trPr>
          <w:trHeight w:val="168"/>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5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370</w:t>
            </w: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4"/>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5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59</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429</w:t>
            </w:r>
          </w:p>
        </w:tc>
      </w:tr>
      <w:tr>
        <w:trPr>
          <w:trHeight w:val="109"/>
        </w:trPr>
        <w:tc>
          <w:tcPr>
            <w:tcW w:w="85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188"/>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
        </w:trPr>
        <w:tc>
          <w:tcPr>
            <w:tcW w:w="8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paid, net of amount capitalized</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rPr>
              <w:t>(274)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Additions (reductions) to fixed assets for accrued capital expenditures</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Decrease to fixed assets for accrued grants</w:t>
            </w:r>
          </w:p>
        </w:tc>
        <w:tc>
          <w:tcPr>
            <w:tcW w:w="5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8"/>
                <w:szCs w:val="18"/>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auto"/>
              </w:rPr>
              <w:t>34</w:t>
            </w:r>
          </w:p>
        </w:tc>
      </w:tr>
      <w:tr>
        <w:trPr>
          <w:trHeight w:val="21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Increase in debt due to accrued interest converted to debt</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11</w:t>
            </w:r>
          </w:p>
        </w:tc>
      </w:tr>
      <w:tr>
        <w:trPr>
          <w:trHeight w:val="205"/>
        </w:trPr>
        <w:tc>
          <w:tcPr>
            <w:tcW w:w="8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Non-cash return of capital and distributions to NRG, net of contributions</w:t>
            </w: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auto"/>
              </w:rPr>
              <w:t>1,058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34048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0485" cy="698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(a) </w:t>
      </w:r>
      <w:r>
        <w:rPr>
          <w:rFonts w:ascii="Times New Roman" w:cs="Times New Roman" w:eastAsia="Times New Roman" w:hAnsi="Times New Roman"/>
          <w:sz w:val="11"/>
          <w:szCs w:val="11"/>
          <w:color w:val="auto"/>
        </w:rPr>
        <w:t>Retrospectively adjusted as discussed in Note 1,</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1"/>
          <w:szCs w:val="11"/>
          <w:i w:val="1"/>
          <w:iCs w:val="1"/>
          <w:color w:val="auto"/>
        </w:rPr>
        <w:t>Nature of Business.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460"/>
          </w:cols>
          <w:pgMar w:left="220" w:top="766" w:right="21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NRG YIELD LLC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MEMBERS' EQUITY</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239"/>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Contributed</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left="239"/>
              <w:spacing w:after="0" w:line="11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140" w:type="dxa"/>
            <w:vAlign w:val="bottom"/>
          </w:tcPr>
          <w:p>
            <w:pPr>
              <w:jc w:val="center"/>
              <w:ind w:left="239"/>
              <w:spacing w:after="0" w:line="11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c>
          <w:tcPr>
            <w:tcW w:w="2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4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160" w:type="dxa"/>
            <w:vAlign w:val="bottom"/>
            <w:gridSpan w:val="3"/>
            <w:vMerge w:val="continue"/>
          </w:tcPr>
          <w:p>
            <w:pPr>
              <w:spacing w:after="0"/>
              <w:rPr>
                <w:sz w:val="13"/>
                <w:szCs w:val="13"/>
                <w:color w:val="auto"/>
              </w:rPr>
            </w:pPr>
          </w:p>
        </w:tc>
        <w:tc>
          <w:tcPr>
            <w:tcW w:w="1140" w:type="dxa"/>
            <w:vAlign w:val="bottom"/>
          </w:tcPr>
          <w:p>
            <w:pPr>
              <w:jc w:val="center"/>
              <w:ind w:left="239"/>
              <w:spacing w:after="0"/>
              <w:rPr>
                <w:sz w:val="20"/>
                <w:szCs w:val="20"/>
                <w:color w:val="auto"/>
              </w:rPr>
            </w:pPr>
            <w:r>
              <w:rPr>
                <w:rFonts w:ascii="Times New Roman" w:cs="Times New Roman" w:eastAsia="Times New Roman" w:hAnsi="Times New Roman"/>
                <w:sz w:val="11"/>
                <w:szCs w:val="11"/>
                <w:b w:val="1"/>
                <w:bCs w:val="1"/>
                <w:color w:val="auto"/>
              </w:rPr>
              <w:t>Loss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000" w:type="dxa"/>
            <w:vAlign w:val="bottom"/>
            <w:gridSpan w:val="2"/>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Balances at December 31, 2013 </w:t>
            </w:r>
            <w:r>
              <w:rPr>
                <w:rFonts w:ascii="Times New Roman" w:cs="Times New Roman" w:eastAsia="Times New Roman" w:hAnsi="Times New Roman"/>
                <w:sz w:val="17"/>
                <w:szCs w:val="17"/>
                <w:b w:val="1"/>
                <w:bCs w:val="1"/>
                <w:color w:val="auto"/>
                <w:vertAlign w:val="superscript"/>
              </w:rPr>
              <w:t>(a)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1,183</w:t>
            </w:r>
          </w:p>
        </w:tc>
        <w:tc>
          <w:tcPr>
            <w:tcW w:w="120" w:type="dxa"/>
            <w:vAlign w:val="bottom"/>
          </w:tcPr>
          <w:p>
            <w:pPr>
              <w:spacing w:after="0"/>
              <w:rPr>
                <w:sz w:val="17"/>
                <w:szCs w:val="17"/>
                <w:color w:val="auto"/>
              </w:rPr>
            </w:pPr>
          </w:p>
        </w:tc>
        <w:tc>
          <w:tcPr>
            <w:tcW w:w="40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1,339</w:t>
            </w:r>
          </w:p>
        </w:tc>
        <w:tc>
          <w:tcPr>
            <w:tcW w:w="0" w:type="dxa"/>
            <w:vAlign w:val="bottom"/>
          </w:tcPr>
          <w:p>
            <w:pPr>
              <w:spacing w:after="0"/>
              <w:rPr>
                <w:sz w:val="1"/>
                <w:szCs w:val="1"/>
                <w:color w:val="auto"/>
              </w:rPr>
            </w:pPr>
          </w:p>
        </w:tc>
      </w:tr>
      <w:tr>
        <w:trPr>
          <w:trHeight w:val="21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Members' equity - Acquired Drop Down Assets</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68"/>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2013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1,302</w:t>
            </w:r>
          </w:p>
        </w:tc>
        <w:tc>
          <w:tcPr>
            <w:tcW w:w="120" w:type="dxa"/>
            <w:vAlign w:val="bottom"/>
          </w:tcPr>
          <w:p>
            <w:pPr>
              <w:spacing w:after="0"/>
              <w:rPr>
                <w:sz w:val="14"/>
                <w:szCs w:val="14"/>
                <w:color w:val="auto"/>
              </w:rPr>
            </w:pPr>
          </w:p>
        </w:tc>
        <w:tc>
          <w:tcPr>
            <w:tcW w:w="40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4"/>
                <w:szCs w:val="14"/>
                <w:color w:val="auto"/>
              </w:rPr>
            </w:pPr>
          </w:p>
        </w:tc>
        <w:tc>
          <w:tcPr>
            <w:tcW w:w="114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1,444</w:t>
            </w: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Net income </w:t>
            </w:r>
            <w:r>
              <w:rPr>
                <w:rFonts w:ascii="Times New Roman" w:cs="Times New Roman" w:eastAsia="Times New Roman" w:hAnsi="Times New Roman"/>
                <w:sz w:val="17"/>
                <w:szCs w:val="17"/>
                <w:color w:val="auto"/>
                <w:vertAlign w:val="superscript"/>
              </w:rPr>
              <w:t>(c)</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Unrealized loss on derivatives </w:t>
            </w:r>
            <w:r>
              <w:rPr>
                <w:rFonts w:ascii="Times New Roman" w:cs="Times New Roman" w:eastAsia="Times New Roman" w:hAnsi="Times New Roman"/>
                <w:sz w:val="17"/>
                <w:szCs w:val="17"/>
                <w:color w:val="auto"/>
                <w:vertAlign w:val="superscript"/>
              </w:rPr>
              <w:t>(c)</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for June 2014 Drop Down Assets</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Capital contributions from NRG, non-cash </w:t>
            </w:r>
            <w:r>
              <w:rPr>
                <w:rFonts w:ascii="Times New Roman" w:cs="Times New Roman" w:eastAsia="Times New Roman" w:hAnsi="Times New Roman"/>
                <w:sz w:val="17"/>
                <w:szCs w:val="17"/>
                <w:color w:val="auto"/>
                <w:vertAlign w:val="superscript"/>
              </w:rPr>
              <w:t>(b)(c)</w:t>
            </w:r>
          </w:p>
        </w:tc>
        <w:tc>
          <w:tcPr>
            <w:tcW w:w="140" w:type="dxa"/>
            <w:vAlign w:val="bottom"/>
          </w:tcPr>
          <w:p>
            <w:pPr>
              <w:spacing w:after="0"/>
              <w:rPr>
                <w:sz w:val="18"/>
                <w:szCs w:val="18"/>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1,058</w:t>
            </w: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Distributions and returns of capital to NRG, net of contributions </w:t>
            </w:r>
            <w:r>
              <w:rPr>
                <w:rFonts w:ascii="Times New Roman" w:cs="Times New Roman" w:eastAsia="Times New Roman" w:hAnsi="Times New Roman"/>
                <w:sz w:val="17"/>
                <w:szCs w:val="17"/>
                <w:color w:val="auto"/>
                <w:vertAlign w:val="superscript"/>
              </w:rPr>
              <w:t>(c)</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0" w:type="dxa"/>
            <w:vAlign w:val="bottom"/>
          </w:tcPr>
          <w:p>
            <w:pPr>
              <w:spacing w:after="0"/>
              <w:rPr>
                <w:sz w:val="1"/>
                <w:szCs w:val="1"/>
                <w:color w:val="auto"/>
              </w:rPr>
            </w:pPr>
          </w:p>
        </w:tc>
      </w:tr>
      <w:tr>
        <w:trPr>
          <w:trHeight w:val="177"/>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contributions from tax equity investors</w:t>
            </w: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Class A units</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630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630</w:t>
            </w:r>
          </w:p>
        </w:tc>
        <w:tc>
          <w:tcPr>
            <w:tcW w:w="0" w:type="dxa"/>
            <w:vAlign w:val="bottom"/>
          </w:tcPr>
          <w:p>
            <w:pPr>
              <w:spacing w:after="0"/>
              <w:rPr>
                <w:sz w:val="1"/>
                <w:szCs w:val="1"/>
                <w:color w:val="auto"/>
              </w:rPr>
            </w:pPr>
          </w:p>
        </w:tc>
      </w:tr>
      <w:tr>
        <w:trPr>
          <w:trHeight w:val="177"/>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paid to NRG on Class B and Class D units</w:t>
            </w: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paid to Yield, Inc.</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8"/>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2014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2,215</w:t>
            </w:r>
          </w:p>
        </w:tc>
        <w:tc>
          <w:tcPr>
            <w:tcW w:w="120" w:type="dxa"/>
            <w:vAlign w:val="bottom"/>
          </w:tcPr>
          <w:p>
            <w:pPr>
              <w:spacing w:after="0"/>
              <w:rPr>
                <w:sz w:val="14"/>
                <w:szCs w:val="14"/>
                <w:color w:val="auto"/>
              </w:rPr>
            </w:pPr>
          </w:p>
        </w:tc>
        <w:tc>
          <w:tcPr>
            <w:tcW w:w="40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4"/>
                <w:szCs w:val="14"/>
                <w:color w:val="auto"/>
              </w:rPr>
            </w:pPr>
          </w:p>
        </w:tc>
        <w:tc>
          <w:tcPr>
            <w:tcW w:w="114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2,583</w:t>
            </w: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Net income (loss) </w:t>
            </w:r>
            <w:r>
              <w:rPr>
                <w:rFonts w:ascii="Times New Roman" w:cs="Times New Roman" w:eastAsia="Times New Roman" w:hAnsi="Times New Roman"/>
                <w:sz w:val="17"/>
                <w:szCs w:val="17"/>
                <w:color w:val="auto"/>
                <w:vertAlign w:val="superscript"/>
              </w:rPr>
              <w:t>(c)</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Unrealized loss on derivatives </w:t>
            </w:r>
            <w:r>
              <w:rPr>
                <w:rFonts w:ascii="Times New Roman" w:cs="Times New Roman" w:eastAsia="Times New Roman" w:hAnsi="Times New Roman"/>
                <w:sz w:val="17"/>
                <w:szCs w:val="17"/>
                <w:color w:val="auto"/>
                <w:vertAlign w:val="superscript"/>
              </w:rPr>
              <w:t>(c)</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for January 2015 and November 2015 Drop Down Assets</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0" w:type="dxa"/>
            <w:vAlign w:val="bottom"/>
          </w:tcPr>
          <w:p>
            <w:pPr>
              <w:spacing w:after="0"/>
              <w:rPr>
                <w:sz w:val="1"/>
                <w:szCs w:val="1"/>
                <w:color w:val="auto"/>
              </w:rPr>
            </w:pPr>
          </w:p>
        </w:tc>
      </w:tr>
      <w:tr>
        <w:trPr>
          <w:trHeight w:val="177"/>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contributions from tax equity investors</w:t>
            </w: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 acquired in Spring Canyon acquisition</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paid to NRG, net of contributions</w:t>
            </w:r>
            <w:r>
              <w:rPr>
                <w:rFonts w:ascii="Times New Roman" w:cs="Times New Roman" w:eastAsia="Times New Roman" w:hAnsi="Times New Roman"/>
                <w:sz w:val="17"/>
                <w:szCs w:val="17"/>
                <w:color w:val="auto"/>
                <w:vertAlign w:val="superscript"/>
              </w:rPr>
              <w:t>(c)</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Distributions paid to NRG, net of contributions, non-cash </w:t>
            </w:r>
            <w:r>
              <w:rPr>
                <w:rFonts w:ascii="Times New Roman" w:cs="Times New Roman" w:eastAsia="Times New Roman" w:hAnsi="Times New Roman"/>
                <w:sz w:val="17"/>
                <w:szCs w:val="17"/>
                <w:color w:val="auto"/>
                <w:vertAlign w:val="superscript"/>
              </w:rPr>
              <w:t>(c)</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7"/>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Class C Common Stock</w:t>
            </w:r>
          </w:p>
        </w:tc>
        <w:tc>
          <w:tcPr>
            <w:tcW w:w="14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599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599</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paid to NRG on Class B and Class D units</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77"/>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paid to Yield, Inc.</w:t>
            </w: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37"/>
        </w:trPr>
        <w:tc>
          <w:tcPr>
            <w:tcW w:w="49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2,083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2,540</w:t>
            </w:r>
          </w:p>
        </w:tc>
        <w:tc>
          <w:tcPr>
            <w:tcW w:w="0" w:type="dxa"/>
            <w:vAlign w:val="bottom"/>
          </w:tcPr>
          <w:p>
            <w:pPr>
              <w:spacing w:after="0"/>
              <w:rPr>
                <w:sz w:val="1"/>
                <w:szCs w:val="1"/>
                <w:color w:val="auto"/>
              </w:rPr>
            </w:pPr>
          </w:p>
        </w:tc>
      </w:tr>
      <w:tr>
        <w:trPr>
          <w:trHeight w:val="177"/>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140</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 on derivatives</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7"/>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for CVSR Drop Down Asset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Yield, Inc., non-cash</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7"/>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contributions from tax equity investors, net of distributions</w:t>
            </w: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paid to NRG</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77"/>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paid to NRG, net of contributions, non-cash</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paid to NRG on Class B and Class D units</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77"/>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paid to Yield, Inc.</w:t>
            </w: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37"/>
        </w:trPr>
        <w:tc>
          <w:tcPr>
            <w:tcW w:w="49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1,850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2,135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36779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67790" cy="6985"/>
                    </a:xfrm>
                    <a:prstGeom prst="rect">
                      <a:avLst/>
                    </a:prstGeom>
                    <a:noFill/>
                  </pic:spPr>
                </pic:pic>
              </a:graphicData>
            </a:graphic>
          </wp:anchor>
        </w:drawing>
      </w:r>
    </w:p>
    <w:p>
      <w:pPr>
        <w:spacing w:after="0" w:line="209" w:lineRule="exact"/>
        <w:rPr>
          <w:sz w:val="20"/>
          <w:szCs w:val="20"/>
          <w:color w:val="auto"/>
        </w:rPr>
      </w:pPr>
    </w:p>
    <w:p>
      <w:pPr>
        <w:ind w:left="120" w:hanging="114"/>
        <w:spacing w:after="0"/>
        <w:tabs>
          <w:tab w:leader="none" w:pos="120" w:val="left"/>
        </w:tabs>
        <w:numPr>
          <w:ilvl w:val="0"/>
          <w:numId w:val="2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As previously reported in the Company's audited financial statements for the year ended December 31, 2015, included in the Company's 2015 Form 10-K.</w:t>
      </w:r>
    </w:p>
    <w:p>
      <w:pPr>
        <w:spacing w:after="0" w:line="14" w:lineRule="exact"/>
        <w:rPr>
          <w:rFonts w:ascii="Times New Roman" w:cs="Times New Roman" w:eastAsia="Times New Roman" w:hAnsi="Times New Roman"/>
          <w:sz w:val="7"/>
          <w:szCs w:val="7"/>
          <w:color w:val="auto"/>
        </w:rPr>
      </w:pPr>
    </w:p>
    <w:p>
      <w:pPr>
        <w:ind w:left="200" w:hanging="194"/>
        <w:spacing w:after="0" w:line="250" w:lineRule="auto"/>
        <w:tabs>
          <w:tab w:leader="none" w:pos="119" w:val="left"/>
        </w:tabs>
        <w:numPr>
          <w:ilvl w:val="0"/>
          <w:numId w:val="2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Capital contributions from NRG, non-cash, primarily represent Drop Down Assets' equity transferred from NRG to the Company in accordance with guidance on business combinations between entities under common control, as further described in Note 1, </w:t>
      </w:r>
      <w:r>
        <w:rPr>
          <w:rFonts w:ascii="Times New Roman" w:cs="Times New Roman" w:eastAsia="Times New Roman" w:hAnsi="Times New Roman"/>
          <w:sz w:val="11"/>
          <w:szCs w:val="11"/>
          <w:i w:val="1"/>
          <w:iCs w:val="1"/>
          <w:color w:val="auto"/>
        </w:rPr>
        <w:t>Nature of Business.</w:t>
      </w:r>
    </w:p>
    <w:p>
      <w:pPr>
        <w:ind w:left="120" w:hanging="114"/>
        <w:spacing w:after="0"/>
        <w:tabs>
          <w:tab w:leader="none" w:pos="120" w:val="left"/>
        </w:tabs>
        <w:numPr>
          <w:ilvl w:val="0"/>
          <w:numId w:val="2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1460"/>
          </w:cols>
          <w:pgMar w:left="220" w:top="766" w:right="2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NRG YIELD LLC</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Nature of Business</w:t>
      </w:r>
    </w:p>
    <w:p>
      <w:pPr>
        <w:spacing w:after="0" w:line="141"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NRG Yield LLC, together with its consolidated subsidiaries, or the Company, is the primary vehicle through which NRG owns, operates and acquires contracted renewable and conventional generation and thermal infrastructure assets. NRG owns 100% of the Company's Class B units and Class D units and receives distributions through its ownership of these units. NRG Yield, Inc., or Yield, Inc., owns 100% of the Company's Class A units and Class C units. NRG Yield LLC, through its wholly owned subsidiary, NRG Yield Operating LLC, or Yield Operating LLC, holds a portfolio of renewable and conventional generation and thermal infrastructure assets, primarily located in the Northeast, Southwest, Midwest and California regions of the U.S.</w:t>
      </w:r>
    </w:p>
    <w:p>
      <w:pPr>
        <w:spacing w:after="0" w:line="98"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Yield, Inc. closed its initial public offering of Class A common stock in July 2013, which was then followed by a Class A common stock offering in July 2014, a Recapitalization in May 2015, as described below, and a Class C common stock offering in June 2015.</w:t>
      </w:r>
    </w:p>
    <w:p>
      <w:pPr>
        <w:spacing w:after="0" w:line="81"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stock split is referred to as the Recapitalization. The Company also amended its operating agreement to reflect the Recapitalization. Effective May 14, 2015, each Class A unit of the Company was automatically reclassified into one Class A unit and one Class C unit and each Class B unit of the Company was automatically reclassified into one Class B unit and one Class D unit.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represents the structure of the Company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15875</wp:posOffset>
            </wp:positionV>
            <wp:extent cx="4035425" cy="2980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35425" cy="298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1460"/>
          </w:cols>
          <w:pgMar w:left="220" w:top="766" w:right="219" w:bottom="1440" w:gutter="0" w:footer="0" w:header="0"/>
        </w:sectPr>
      </w:pPr>
    </w:p>
    <w:bookmarkStart w:id="67" w:name="page68"/>
    <w:bookmarkEnd w:id="67"/>
    <w:p>
      <w:pPr>
        <w:ind w:left="320"/>
        <w:spacing w:after="0"/>
        <w:rPr>
          <w:sz w:val="20"/>
          <w:szCs w:val="20"/>
          <w:color w:val="auto"/>
        </w:rPr>
      </w:pPr>
      <w:r>
        <w:rPr>
          <w:rFonts w:ascii="Times New Roman" w:cs="Times New Roman" w:eastAsia="Times New Roman" w:hAnsi="Times New Roman"/>
          <w:sz w:val="14"/>
          <w:szCs w:val="14"/>
          <w:color w:val="auto"/>
        </w:rPr>
        <w:t>As of December 31, 2016, the Company's operating assets are comprised of the following projects: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Net Capacity</w:t>
            </w:r>
          </w:p>
        </w:tc>
        <w:tc>
          <w:tcPr>
            <w:tcW w:w="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 xml:space="preserve">(MW) </w:t>
            </w:r>
            <w:r>
              <w:rPr>
                <w:rFonts w:ascii="Times New Roman" w:cs="Times New Roman" w:eastAsia="Times New Roman" w:hAnsi="Times New Roman"/>
                <w:sz w:val="17"/>
                <w:szCs w:val="17"/>
                <w:b w:val="1"/>
                <w:bCs w:val="1"/>
                <w:color w:val="auto"/>
                <w:vertAlign w:val="superscript"/>
              </w:rPr>
              <w:t>(a)</w:t>
            </w:r>
          </w:p>
        </w:tc>
        <w:tc>
          <w:tcPr>
            <w:tcW w:w="10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Offtake Counterparty</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85"/>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Conventional</w:t>
            </w: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El Segundo</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GenConn Devon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Connecticut Light &amp; Power</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2040</w:t>
            </w: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GenConn Middletown</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Connecticut Light &amp; Power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2041</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Marsh Landing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Pacific Gas and Electric</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Walnut Creek</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22"/>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Utility Scale Solar</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Alpine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Pacific Gas and Electric</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2033</w:t>
            </w: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Avenal</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Pacific Gas and Electric</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2031</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Avra Valley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Tucson Electric Power</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2032</w:t>
            </w: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Blythe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2029</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Borrego</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San Diego Gas and Electric</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2038</w:t>
            </w: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CVSR</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Pacific Gas and Electric</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2038</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Desert Sunlight 250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2035</w:t>
            </w: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Desert Sunlight 300</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Pacific Gas and Electric</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2040</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Kansas South</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Pacific Gas and Electric</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2033</w:t>
            </w: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Roadrunner</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El Paso Electric</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2031</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TA High Desert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2033</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Distributed Solar</w:t>
            </w: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AZ DG Solar Projects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2"/>
              </w:rPr>
              <w:t>Various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2025 - 2033</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PFMG DG Solar Projects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Various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2032</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Wind</w:t>
            </w: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Alta I</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2035</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Alta II</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2035</w:t>
            </w: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Alta III</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2035</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Alta IV</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2035</w:t>
            </w: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Alta V</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2035</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xml:space="preserve">Alta X </w:t>
            </w:r>
            <w:r>
              <w:rPr>
                <w:rFonts w:ascii="Times New Roman" w:cs="Times New Roman" w:eastAsia="Times New Roman" w:hAnsi="Times New Roman"/>
                <w:sz w:val="17"/>
                <w:szCs w:val="17"/>
                <w:color w:val="auto"/>
                <w:vertAlign w:val="superscript"/>
              </w:rPr>
              <w:t>(b)</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2038</w:t>
            </w:r>
          </w:p>
        </w:tc>
        <w:tc>
          <w:tcPr>
            <w:tcW w:w="0" w:type="dxa"/>
            <w:vAlign w:val="bottom"/>
          </w:tcPr>
          <w:p>
            <w:pPr>
              <w:spacing w:after="0"/>
              <w:rPr>
                <w:sz w:val="1"/>
                <w:szCs w:val="1"/>
                <w:color w:val="auto"/>
              </w:rPr>
            </w:pPr>
          </w:p>
        </w:tc>
      </w:tr>
      <w:tr>
        <w:trPr>
          <w:trHeight w:val="214"/>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 xml:space="preserve">Alta XI </w:t>
            </w:r>
            <w:r>
              <w:rPr>
                <w:rFonts w:ascii="Times New Roman" w:cs="Times New Roman" w:eastAsia="Times New Roman" w:hAnsi="Times New Roman"/>
                <w:sz w:val="17"/>
                <w:szCs w:val="17"/>
                <w:color w:val="auto"/>
                <w:vertAlign w:val="superscript"/>
              </w:rPr>
              <w:t>(b)</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8"/>
                <w:szCs w:val="18"/>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California Edison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2038</w:t>
            </w: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Buffalo Bear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2033</w:t>
            </w:r>
          </w:p>
        </w:tc>
        <w:tc>
          <w:tcPr>
            <w:tcW w:w="0" w:type="dxa"/>
            <w:vAlign w:val="bottom"/>
          </w:tcPr>
          <w:p>
            <w:pPr>
              <w:spacing w:after="0"/>
              <w:rPr>
                <w:sz w:val="1"/>
                <w:szCs w:val="1"/>
                <w:color w:val="auto"/>
              </w:rPr>
            </w:pPr>
          </w:p>
        </w:tc>
      </w:tr>
      <w:tr>
        <w:trPr>
          <w:trHeight w:val="214"/>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 xml:space="preserve">Crosswinds </w:t>
            </w:r>
            <w:r>
              <w:rPr>
                <w:rFonts w:ascii="Times New Roman" w:cs="Times New Roman" w:eastAsia="Times New Roman" w:hAnsi="Times New Roman"/>
                <w:sz w:val="17"/>
                <w:szCs w:val="17"/>
                <w:color w:val="auto"/>
                <w:vertAlign w:val="superscript"/>
              </w:rPr>
              <w:t>(b)</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8"/>
                <w:szCs w:val="18"/>
                <w:color w:val="auto"/>
              </w:rPr>
            </w:pP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Corn Belt Power Cooperative</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2027</w:t>
            </w: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xml:space="preserve">Elbow Creek </w:t>
            </w:r>
            <w:r>
              <w:rPr>
                <w:rFonts w:ascii="Times New Roman" w:cs="Times New Roman" w:eastAsia="Times New Roman" w:hAnsi="Times New Roman"/>
                <w:sz w:val="17"/>
                <w:szCs w:val="17"/>
                <w:color w:val="auto"/>
                <w:vertAlign w:val="superscript"/>
              </w:rPr>
              <w:t>(b)</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9"/>
              </w:rPr>
              <w:t>NRG Power Marketing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0" w:type="dxa"/>
            <w:vAlign w:val="bottom"/>
          </w:tcPr>
          <w:p>
            <w:pPr>
              <w:spacing w:after="0"/>
              <w:rPr>
                <w:sz w:val="1"/>
                <w:szCs w:val="1"/>
                <w:color w:val="auto"/>
              </w:rPr>
            </w:pPr>
          </w:p>
        </w:tc>
      </w:tr>
      <w:tr>
        <w:trPr>
          <w:trHeight w:val="214"/>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 xml:space="preserve">Elkhorn Ridge </w:t>
            </w:r>
            <w:r>
              <w:rPr>
                <w:rFonts w:ascii="Times New Roman" w:cs="Times New Roman" w:eastAsia="Times New Roman" w:hAnsi="Times New Roman"/>
                <w:sz w:val="17"/>
                <w:szCs w:val="17"/>
                <w:color w:val="auto"/>
                <w:vertAlign w:val="superscript"/>
              </w:rPr>
              <w:t>(b)</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8"/>
                <w:szCs w:val="18"/>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Nebraska Public Power District</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2029</w:t>
            </w: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xml:space="preserve">Forward </w:t>
            </w:r>
            <w:r>
              <w:rPr>
                <w:rFonts w:ascii="Times New Roman" w:cs="Times New Roman" w:eastAsia="Times New Roman" w:hAnsi="Times New Roman"/>
                <w:sz w:val="17"/>
                <w:szCs w:val="17"/>
                <w:color w:val="auto"/>
                <w:vertAlign w:val="superscript"/>
              </w:rPr>
              <w:t>(b)</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Constellation NewEnergy, Inc.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2017</w:t>
            </w:r>
          </w:p>
        </w:tc>
        <w:tc>
          <w:tcPr>
            <w:tcW w:w="0" w:type="dxa"/>
            <w:vAlign w:val="bottom"/>
          </w:tcPr>
          <w:p>
            <w:pPr>
              <w:spacing w:after="0"/>
              <w:rPr>
                <w:sz w:val="1"/>
                <w:szCs w:val="1"/>
                <w:color w:val="auto"/>
              </w:rPr>
            </w:pPr>
          </w:p>
        </w:tc>
      </w:tr>
      <w:tr>
        <w:trPr>
          <w:trHeight w:val="214"/>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 xml:space="preserve">Goat Wind </w:t>
            </w:r>
            <w:r>
              <w:rPr>
                <w:rFonts w:ascii="Times New Roman" w:cs="Times New Roman" w:eastAsia="Times New Roman" w:hAnsi="Times New Roman"/>
                <w:sz w:val="17"/>
                <w:szCs w:val="17"/>
                <w:color w:val="auto"/>
                <w:vertAlign w:val="superscript"/>
              </w:rPr>
              <w:t>(b)</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8"/>
                <w:szCs w:val="18"/>
                <w:color w:val="auto"/>
              </w:rPr>
            </w:pP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Dow Pipeline Company</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xml:space="preserve">Hardin </w:t>
            </w:r>
            <w:r>
              <w:rPr>
                <w:rFonts w:ascii="Times New Roman" w:cs="Times New Roman" w:eastAsia="Times New Roman" w:hAnsi="Times New Roman"/>
                <w:sz w:val="17"/>
                <w:szCs w:val="17"/>
                <w:color w:val="auto"/>
                <w:vertAlign w:val="superscript"/>
              </w:rPr>
              <w:t>(b)</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Interstate Power and Light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2027</w:t>
            </w:r>
          </w:p>
        </w:tc>
        <w:tc>
          <w:tcPr>
            <w:tcW w:w="0" w:type="dxa"/>
            <w:vAlign w:val="bottom"/>
          </w:tcPr>
          <w:p>
            <w:pPr>
              <w:spacing w:after="0"/>
              <w:rPr>
                <w:sz w:val="1"/>
                <w:szCs w:val="1"/>
                <w:color w:val="auto"/>
              </w:rPr>
            </w:pPr>
          </w:p>
        </w:tc>
      </w:tr>
      <w:tr>
        <w:trPr>
          <w:trHeight w:val="188"/>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Laredo Ridge</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Nebraska Public Power District</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2031</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xml:space="preserve">Lookout </w:t>
            </w:r>
            <w:r>
              <w:rPr>
                <w:rFonts w:ascii="Times New Roman" w:cs="Times New Roman" w:eastAsia="Times New Roman" w:hAnsi="Times New Roman"/>
                <w:sz w:val="17"/>
                <w:szCs w:val="17"/>
                <w:color w:val="auto"/>
                <w:vertAlign w:val="superscript"/>
              </w:rPr>
              <w:t>(b)</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Southern Maryland Electric Cooperative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2030</w:t>
            </w:r>
          </w:p>
        </w:tc>
        <w:tc>
          <w:tcPr>
            <w:tcW w:w="0" w:type="dxa"/>
            <w:vAlign w:val="bottom"/>
          </w:tcPr>
          <w:p>
            <w:pPr>
              <w:spacing w:after="0"/>
              <w:rPr>
                <w:sz w:val="1"/>
                <w:szCs w:val="1"/>
                <w:color w:val="auto"/>
              </w:rPr>
            </w:pPr>
          </w:p>
        </w:tc>
      </w:tr>
      <w:tr>
        <w:trPr>
          <w:trHeight w:val="214"/>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 xml:space="preserve">Odin </w:t>
            </w:r>
            <w:r>
              <w:rPr>
                <w:rFonts w:ascii="Times New Roman" w:cs="Times New Roman" w:eastAsia="Times New Roman" w:hAnsi="Times New Roman"/>
                <w:sz w:val="17"/>
                <w:szCs w:val="17"/>
                <w:color w:val="auto"/>
                <w:vertAlign w:val="superscript"/>
              </w:rPr>
              <w:t>(b)</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8"/>
                <w:szCs w:val="18"/>
                <w:color w:val="auto"/>
              </w:rPr>
            </w:pP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Missouri River Energy Services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2028</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Maryland Department of General Services and University</w:t>
            </w: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Pinnacle</w:t>
            </w: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System of Maryland</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2031</w:t>
            </w:r>
          </w:p>
        </w:tc>
        <w:tc>
          <w:tcPr>
            <w:tcW w:w="0" w:type="dxa"/>
            <w:vAlign w:val="bottom"/>
          </w:tcPr>
          <w:p>
            <w:pPr>
              <w:spacing w:after="0"/>
              <w:rPr>
                <w:sz w:val="1"/>
                <w:szCs w:val="1"/>
                <w:color w:val="auto"/>
              </w:rPr>
            </w:pPr>
          </w:p>
        </w:tc>
      </w:tr>
      <w:tr>
        <w:trPr>
          <w:trHeight w:val="214"/>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 xml:space="preserve">San Juan Mesa </w:t>
            </w:r>
            <w:r>
              <w:rPr>
                <w:rFonts w:ascii="Times New Roman" w:cs="Times New Roman" w:eastAsia="Times New Roman" w:hAnsi="Times New Roman"/>
                <w:sz w:val="17"/>
                <w:szCs w:val="17"/>
                <w:color w:val="auto"/>
                <w:vertAlign w:val="superscript"/>
              </w:rPr>
              <w:t>(b)</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8"/>
                <w:szCs w:val="18"/>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xml:space="preserve">Sleeping Bear </w:t>
            </w:r>
            <w:r>
              <w:rPr>
                <w:rFonts w:ascii="Times New Roman" w:cs="Times New Roman" w:eastAsia="Times New Roman" w:hAnsi="Times New Roman"/>
                <w:sz w:val="17"/>
                <w:szCs w:val="17"/>
                <w:color w:val="auto"/>
                <w:vertAlign w:val="superscript"/>
              </w:rPr>
              <w:t>(b)</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Public Service Company of Oklahoma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2032</w:t>
            </w:r>
          </w:p>
        </w:tc>
        <w:tc>
          <w:tcPr>
            <w:tcW w:w="0" w:type="dxa"/>
            <w:vAlign w:val="bottom"/>
          </w:tcPr>
          <w:p>
            <w:pPr>
              <w:spacing w:after="0"/>
              <w:rPr>
                <w:sz w:val="1"/>
                <w:szCs w:val="1"/>
                <w:color w:val="auto"/>
              </w:rPr>
            </w:pP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South Trent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AEP Energy Partners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2029</w:t>
            </w: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xml:space="preserve">Spanish Fork </w:t>
            </w:r>
            <w:r>
              <w:rPr>
                <w:rFonts w:ascii="Times New Roman" w:cs="Times New Roman" w:eastAsia="Times New Roman" w:hAnsi="Times New Roman"/>
                <w:sz w:val="17"/>
                <w:szCs w:val="17"/>
                <w:color w:val="auto"/>
                <w:vertAlign w:val="superscript"/>
              </w:rPr>
              <w:t>(b)</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9"/>
              </w:rPr>
              <w:t>PacifiCorp</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2028</w:t>
            </w:r>
          </w:p>
        </w:tc>
        <w:tc>
          <w:tcPr>
            <w:tcW w:w="0" w:type="dxa"/>
            <w:vAlign w:val="bottom"/>
          </w:tcPr>
          <w:p>
            <w:pPr>
              <w:spacing w:after="0"/>
              <w:rPr>
                <w:sz w:val="1"/>
                <w:szCs w:val="1"/>
                <w:color w:val="auto"/>
              </w:rPr>
            </w:pPr>
          </w:p>
        </w:tc>
      </w:tr>
      <w:tr>
        <w:trPr>
          <w:trHeight w:val="364"/>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20" w:top="768" w:right="29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Net Capacity</w:t>
            </w:r>
          </w:p>
        </w:tc>
        <w:tc>
          <w:tcPr>
            <w:tcW w:w="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5"/>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 xml:space="preserve">(MW) </w:t>
            </w:r>
            <w:r>
              <w:rPr>
                <w:rFonts w:ascii="Times New Roman" w:cs="Times New Roman" w:eastAsia="Times New Roman" w:hAnsi="Times New Roman"/>
                <w:sz w:val="17"/>
                <w:szCs w:val="17"/>
                <w:b w:val="1"/>
                <w:bCs w:val="1"/>
                <w:color w:val="auto"/>
                <w:vertAlign w:val="superscript"/>
              </w:rPr>
              <w:t>(a)</w:t>
            </w:r>
          </w:p>
        </w:tc>
        <w:tc>
          <w:tcPr>
            <w:tcW w:w="10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Offtake Counterparty</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Expiration</w:t>
            </w:r>
          </w:p>
        </w:tc>
      </w:tr>
      <w:tr>
        <w:trPr>
          <w:trHeight w:val="194"/>
        </w:trPr>
        <w:tc>
          <w:tcPr>
            <w:tcW w:w="4460" w:type="dxa"/>
            <w:vAlign w:val="bottom"/>
            <w:gridSpan w:val="2"/>
            <w:shd w:val="clear" w:color="auto" w:fill="CCEEFF"/>
          </w:tcPr>
          <w:p>
            <w:pPr>
              <w:ind w:left="220"/>
              <w:spacing w:after="0" w:line="194" w:lineRule="exact"/>
              <w:rPr>
                <w:sz w:val="20"/>
                <w:szCs w:val="20"/>
                <w:color w:val="auto"/>
              </w:rPr>
            </w:pPr>
            <w:r>
              <w:rPr>
                <w:rFonts w:ascii="Times New Roman" w:cs="Times New Roman" w:eastAsia="Times New Roman" w:hAnsi="Times New Roman"/>
                <w:sz w:val="13"/>
                <w:szCs w:val="13"/>
                <w:color w:val="auto"/>
              </w:rPr>
              <w:t xml:space="preserve">Spring Canyon II </w:t>
            </w:r>
            <w:r>
              <w:rPr>
                <w:rFonts w:ascii="Times New Roman" w:cs="Times New Roman" w:eastAsia="Times New Roman" w:hAnsi="Times New Roman"/>
                <w:sz w:val="17"/>
                <w:szCs w:val="17"/>
                <w:color w:val="auto"/>
                <w:vertAlign w:val="superscript"/>
              </w:rPr>
              <w:t>(b)</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Platte River Power Authority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2039</w:t>
            </w:r>
          </w:p>
        </w:tc>
      </w:tr>
      <w:tr>
        <w:trPr>
          <w:trHeight w:val="214"/>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 xml:space="preserve">Spring Canyon III </w:t>
            </w:r>
            <w:r>
              <w:rPr>
                <w:rFonts w:ascii="Times New Roman" w:cs="Times New Roman" w:eastAsia="Times New Roman" w:hAnsi="Times New Roman"/>
                <w:sz w:val="17"/>
                <w:szCs w:val="17"/>
                <w:color w:val="auto"/>
                <w:vertAlign w:val="superscript"/>
              </w:rPr>
              <w:t>(b)</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1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8"/>
                <w:szCs w:val="18"/>
                <w:color w:val="auto"/>
              </w:rPr>
            </w:pP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Platte River Power Authority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2039</w:t>
            </w:r>
          </w:p>
        </w:tc>
      </w:tr>
      <w:tr>
        <w:trPr>
          <w:trHeight w:val="19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Taloga</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Oklahoma Gas &amp; Electric</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2031</w:t>
            </w:r>
          </w:p>
        </w:tc>
      </w:tr>
      <w:tr>
        <w:trPr>
          <w:trHeight w:val="214"/>
        </w:trPr>
        <w:tc>
          <w:tcPr>
            <w:tcW w:w="4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 xml:space="preserve">Wildorado </w:t>
            </w:r>
            <w:r>
              <w:rPr>
                <w:rFonts w:ascii="Times New Roman" w:cs="Times New Roman" w:eastAsia="Times New Roman" w:hAnsi="Times New Roman"/>
                <w:sz w:val="17"/>
                <w:szCs w:val="17"/>
                <w:color w:val="auto"/>
                <w:vertAlign w:val="superscript"/>
              </w:rPr>
              <w:t>(b)</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2"/>
              </w:rPr>
              <w:t>2027</w:t>
            </w:r>
          </w:p>
        </w:tc>
      </w:tr>
      <w:tr>
        <w:trPr>
          <w:trHeight w:val="205"/>
        </w:trPr>
        <w:tc>
          <w:tcPr>
            <w:tcW w:w="4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Thermal</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6"/>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4"/>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Thermal equivalent MWt</w:t>
            </w:r>
            <w:r>
              <w:rPr>
                <w:rFonts w:ascii="Times New Roman" w:cs="Times New Roman" w:eastAsia="Times New Roman" w:hAnsi="Times New Roman"/>
                <w:sz w:val="17"/>
                <w:szCs w:val="17"/>
                <w:color w:val="auto"/>
                <w:vertAlign w:val="superscript"/>
              </w:rPr>
              <w:t>(c)</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Various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Various</w:t>
            </w:r>
          </w:p>
        </w:tc>
      </w:tr>
      <w:tr>
        <w:trPr>
          <w:trHeight w:val="192"/>
        </w:trPr>
        <w:tc>
          <w:tcPr>
            <w:tcW w:w="4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NRG Energy Center Dover LLC</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NRG Power Marketing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r>
      <w:tr>
        <w:trPr>
          <w:trHeight w:val="22"/>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4"/>
        </w:trPr>
        <w:tc>
          <w:tcPr>
            <w:tcW w:w="4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Thermal generation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Various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Various</w:t>
            </w:r>
          </w:p>
        </w:tc>
      </w:tr>
      <w:tr>
        <w:trPr>
          <w:trHeight w:val="183"/>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05"/>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Total net capacity (excluding equivalent MWt) </w:t>
            </w:r>
            <w:r>
              <w:rPr>
                <w:rFonts w:ascii="Times New Roman" w:cs="Times New Roman" w:eastAsia="Times New Roman" w:hAnsi="Times New Roman"/>
                <w:sz w:val="17"/>
                <w:szCs w:val="17"/>
                <w:color w:val="auto"/>
                <w:vertAlign w:val="superscript"/>
              </w:rPr>
              <w:t>(d)</w:t>
            </w: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4,686</w:t>
            </w:r>
          </w:p>
        </w:tc>
        <w:tc>
          <w:tcPr>
            <w:tcW w:w="10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283781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37815" cy="6985"/>
                    </a:xfrm>
                    <a:prstGeom prst="rect">
                      <a:avLst/>
                    </a:prstGeom>
                    <a:noFill/>
                  </pic:spPr>
                </pic:pic>
              </a:graphicData>
            </a:graphic>
          </wp:anchor>
        </w:drawing>
      </w:r>
    </w:p>
    <w:p>
      <w:pPr>
        <w:spacing w:after="0" w:line="209" w:lineRule="exact"/>
        <w:rPr>
          <w:sz w:val="20"/>
          <w:szCs w:val="20"/>
          <w:color w:val="auto"/>
        </w:rPr>
      </w:pPr>
    </w:p>
    <w:p>
      <w:pPr>
        <w:ind w:left="120" w:hanging="114"/>
        <w:spacing w:after="0"/>
        <w:tabs>
          <w:tab w:leader="none" w:pos="12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Net capacity represents the maximum, or rated, generating capacity of the facility multiplied by the Company's percentage ownership in the facility as of December 31, 2016.</w:t>
      </w:r>
    </w:p>
    <w:p>
      <w:pPr>
        <w:spacing w:after="0" w:line="14" w:lineRule="exact"/>
        <w:rPr>
          <w:rFonts w:ascii="Times New Roman" w:cs="Times New Roman" w:eastAsia="Times New Roman" w:hAnsi="Times New Roman"/>
          <w:sz w:val="7"/>
          <w:szCs w:val="7"/>
          <w:color w:val="auto"/>
        </w:rPr>
      </w:pPr>
    </w:p>
    <w:p>
      <w:pPr>
        <w:ind w:left="120" w:hanging="114"/>
        <w:spacing w:after="0"/>
        <w:tabs>
          <w:tab w:leader="none" w:pos="12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Projects are part of tax equity arrangements.</w:t>
      </w:r>
    </w:p>
    <w:p>
      <w:pPr>
        <w:spacing w:after="0" w:line="9" w:lineRule="exact"/>
        <w:rPr>
          <w:rFonts w:ascii="Times New Roman" w:cs="Times New Roman" w:eastAsia="Times New Roman" w:hAnsi="Times New Roman"/>
          <w:sz w:val="7"/>
          <w:szCs w:val="7"/>
          <w:color w:val="auto"/>
        </w:rPr>
      </w:pPr>
    </w:p>
    <w:p>
      <w:pPr>
        <w:ind w:left="100" w:hanging="94"/>
        <w:spacing w:after="0"/>
        <w:tabs>
          <w:tab w:leader="none" w:pos="10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For thermal energy, net capacity represents MWt for steam or chilled water and excludes 134 MWt available under the right-to-use provisions contained in agreements between two of the Company's thermal facilities and certain of its customers.</w:t>
      </w:r>
    </w:p>
    <w:p>
      <w:pPr>
        <w:spacing w:after="0" w:line="12" w:lineRule="exact"/>
        <w:rPr>
          <w:rFonts w:ascii="Times New Roman" w:cs="Times New Roman" w:eastAsia="Times New Roman" w:hAnsi="Times New Roman"/>
          <w:sz w:val="7"/>
          <w:szCs w:val="7"/>
          <w:color w:val="auto"/>
        </w:rPr>
      </w:pPr>
    </w:p>
    <w:p>
      <w:pPr>
        <w:ind w:left="120" w:hanging="114"/>
        <w:spacing w:after="0"/>
        <w:tabs>
          <w:tab w:leader="none" w:pos="12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NRG Yield's total generation capacity is net of 6 MWs for noncontrolling interest for Spring Canyon II and III. NRG Yield's generation capacity including this noncontrolling interest was 4,692 MWs.</w:t>
      </w:r>
    </w:p>
    <w:p>
      <w:pPr>
        <w:spacing w:after="0" w:line="125" w:lineRule="exact"/>
        <w:rPr>
          <w:sz w:val="20"/>
          <w:szCs w:val="20"/>
          <w:color w:val="auto"/>
        </w:rPr>
      </w:pPr>
    </w:p>
    <w:p>
      <w:pPr>
        <w:jc w:val="both"/>
        <w:ind w:firstLine="321"/>
        <w:spacing w:after="0" w:line="271" w:lineRule="auto"/>
        <w:rPr>
          <w:sz w:val="20"/>
          <w:szCs w:val="20"/>
          <w:color w:val="auto"/>
        </w:rPr>
      </w:pPr>
      <w:r>
        <w:rPr>
          <w:rFonts w:ascii="Times New Roman" w:cs="Times New Roman" w:eastAsia="Times New Roman" w:hAnsi="Times New Roman"/>
          <w:sz w:val="14"/>
          <w:szCs w:val="14"/>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131 MW based on cash to be distributed. For further discussions, refer to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to the Consolidated Financial Statements.</w:t>
      </w:r>
    </w:p>
    <w:p>
      <w:pPr>
        <w:spacing w:after="0" w:line="269"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Three out of the fourteen district energy systems are subject to rate regulation by state public utility commissions while the other district energy systems have rates determined by negotiated bilateral contracts.</w:t>
      </w:r>
    </w:p>
    <w:p>
      <w:pPr>
        <w:spacing w:after="0" w:line="60" w:lineRule="exact"/>
        <w:rPr>
          <w:sz w:val="20"/>
          <w:szCs w:val="20"/>
          <w:color w:val="auto"/>
        </w:rPr>
      </w:pPr>
    </w:p>
    <w:p>
      <w:pPr>
        <w:jc w:val="both"/>
        <w:ind w:firstLine="321"/>
        <w:spacing w:after="0" w:line="294" w:lineRule="auto"/>
        <w:rPr>
          <w:sz w:val="20"/>
          <w:szCs w:val="20"/>
          <w:color w:val="auto"/>
        </w:rPr>
      </w:pPr>
      <w:r>
        <w:rPr>
          <w:rFonts w:ascii="Times New Roman" w:cs="Times New Roman" w:eastAsia="Times New Roman" w:hAnsi="Times New Roman"/>
          <w:sz w:val="14"/>
          <w:szCs w:val="14"/>
          <w:color w:val="auto"/>
        </w:rPr>
        <w:t xml:space="preserve">As described in Note 13,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the Company has a management services agreement with NRG for various services, including human resources, accounting, tax, legal, information systems, treasury, and risk management.</w:t>
      </w:r>
    </w:p>
    <w:p>
      <w:pPr>
        <w:spacing w:after="0" w:line="47"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 xml:space="preserve">During the years ending December 31, 2016 and 2015 the Company completed three acquisitions of Drop Down Assets from NRG.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For further discussion, see Note 3, </w:t>
      </w:r>
      <w:r>
        <w:rPr>
          <w:rFonts w:ascii="Times New Roman" w:cs="Times New Roman" w:eastAsia="Times New Roman" w:hAnsi="Times New Roman"/>
          <w:sz w:val="14"/>
          <w:szCs w:val="14"/>
          <w:i w:val="1"/>
          <w:iCs w:val="1"/>
          <w:color w:val="auto"/>
        </w:rPr>
        <w:t>Business Acquisitions.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Summary of Significant Accounting Policies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43" w:lineRule="exact"/>
        <w:rPr>
          <w:sz w:val="20"/>
          <w:szCs w:val="20"/>
          <w:color w:val="auto"/>
        </w:rPr>
      </w:pPr>
    </w:p>
    <w:p>
      <w:pPr>
        <w:jc w:val="both"/>
        <w:ind w:firstLine="343"/>
        <w:spacing w:after="0" w:line="291" w:lineRule="auto"/>
        <w:rPr>
          <w:sz w:val="20"/>
          <w:szCs w:val="20"/>
          <w:color w:val="auto"/>
        </w:rPr>
      </w:pPr>
      <w:r>
        <w:rPr>
          <w:rFonts w:ascii="Times New Roman" w:cs="Times New Roman" w:eastAsia="Times New Roman" w:hAnsi="Times New Roman"/>
          <w:sz w:val="14"/>
          <w:szCs w:val="14"/>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81" w:lineRule="exact"/>
        <w:rPr>
          <w:sz w:val="20"/>
          <w:szCs w:val="20"/>
          <w:color w:val="auto"/>
        </w:rPr>
      </w:pPr>
    </w:p>
    <w:p>
      <w:pPr>
        <w:jc w:val="both"/>
        <w:ind w:firstLine="343"/>
        <w:spacing w:after="0" w:line="267" w:lineRule="auto"/>
        <w:rPr>
          <w:sz w:val="20"/>
          <w:szCs w:val="20"/>
          <w:color w:val="auto"/>
        </w:rPr>
      </w:pPr>
      <w:r>
        <w:rPr>
          <w:rFonts w:ascii="Times New Roman" w:cs="Times New Roman" w:eastAsia="Times New Roman" w:hAnsi="Times New Roman"/>
          <w:sz w:val="14"/>
          <w:szCs w:val="14"/>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xml:space="preserve"> or ASC 810, to determine when an entity that is insufficiently capitalized or not controlled through its voting interests, referred to as a variable interest entity, or VIE, should be consolidated.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1460"/>
          </w:cols>
          <w:pgMar w:left="220" w:top="898" w:right="2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43" w:lineRule="exact"/>
        <w:rPr>
          <w:sz w:val="20"/>
          <w:szCs w:val="20"/>
          <w:color w:val="auto"/>
        </w:rPr>
      </w:pPr>
    </w:p>
    <w:p>
      <w:pPr>
        <w:jc w:val="both"/>
        <w:ind w:firstLine="343"/>
        <w:spacing w:after="0" w:line="291"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project subsidiaries was $105 million and $93 million as of December 31, 2016 and 2015,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43"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projects that are restricted in their use. Of these funds as of December 31, 2016, approximately $25 million is designated for current debt service payments, $13 million is designated to fund operating expenses and $37 million is designated for distributions to the Company, with the remaining $90 million restricted for reserves including debt service, performance obligations and other reserves, as well as capital expenditures.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Receivables and Allowance for Doubtful Accounts</w:t>
      </w:r>
    </w:p>
    <w:p>
      <w:pPr>
        <w:spacing w:after="0" w:line="143" w:lineRule="exact"/>
        <w:rPr>
          <w:sz w:val="20"/>
          <w:szCs w:val="20"/>
          <w:color w:val="auto"/>
        </w:rPr>
      </w:pPr>
    </w:p>
    <w:p>
      <w:pPr>
        <w:jc w:val="both"/>
        <w:ind w:firstLine="343"/>
        <w:spacing w:after="0" w:line="291" w:lineRule="auto"/>
        <w:rPr>
          <w:sz w:val="20"/>
          <w:szCs w:val="20"/>
          <w:color w:val="auto"/>
        </w:rPr>
      </w:pPr>
      <w:r>
        <w:rPr>
          <w:rFonts w:ascii="Times New Roman" w:cs="Times New Roman" w:eastAsia="Times New Roman" w:hAnsi="Times New Roman"/>
          <w:sz w:val="14"/>
          <w:szCs w:val="14"/>
          <w:color w:val="auto"/>
        </w:rPr>
        <w:t>Trade receivables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2016 and 2015.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43"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143" w:lineRule="exact"/>
        <w:rPr>
          <w:sz w:val="20"/>
          <w:szCs w:val="20"/>
          <w:color w:val="auto"/>
        </w:rPr>
      </w:pPr>
    </w:p>
    <w:p>
      <w:pPr>
        <w:jc w:val="both"/>
        <w:ind w:firstLine="343"/>
        <w:spacing w:after="0" w:line="264" w:lineRule="auto"/>
        <w:rPr>
          <w:sz w:val="20"/>
          <w:szCs w:val="20"/>
          <w:color w:val="auto"/>
        </w:rPr>
      </w:pPr>
      <w:r>
        <w:rPr>
          <w:rFonts w:ascii="Times New Roman" w:cs="Times New Roman" w:eastAsia="Times New Roman" w:hAnsi="Times New Roman"/>
          <w:sz w:val="14"/>
          <w:szCs w:val="14"/>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See Note 3,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 xml:space="preserve"> for more information on acquired property, plant and equipment.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Impairments</w:t>
      </w:r>
    </w:p>
    <w:p>
      <w:pPr>
        <w:spacing w:after="0" w:line="143" w:lineRule="exact"/>
        <w:rPr>
          <w:sz w:val="20"/>
          <w:szCs w:val="20"/>
          <w:color w:val="auto"/>
        </w:rPr>
      </w:pPr>
    </w:p>
    <w:p>
      <w:pPr>
        <w:jc w:val="both"/>
        <w:ind w:firstLine="343"/>
        <w:spacing w:after="0" w:line="264" w:lineRule="auto"/>
        <w:rPr>
          <w:sz w:val="20"/>
          <w:szCs w:val="20"/>
          <w:color w:val="auto"/>
        </w:rPr>
      </w:pPr>
      <w:r>
        <w:rPr>
          <w:rFonts w:ascii="Times New Roman" w:cs="Times New Roman" w:eastAsia="Times New Roman" w:hAnsi="Times New Roman"/>
          <w:sz w:val="14"/>
          <w:szCs w:val="14"/>
          <w:color w:val="auto"/>
        </w:rPr>
        <w:t xml:space="preserve">Long-lived assets that are held and used are reviewed for impairment whenever events or changes in circumstances indicate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Note 9, </w:t>
      </w:r>
      <w:r>
        <w:rPr>
          <w:rFonts w:ascii="Times New Roman" w:cs="Times New Roman" w:eastAsia="Times New Roman" w:hAnsi="Times New Roman"/>
          <w:sz w:val="14"/>
          <w:szCs w:val="14"/>
          <w:i w:val="1"/>
          <w:iCs w:val="1"/>
          <w:color w:val="auto"/>
        </w:rPr>
        <w:t>Asset Impairments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both"/>
        <w:ind w:firstLine="343"/>
        <w:spacing w:after="0" w:line="275" w:lineRule="auto"/>
        <w:rPr>
          <w:sz w:val="20"/>
          <w:szCs w:val="20"/>
          <w:color w:val="auto"/>
        </w:rPr>
      </w:pPr>
      <w:r>
        <w:rPr>
          <w:rFonts w:ascii="Times New Roman" w:cs="Times New Roman" w:eastAsia="Times New Roman" w:hAnsi="Times New Roman"/>
          <w:sz w:val="14"/>
          <w:szCs w:val="14"/>
          <w:color w:val="auto"/>
        </w:rPr>
        <w:t xml:space="preserve">Investments accounted for by the equity method are reviewed for impairment in accordance with ASC 323, </w:t>
      </w:r>
      <w:r>
        <w:rPr>
          <w:rFonts w:ascii="Times New Roman" w:cs="Times New Roman" w:eastAsia="Times New Roman" w:hAnsi="Times New Roman"/>
          <w:sz w:val="14"/>
          <w:szCs w:val="14"/>
          <w:i w:val="1"/>
          <w:iCs w:val="1"/>
          <w:color w:val="auto"/>
        </w:rPr>
        <w:t>Investments-Equity Method and Joint Ventures</w:t>
      </w:r>
      <w:r>
        <w:rPr>
          <w:rFonts w:ascii="Times New Roman" w:cs="Times New Roman" w:eastAsia="Times New Roman" w:hAnsi="Times New Roman"/>
          <w:sz w:val="14"/>
          <w:szCs w:val="14"/>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43"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loan.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1460"/>
          </w:cols>
          <w:pgMar w:left="220" w:top="764" w:right="2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43" w:lineRule="exact"/>
        <w:rPr>
          <w:sz w:val="20"/>
          <w:szCs w:val="20"/>
          <w:color w:val="auto"/>
        </w:rPr>
      </w:pPr>
    </w:p>
    <w:p>
      <w:pPr>
        <w:jc w:val="both"/>
        <w:ind w:firstLine="343"/>
        <w:spacing w:after="0" w:line="284" w:lineRule="auto"/>
        <w:rPr>
          <w:sz w:val="20"/>
          <w:szCs w:val="20"/>
          <w:color w:val="auto"/>
        </w:rPr>
      </w:pPr>
      <w:r>
        <w:rPr>
          <w:rFonts w:ascii="Times New Roman" w:cs="Times New Roman" w:eastAsia="Times New Roman" w:hAnsi="Times New Roman"/>
          <w:sz w:val="14"/>
          <w:szCs w:val="14"/>
          <w:color w:val="auto"/>
        </w:rPr>
        <w:t>Intangible assets represent contractual rights held by the Company. The Company recognizes specifically identifiable intangible assets including power purchase agreements, leasehold improvements, customer relationships, customer contracts, and development rights when specific rights and contracts are acquired. These intangible assets are amortized primarily on a straight-line basis.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Notes Receivable</w:t>
      </w:r>
    </w:p>
    <w:p>
      <w:pPr>
        <w:spacing w:after="0" w:line="143" w:lineRule="exact"/>
        <w:rPr>
          <w:sz w:val="20"/>
          <w:szCs w:val="20"/>
          <w:color w:val="auto"/>
        </w:rPr>
      </w:pPr>
    </w:p>
    <w:p>
      <w:pPr>
        <w:jc w:val="both"/>
        <w:ind w:firstLine="343"/>
        <w:spacing w:after="0" w:line="291" w:lineRule="auto"/>
        <w:rPr>
          <w:sz w:val="20"/>
          <w:szCs w:val="20"/>
          <w:color w:val="auto"/>
        </w:rPr>
      </w:pPr>
      <w:r>
        <w:rPr>
          <w:rFonts w:ascii="Times New Roman" w:cs="Times New Roman" w:eastAsia="Times New Roman" w:hAnsi="Times New Roman"/>
          <w:sz w:val="14"/>
          <w:szCs w:val="14"/>
          <w:color w:val="auto"/>
        </w:rPr>
        <w:t>Notes receivable consist of receivables related to the financing of required network upgrades. The notes issued with respect to network upgrades will be repaid within a 5-year period following the date each facility reached commercial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3" w:lineRule="exact"/>
        <w:rPr>
          <w:sz w:val="20"/>
          <w:szCs w:val="20"/>
          <w:color w:val="auto"/>
        </w:rPr>
      </w:pPr>
    </w:p>
    <w:p>
      <w:pPr>
        <w:jc w:val="both"/>
        <w:ind w:firstLine="343"/>
        <w:spacing w:after="0" w:line="291" w:lineRule="auto"/>
        <w:rPr>
          <w:sz w:val="20"/>
          <w:szCs w:val="20"/>
          <w:color w:val="auto"/>
        </w:rPr>
      </w:pPr>
      <w:r>
        <w:rPr>
          <w:rFonts w:ascii="Times New Roman" w:cs="Times New Roman" w:eastAsia="Times New Roman" w:hAnsi="Times New Roman"/>
          <w:sz w:val="14"/>
          <w:szCs w:val="14"/>
          <w:color w:val="auto"/>
        </w:rPr>
        <w:t>The Company is classified as a partnership for federal and state income tax purposes. Therefore, federal and state income taxes are assessed at the partner level. Accordingly, no provision has been made for federal or state income taxes in the accompanying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Thermal Revenues</w:t>
      </w:r>
    </w:p>
    <w:p>
      <w:pPr>
        <w:spacing w:after="0" w:line="141"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Steam and chilled water revenue is recognized based on customer usage as determined by meter readings taken at month-end. Some locations read customer meters throughout the month, and recognize estimated revenue for the period between meter read date and month-end. The Thermal Business subsidiaries collect and remit state and local taxes associated with sales to their customers, as required by governmental authorities. These taxes are presented on a net basis in the income statement.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Power Purchase Agreements, or PPAs</w:t>
      </w:r>
    </w:p>
    <w:p>
      <w:pPr>
        <w:spacing w:after="0" w:line="141"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The majority of the Company’s revenues are obtained through PPAs or other contractual agreements, which are accounted for as operating leases under ASC 840.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77"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Certain of these leases have no minimum lease payments and all of the rental income under these leases is recorded as contingent rent on an actual basis when the electricity is delivered. The contingent rental income recognized in the years ended December 31, 2016, 2015 and 2014 was $553 million, $416 million and $296 million,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41" w:lineRule="exact"/>
        <w:rPr>
          <w:sz w:val="20"/>
          <w:szCs w:val="20"/>
          <w:color w:val="auto"/>
        </w:rPr>
      </w:pPr>
    </w:p>
    <w:p>
      <w:pPr>
        <w:jc w:val="both"/>
        <w:ind w:firstLine="343"/>
        <w:spacing w:after="0" w:line="275" w:lineRule="auto"/>
        <w:rPr>
          <w:sz w:val="20"/>
          <w:szCs w:val="20"/>
          <w:color w:val="auto"/>
        </w:rPr>
      </w:pPr>
      <w:r>
        <w:rPr>
          <w:rFonts w:ascii="Times New Roman" w:cs="Times New Roman" w:eastAsia="Times New Roman" w:hAnsi="Times New Roman"/>
          <w:sz w:val="14"/>
          <w:szCs w:val="14"/>
          <w:color w:val="auto"/>
        </w:rPr>
        <w:t xml:space="preserve">The Company accounts for derivative financial instruments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92" w:lineRule="exact"/>
        <w:rPr>
          <w:sz w:val="20"/>
          <w:szCs w:val="20"/>
          <w:color w:val="auto"/>
        </w:rPr>
      </w:pPr>
    </w:p>
    <w:p>
      <w:pPr>
        <w:ind w:left="520" w:hanging="257"/>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in earnings as an offset to the changes in the fair value of the related hedged assets, liabilities and firm commitments; or</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and recorded as a component of accumulated OCI until the hedged transactions occur and are recognized in earnings.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1460"/>
          </w:cols>
          <w:pgMar w:left="220" w:top="764" w:right="219" w:bottom="1440" w:gutter="0" w:footer="0" w:header="0"/>
        </w:sectPr>
      </w:pPr>
    </w:p>
    <w:bookmarkStart w:id="71" w:name="page72"/>
    <w:bookmarkEnd w:id="71"/>
    <w:p>
      <w:pPr>
        <w:jc w:val="both"/>
        <w:ind w:firstLine="343"/>
        <w:spacing w:after="0" w:line="261" w:lineRule="auto"/>
        <w:rPr>
          <w:sz w:val="20"/>
          <w:szCs w:val="20"/>
          <w:color w:val="auto"/>
        </w:rPr>
      </w:pPr>
      <w:r>
        <w:rPr>
          <w:rFonts w:ascii="Times New Roman" w:cs="Times New Roman" w:eastAsia="Times New Roman" w:hAnsi="Times New Roman"/>
          <w:sz w:val="14"/>
          <w:szCs w:val="14"/>
          <w:color w:val="auto"/>
        </w:rPr>
        <w:t>The Company's primary derivative instruments are power purchase or sale contracts used to mitigate variability in earnings due to fluctuations in market prices, fuels purchase contracts used to control customer reimbursable fuel cost, and interest rate instruments used to mitigate variability in earnings due to fluctuations in interest rates. On an ongoing basis, the Company assesses the effectiveness of all derivatives that are designated as hedges for accounting purposes in order to determine that each derivative continues to be highly effective in offsetting changes in fair values or cash flows of hedged items. Internal analyses that measure the statistical correlation between the derivative and the associated hedged item determine the effectiveness of such a contract designated as a hedge. If it is determined that the derivative instrument is not highly effective as a hedge, hedge accounting will be discontinued prospectively.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275"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43" w:lineRule="exact"/>
        <w:rPr>
          <w:sz w:val="20"/>
          <w:szCs w:val="20"/>
          <w:color w:val="auto"/>
        </w:rPr>
      </w:pPr>
    </w:p>
    <w:p>
      <w:pPr>
        <w:jc w:val="both"/>
        <w:ind w:firstLine="343"/>
        <w:spacing w:after="0" w:line="264" w:lineRule="auto"/>
        <w:rPr>
          <w:sz w:val="20"/>
          <w:szCs w:val="20"/>
          <w:color w:val="auto"/>
        </w:rPr>
      </w:pPr>
      <w:r>
        <w:rPr>
          <w:rFonts w:ascii="Times New Roman" w:cs="Times New Roman" w:eastAsia="Times New Roman" w:hAnsi="Times New Roman"/>
          <w:sz w:val="14"/>
          <w:szCs w:val="14"/>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industry. These industry concentrations may impact the overall exposure to credit risk, either positively or negatively, in that the customers may be similarly affected by changes in economic, industry or other conditions. In addition, many of the Company's projects have only one customer. However, the Company believes that the credit risk posed by industry concentration is offset by the diversification and creditworthiness of its customer base. 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a further discussion of derivative concentrations and Note 12,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for concentration of counterparties.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43"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a further discussion of fair value of financial instruments.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Obligations</w:t>
      </w:r>
    </w:p>
    <w:p>
      <w:pPr>
        <w:spacing w:after="0" w:line="141" w:lineRule="exact"/>
        <w:rPr>
          <w:sz w:val="20"/>
          <w:szCs w:val="20"/>
          <w:color w:val="auto"/>
        </w:rPr>
      </w:pPr>
    </w:p>
    <w:p>
      <w:pPr>
        <w:jc w:val="both"/>
        <w:ind w:firstLine="343"/>
        <w:spacing w:after="0" w:line="268" w:lineRule="auto"/>
        <w:rPr>
          <w:sz w:val="20"/>
          <w:szCs w:val="20"/>
          <w:color w:val="auto"/>
        </w:rPr>
      </w:pPr>
      <w:r>
        <w:rPr>
          <w:rFonts w:ascii="Times New Roman" w:cs="Times New Roman" w:eastAsia="Times New Roman" w:hAnsi="Times New Roman"/>
          <w:sz w:val="14"/>
          <w:szCs w:val="14"/>
          <w:color w:val="auto"/>
        </w:rPr>
        <w:t xml:space="preserve">Asset retirement obligations, or AROs, are accounted for in accordance with ASC 410-20, </w:t>
      </w:r>
      <w:r>
        <w:rPr>
          <w:rFonts w:ascii="Times New Roman" w:cs="Times New Roman" w:eastAsia="Times New Roman" w:hAnsi="Times New Roman"/>
          <w:sz w:val="14"/>
          <w:szCs w:val="14"/>
          <w:i w:val="1"/>
          <w:iCs w:val="1"/>
          <w:color w:val="auto"/>
        </w:rPr>
        <w:t>Asset Retirement Obligations,</w:t>
      </w:r>
      <w:r>
        <w:rPr>
          <w:rFonts w:ascii="Times New Roman" w:cs="Times New Roman" w:eastAsia="Times New Roman" w:hAnsi="Times New Roman"/>
          <w:sz w:val="14"/>
          <w:szCs w:val="14"/>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97"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94" w:lineRule="exact"/>
        <w:rPr>
          <w:sz w:val="20"/>
          <w:szCs w:val="20"/>
          <w:color w:val="auto"/>
        </w:rPr>
      </w:pPr>
    </w:p>
    <w:p>
      <w:pPr>
        <w:jc w:val="both"/>
        <w:ind w:firstLine="343"/>
        <w:spacing w:after="0" w:line="291" w:lineRule="auto"/>
        <w:rPr>
          <w:sz w:val="20"/>
          <w:szCs w:val="20"/>
          <w:color w:val="auto"/>
        </w:rPr>
      </w:pPr>
      <w:r>
        <w:rPr>
          <w:rFonts w:ascii="Times New Roman" w:cs="Times New Roman" w:eastAsia="Times New Roman" w:hAnsi="Times New Roman"/>
          <w:sz w:val="14"/>
          <w:szCs w:val="14"/>
          <w:color w:val="auto"/>
        </w:rPr>
        <w:t>The following table represents the balance of ARO obligations as of December 31, 2016 and 2015, along with the additions and accretion related to the Company's ARO obligations for the year ended December 31,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200" w:type="dxa"/>
            <w:vAlign w:val="bottom"/>
            <w:tcBorders>
              <w:bottom w:val="single" w:sz="8" w:color="CCEEFF"/>
            </w:tcBorders>
          </w:tcPr>
          <w:p>
            <w:pPr>
              <w:spacing w:after="0"/>
              <w:rPr>
                <w:sz w:val="13"/>
                <w:szCs w:val="13"/>
                <w:color w:val="auto"/>
              </w:rPr>
            </w:pPr>
          </w:p>
        </w:tc>
        <w:tc>
          <w:tcPr>
            <w:tcW w:w="55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2015</w:t>
            </w:r>
          </w:p>
        </w:tc>
        <w:tc>
          <w:tcPr>
            <w:tcW w:w="588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2"/>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Revisions in estimates for current obligations</w:t>
            </w:r>
          </w:p>
        </w:tc>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
        </w:trPr>
        <w:tc>
          <w:tcPr>
            <w:tcW w:w="42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 expense</w:t>
            </w:r>
          </w:p>
        </w:tc>
        <w:tc>
          <w:tcPr>
            <w:tcW w:w="5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2016</w:t>
            </w:r>
          </w:p>
        </w:tc>
        <w:tc>
          <w:tcPr>
            <w:tcW w:w="55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540" w:type="dxa"/>
            <w:vAlign w:val="bottom"/>
            <w:vMerge w:val="restart"/>
          </w:tcPr>
          <w:p>
            <w:pPr>
              <w:jc w:val="right"/>
              <w:ind w:right="3869"/>
              <w:spacing w:after="0"/>
              <w:rPr>
                <w:sz w:val="20"/>
                <w:szCs w:val="20"/>
                <w:color w:val="auto"/>
              </w:rPr>
            </w:pPr>
            <w:r>
              <w:rPr>
                <w:rFonts w:ascii="Times New Roman" w:cs="Times New Roman" w:eastAsia="Times New Roman" w:hAnsi="Times New Roman"/>
                <w:sz w:val="14"/>
                <w:szCs w:val="14"/>
                <w:color w:val="auto"/>
              </w:rPr>
              <w:t>72</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20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68" w:right="2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143" w:lineRule="exact"/>
        <w:rPr>
          <w:sz w:val="20"/>
          <w:szCs w:val="20"/>
          <w:color w:val="auto"/>
        </w:rPr>
      </w:pPr>
    </w:p>
    <w:p>
      <w:pPr>
        <w:jc w:val="both"/>
        <w:ind w:firstLine="343"/>
        <w:spacing w:after="0" w:line="262" w:lineRule="auto"/>
        <w:rPr>
          <w:sz w:val="20"/>
          <w:szCs w:val="20"/>
          <w:color w:val="auto"/>
        </w:rPr>
      </w:pPr>
      <w:r>
        <w:rPr>
          <w:rFonts w:ascii="Times New Roman" w:cs="Times New Roman" w:eastAsia="Times New Roman" w:hAnsi="Times New Roman"/>
          <w:sz w:val="14"/>
          <w:szCs w:val="14"/>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Accounted for by the Equity Method</w:t>
      </w:r>
    </w:p>
    <w:p>
      <w:pPr>
        <w:spacing w:after="0" w:line="143" w:lineRule="exact"/>
        <w:rPr>
          <w:sz w:val="20"/>
          <w:szCs w:val="20"/>
          <w:color w:val="auto"/>
        </w:rPr>
      </w:pPr>
    </w:p>
    <w:p>
      <w:pPr>
        <w:jc w:val="both"/>
        <w:ind w:firstLine="343"/>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investments in various energy projects accounted for by the equity method, four of which are VIEs, where the Company is not a primary beneficiary, and two of which are owned by a subsidiary that is consolidated as a VIE, as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Leaseback Arrangements</w:t>
      </w:r>
    </w:p>
    <w:p>
      <w:pPr>
        <w:spacing w:after="0" w:line="143" w:lineRule="exact"/>
        <w:rPr>
          <w:sz w:val="20"/>
          <w:szCs w:val="20"/>
          <w:color w:val="auto"/>
        </w:rPr>
      </w:pPr>
    </w:p>
    <w:p>
      <w:pPr>
        <w:jc w:val="both"/>
        <w:ind w:firstLine="343"/>
        <w:spacing w:after="0" w:line="267" w:lineRule="auto"/>
        <w:rPr>
          <w:sz w:val="20"/>
          <w:szCs w:val="20"/>
          <w:color w:val="auto"/>
        </w:rPr>
      </w:pPr>
      <w:r>
        <w:rPr>
          <w:rFonts w:ascii="Times New Roman" w:cs="Times New Roman" w:eastAsia="Times New Roman" w:hAnsi="Times New Roman"/>
          <w:sz w:val="14"/>
          <w:szCs w:val="14"/>
          <w:color w:val="auto"/>
        </w:rPr>
        <w:t xml:space="preserve">The Company is party to sale-leaseback arrangements that provide for the sale of certain assets to a third party and simultaneous leaseback to the Company. In accordance with ASC 840-40, </w:t>
      </w:r>
      <w:r>
        <w:rPr>
          <w:rFonts w:ascii="Times New Roman" w:cs="Times New Roman" w:eastAsia="Times New Roman" w:hAnsi="Times New Roman"/>
          <w:sz w:val="14"/>
          <w:szCs w:val="14"/>
          <w:i w:val="1"/>
          <w:iCs w:val="1"/>
          <w:color w:val="auto"/>
        </w:rPr>
        <w:t>Sale-Leaseback Transactions</w:t>
      </w:r>
      <w:r>
        <w:rPr>
          <w:rFonts w:ascii="Times New Roman" w:cs="Times New Roman" w:eastAsia="Times New Roman" w:hAnsi="Times New Roman"/>
          <w:sz w:val="14"/>
          <w:szCs w:val="14"/>
          <w:color w:val="auto"/>
        </w:rPr>
        <w:t>, if the seller-lessee retains, through the leaseback, substantially all of the benefits and risks incident to the ownership of the property sold, the sale-leaseback transaction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98" w:lineRule="exact"/>
        <w:rPr>
          <w:sz w:val="20"/>
          <w:szCs w:val="20"/>
          <w:color w:val="auto"/>
        </w:rPr>
      </w:pPr>
    </w:p>
    <w:p>
      <w:pPr>
        <w:jc w:val="both"/>
        <w:ind w:firstLine="343"/>
        <w:spacing w:after="0" w:line="264" w:lineRule="auto"/>
        <w:rPr>
          <w:sz w:val="20"/>
          <w:szCs w:val="20"/>
          <w:color w:val="auto"/>
        </w:rPr>
      </w:pPr>
      <w:r>
        <w:rPr>
          <w:rFonts w:ascii="Times New Roman" w:cs="Times New Roman" w:eastAsia="Times New Roman" w:hAnsi="Times New Roman"/>
          <w:sz w:val="14"/>
          <w:szCs w:val="14"/>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41" w:lineRule="exact"/>
        <w:rPr>
          <w:sz w:val="20"/>
          <w:szCs w:val="20"/>
          <w:color w:val="auto"/>
        </w:rPr>
      </w:pPr>
    </w:p>
    <w:p>
      <w:pPr>
        <w:jc w:val="both"/>
        <w:ind w:firstLine="343"/>
        <w:spacing w:after="0" w:line="262" w:lineRule="auto"/>
        <w:rPr>
          <w:sz w:val="20"/>
          <w:szCs w:val="20"/>
          <w:color w:val="auto"/>
        </w:rPr>
      </w:pPr>
      <w:r>
        <w:rPr>
          <w:rFonts w:ascii="Times New Roman" w:cs="Times New Roman" w:eastAsia="Times New Roman" w:hAnsi="Times New Roman"/>
          <w:sz w:val="14"/>
          <w:szCs w:val="14"/>
          <w:color w:val="auto"/>
        </w:rPr>
        <w:t xml:space="preserve">The Company accounts for its business combinations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acquisitions that relate to entities under common control, ASC 805 requires retrospective combination of the entities for all periods presented as if the combination has been in effect from the beginning of the financial statement period of from the date the entities were under common control (if later than the beginning of the financial statement period). The difference between the cash paid and historical value of the entities' equity is recorded as a distribution/contribution from/to NRG with the offset to contributed capital. Transaction costs are expensed as incurred.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1460"/>
          </w:cols>
          <w:pgMar w:left="220" w:top="764" w:right="2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43" w:lineRule="exact"/>
        <w:rPr>
          <w:sz w:val="20"/>
          <w:szCs w:val="20"/>
          <w:color w:val="auto"/>
        </w:rPr>
      </w:pPr>
    </w:p>
    <w:p>
      <w:pPr>
        <w:jc w:val="both"/>
        <w:ind w:firstLine="343"/>
        <w:spacing w:after="0" w:line="273"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 of assets and liabilities and disclosures of contingent assets and liabilities as of the date of the consolidated financial statements. They also impact the reported amount of net earnings during the reporting period. Actual results could be different from these estimates.</w:t>
      </w:r>
    </w:p>
    <w:p>
      <w:pPr>
        <w:spacing w:after="0" w:line="94" w:lineRule="exact"/>
        <w:rPr>
          <w:sz w:val="20"/>
          <w:szCs w:val="20"/>
          <w:color w:val="auto"/>
        </w:rPr>
      </w:pPr>
    </w:p>
    <w:p>
      <w:pPr>
        <w:jc w:val="both"/>
        <w:ind w:firstLine="343"/>
        <w:spacing w:after="0" w:line="267" w:lineRule="auto"/>
        <w:rPr>
          <w:sz w:val="20"/>
          <w:szCs w:val="20"/>
          <w:color w:val="auto"/>
        </w:rPr>
      </w:pPr>
      <w:r>
        <w:rPr>
          <w:rFonts w:ascii="Times New Roman" w:cs="Times New Roman" w:eastAsia="Times New Roman" w:hAnsi="Times New Roman"/>
          <w:sz w:val="14"/>
          <w:szCs w:val="14"/>
          <w:color w:val="auto"/>
        </w:rPr>
        <w:t>In recording transactions and balances resulting from business operations, the Company uses estimates based on the best information available. Estimates are used for such items as plant depreciable lives, uncollectible accounts, environmental liabilities,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Equity Arrangements</w:t>
      </w:r>
    </w:p>
    <w:p>
      <w:pPr>
        <w:spacing w:after="0" w:line="143" w:lineRule="exact"/>
        <w:rPr>
          <w:sz w:val="20"/>
          <w:szCs w:val="20"/>
          <w:color w:val="auto"/>
        </w:rPr>
      </w:pPr>
    </w:p>
    <w:p>
      <w:pPr>
        <w:jc w:val="both"/>
        <w:ind w:firstLine="321"/>
        <w:spacing w:after="0" w:line="259" w:lineRule="auto"/>
        <w:rPr>
          <w:sz w:val="20"/>
          <w:szCs w:val="20"/>
          <w:color w:val="auto"/>
        </w:rPr>
      </w:pPr>
      <w:r>
        <w:rPr>
          <w:rFonts w:ascii="Times New Roman" w:cs="Times New Roman" w:eastAsia="Times New Roman" w:hAnsi="Times New Roman"/>
          <w:sz w:val="14"/>
          <w:szCs w:val="14"/>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distributed solar energy systems under operating leases or PPAs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Certain prior year amounts have been reclassified for comparative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20"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ASU 2016-18 </w:t>
      </w:r>
      <w:r>
        <w:rPr>
          <w:rFonts w:ascii="Times New Roman" w:cs="Times New Roman" w:eastAsia="Times New Roman" w:hAnsi="Times New Roman"/>
          <w:sz w:val="14"/>
          <w:szCs w:val="14"/>
          <w:color w:val="auto"/>
        </w:rPr>
        <w:t>— In November 2016, the FASB issued ASU No. 2016-18,</w:t>
      </w:r>
      <w:r>
        <w:rPr>
          <w:rFonts w:ascii="Times New Roman" w:cs="Times New Roman" w:eastAsia="Times New Roman" w:hAnsi="Times New Roman"/>
          <w:sz w:val="14"/>
          <w:szCs w:val="14"/>
          <w:i w:val="1"/>
          <w:iCs w:val="1"/>
          <w:color w:val="auto"/>
        </w:rPr>
        <w:t xml:space="preserve"> Statement of Cash Flows (Topic 230)</w:t>
      </w:r>
      <w:r>
        <w:rPr>
          <w:rFonts w:ascii="Times New Roman" w:cs="Times New Roman" w:eastAsia="Times New Roman" w:hAnsi="Times New Roman"/>
          <w:sz w:val="14"/>
          <w:szCs w:val="14"/>
          <w:color w:val="auto"/>
        </w:rPr>
        <w:t>, Restricted Cash, or ASU No. 2016-18. The amendments of ASU No. 2016-18</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were issued to address the diversity in classification and presentation of changes in restricted cash and restricted cash equivalents on the statement of cash flows which is currently not addressed under Topic 230. The amendments of ASU No. 2016-18 would require an entity to include amounts generally described as restricted cash and restricted cash equivalents with cash and cash equivalents when reconciling the beginning of period and end of period total amounts on the statement of cash flows. The amendments of ASU No. 2016-18 are effective for annual reporting periods beginning after December 15, 2017, and interim periods within those annual periods. Early adoption is permitted and the adoption of ASU No. 2016-18 should be applied retrospectively. The Company is currently evaluating the impact of the standard on the Company’s statement of cash flows.</w:t>
      </w:r>
    </w:p>
    <w:p>
      <w:pPr>
        <w:spacing w:after="0" w:line="99"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ASU 2016-16 </w:t>
      </w:r>
      <w:r>
        <w:rPr>
          <w:rFonts w:ascii="Times New Roman" w:cs="Times New Roman" w:eastAsia="Times New Roman" w:hAnsi="Times New Roman"/>
          <w:sz w:val="14"/>
          <w:szCs w:val="14"/>
          <w:color w:val="auto"/>
        </w:rPr>
        <w:t>— In October 2016, the FASB issued ASU No. 2016-16,</w:t>
      </w:r>
      <w:r>
        <w:rPr>
          <w:rFonts w:ascii="Times New Roman" w:cs="Times New Roman" w:eastAsia="Times New Roman" w:hAnsi="Times New Roman"/>
          <w:sz w:val="14"/>
          <w:szCs w:val="14"/>
          <w:i w:val="1"/>
          <w:iCs w:val="1"/>
          <w:color w:val="auto"/>
        </w:rPr>
        <w:t xml:space="preserve"> Income Taxes (Topic 740)</w:t>
      </w:r>
      <w:r>
        <w:rPr>
          <w:rFonts w:ascii="Times New Roman" w:cs="Times New Roman" w:eastAsia="Times New Roman" w:hAnsi="Times New Roman"/>
          <w:sz w:val="14"/>
          <w:szCs w:val="14"/>
          <w:color w:val="auto"/>
        </w:rPr>
        <w:t>, Intra-Entity Transfers of Assets Other Than Inventory, or ASU No. 2016-16. The amendments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ASU No. 2016-16 were issued to improve the accounting for the income tax consequences of intra-entity transfers of assets other than inventory. Current GAAP prohibits the recognition of current and deferred income taxes for an intra-entity asset transfer until the asset has been sold to an outside party which has resulted in diversity in practice and increased complexity within financial reporting. The amendments of ASU No. 2016-16 would require an entity to recognize the income tax consequences of an intra-entity transfer of an asset other than inventory when the transfer occurs and do not require new disclosure requirements. The amendments of ASU No. 2016-16 are effective for annual reporting periods beginning after December 15, 2017, and interim periods within those annual periods. Early adoption is permitted and the adoption of ASU No. 2016-16 should be applied on a modified retrospective basis through a cumulative-effect adjustment directly to retained earnings as of the beginning of the period of adoption. The Company is currently evaluating the impact of the standard on the Company’s results of operations, cash flows and financial position.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1460"/>
          </w:cols>
          <w:pgMar w:left="220" w:top="764" w:right="219" w:bottom="1440" w:gutter="0" w:footer="0" w:header="0"/>
        </w:sectPr>
      </w:pPr>
    </w:p>
    <w:bookmarkStart w:id="74" w:name="page75"/>
    <w:bookmarkEnd w:id="74"/>
    <w:p>
      <w:pPr>
        <w:jc w:val="both"/>
        <w:ind w:firstLine="27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ASU 2016-15 </w:t>
      </w:r>
      <w:r>
        <w:rPr>
          <w:rFonts w:ascii="Times New Roman" w:cs="Times New Roman" w:eastAsia="Times New Roman" w:hAnsi="Times New Roman"/>
          <w:sz w:val="14"/>
          <w:szCs w:val="14"/>
          <w:color w:val="auto"/>
        </w:rPr>
        <w:t>— In August 2016, the FASB issued ASU No. 2016-15,</w:t>
      </w:r>
      <w:r>
        <w:rPr>
          <w:rFonts w:ascii="Times New Roman" w:cs="Times New Roman" w:eastAsia="Times New Roman" w:hAnsi="Times New Roman"/>
          <w:sz w:val="14"/>
          <w:szCs w:val="14"/>
          <w:i w:val="1"/>
          <w:iCs w:val="1"/>
          <w:color w:val="auto"/>
        </w:rPr>
        <w:t xml:space="preserve"> Statement of Cash Flows (Topic 230)</w:t>
      </w:r>
      <w:r>
        <w:rPr>
          <w:rFonts w:ascii="Times New Roman" w:cs="Times New Roman" w:eastAsia="Times New Roman" w:hAnsi="Times New Roman"/>
          <w:sz w:val="14"/>
          <w:szCs w:val="14"/>
          <w:color w:val="auto"/>
        </w:rPr>
        <w:t>, Classification of Certain Cash Receipts and Cash Payments, or ASU No. 2016-15.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amendments of ASU No. 2016-15 were issued to address eight specific cash flow issues for which stakeholders have indicated to the FASB that a diversity in practice existed in how entities were presenting and classifying these items in the statement of cash flows. The issues addressed by ASU No. 2016-15 include but are not limited to the classification of debt prepayment and debt extinguishment costs, payments made for contingent consideration for a business combination, proceeds from the settlement of insurance proceeds, distributions received from equity method investees and separately identifiable cash flows and the application of the predominance principle. The amendments of ASU No. 2016-15 are effective for public entities for fiscal years beginning after December 15, 2017 and interim periods in those fiscal years. Early adoption is permitted, including adoption in an interim fiscal period with all amendments adopted in the same period. The adoption of ASU No. 2016-15 is required to be applied retrospectively. The Company is currently evaluating the impact of the standard on the Company's statement of cash flows.</w:t>
      </w:r>
    </w:p>
    <w:p>
      <w:pPr>
        <w:spacing w:after="0" w:line="99" w:lineRule="exact"/>
        <w:rPr>
          <w:sz w:val="20"/>
          <w:szCs w:val="20"/>
          <w:color w:val="auto"/>
        </w:rPr>
      </w:pPr>
    </w:p>
    <w:p>
      <w:pPr>
        <w:jc w:val="both"/>
        <w:ind w:firstLine="257"/>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ASU 2016-07 </w:t>
      </w:r>
      <w:r>
        <w:rPr>
          <w:rFonts w:ascii="Times New Roman" w:cs="Times New Roman" w:eastAsia="Times New Roman" w:hAnsi="Times New Roman"/>
          <w:sz w:val="14"/>
          <w:szCs w:val="14"/>
          <w:color w:val="auto"/>
        </w:rPr>
        <w:t>— In March 2016, the FASB issued ASU No. 2016-07,</w:t>
      </w:r>
      <w:r>
        <w:rPr>
          <w:rFonts w:ascii="Times New Roman" w:cs="Times New Roman" w:eastAsia="Times New Roman" w:hAnsi="Times New Roman"/>
          <w:sz w:val="14"/>
          <w:szCs w:val="14"/>
          <w:i w:val="1"/>
          <w:iCs w:val="1"/>
          <w:color w:val="auto"/>
        </w:rPr>
        <w:t xml:space="preserve"> Investments - Equity Method and Joint Ventures </w:t>
      </w:r>
      <w:r>
        <w:rPr>
          <w:rFonts w:ascii="Times New Roman" w:cs="Times New Roman" w:eastAsia="Times New Roman" w:hAnsi="Times New Roman"/>
          <w:sz w:val="14"/>
          <w:szCs w:val="14"/>
          <w:color w:val="auto"/>
        </w:rPr>
        <w:t>(Topic 323), or ASU No. 2016-07. The amendments of ASU No. 2016-07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eliminate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with no retroactive adjustment to the investment. In addition, ASU No. 2016-07 requires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Company adopted this standard effective January 1, 2017. The adoption of ASU No. 2016-07 is required to be applied prospectively. The Company does not expect the standard to have a material impact on its results of operations, cash flows and financial position.</w:t>
      </w:r>
    </w:p>
    <w:p>
      <w:pPr>
        <w:spacing w:after="0" w:line="100" w:lineRule="exact"/>
        <w:rPr>
          <w:sz w:val="20"/>
          <w:szCs w:val="20"/>
          <w:color w:val="auto"/>
        </w:rPr>
      </w:pPr>
    </w:p>
    <w:p>
      <w:pPr>
        <w:jc w:val="both"/>
        <w:ind w:firstLine="27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ASU 2016-02 </w:t>
      </w:r>
      <w:r>
        <w:rPr>
          <w:rFonts w:ascii="Times New Roman" w:cs="Times New Roman" w:eastAsia="Times New Roman" w:hAnsi="Times New Roman"/>
          <w:sz w:val="14"/>
          <w:szCs w:val="14"/>
          <w:color w:val="auto"/>
        </w:rPr>
        <w:t>— In 2016, the FASB issued ASU No. 2016-02,</w:t>
      </w:r>
      <w:r>
        <w:rPr>
          <w:rFonts w:ascii="Times New Roman" w:cs="Times New Roman" w:eastAsia="Times New Roman" w:hAnsi="Times New Roman"/>
          <w:sz w:val="14"/>
          <w:szCs w:val="14"/>
          <w:i w:val="1"/>
          <w:iCs w:val="1"/>
          <w:color w:val="auto"/>
        </w:rPr>
        <w:t xml:space="preserve"> Leases </w:t>
      </w:r>
      <w:r>
        <w:rPr>
          <w:rFonts w:ascii="Times New Roman" w:cs="Times New Roman" w:eastAsia="Times New Roman" w:hAnsi="Times New Roman"/>
          <w:sz w:val="14"/>
          <w:szCs w:val="14"/>
          <w:color w:val="auto"/>
        </w:rPr>
        <w:t>(Topic 842), or Topic 842, with the objective to increase transparency and comparability among organizations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expects to adopt the standard effective January 1, 2019 utilizing the required modified retrospective approach for the earliest period presented. The Company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As this review is still in process, it is currently not practicable to quantify the impact of adopting the ASU at this time.</w:t>
      </w:r>
    </w:p>
    <w:p>
      <w:pPr>
        <w:spacing w:after="0" w:line="102"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ASU 2016-01 </w:t>
      </w:r>
      <w:r>
        <w:rPr>
          <w:rFonts w:ascii="Times New Roman" w:cs="Times New Roman" w:eastAsia="Times New Roman" w:hAnsi="Times New Roman"/>
          <w:sz w:val="14"/>
          <w:szCs w:val="14"/>
          <w:color w:val="auto"/>
        </w:rPr>
        <w:t>— In January 2016, the FASB issued ASU No. 2016-01,</w:t>
      </w:r>
      <w:r>
        <w:rPr>
          <w:rFonts w:ascii="Times New Roman" w:cs="Times New Roman" w:eastAsia="Times New Roman" w:hAnsi="Times New Roman"/>
          <w:sz w:val="14"/>
          <w:szCs w:val="14"/>
          <w:i w:val="1"/>
          <w:iCs w:val="1"/>
          <w:color w:val="auto"/>
        </w:rPr>
        <w:t xml:space="preserve"> Financial Instruments - Overall (Subtopic 825-10): Recognition and Measurement of Financial Assets and Financial Liabilities</w:t>
      </w:r>
      <w:r>
        <w:rPr>
          <w:rFonts w:ascii="Times New Roman" w:cs="Times New Roman" w:eastAsia="Times New Roman" w:hAnsi="Times New Roman"/>
          <w:sz w:val="14"/>
          <w:szCs w:val="14"/>
          <w:color w:val="auto"/>
        </w:rPr>
        <w:t>, or ASU No. 2016-01. The amendments of ASU No. 2016-01 eliminate available-for-sale classification of equity investments and require that equity investments (except those accounted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the equity method of accounting, or those that result in consolidation of the investee) to be generally measured at fair value with changes in fair value recognized in net income. Further, the amendments require that financial assets and financial liabilities to be presented separately in the notes to the financial statements, grouped by measurement category and form of financial asset. The guidance in ASU No. 2016-01 is effective for financial statements issued for fiscal years beginning after December 15, 2017, and interim periods within those annual periods. The Company is currently evaluating the impact of the standard on the Company's results of operations, cash flows and financial position.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1460"/>
          </w:cols>
          <w:pgMar w:left="220" w:top="766" w:right="219" w:bottom="1440" w:gutter="0" w:footer="0" w:header="0"/>
        </w:sectPr>
      </w:pPr>
    </w:p>
    <w:bookmarkStart w:id="75" w:name="page76"/>
    <w:bookmarkEnd w:id="75"/>
    <w:p>
      <w:pPr>
        <w:jc w:val="both"/>
        <w:ind w:firstLine="321"/>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ASU 2015-16 </w:t>
      </w:r>
      <w:r>
        <w:rPr>
          <w:rFonts w:ascii="Times New Roman" w:cs="Times New Roman" w:eastAsia="Times New Roman" w:hAnsi="Times New Roman"/>
          <w:sz w:val="14"/>
          <w:szCs w:val="14"/>
          <w:color w:val="auto"/>
        </w:rPr>
        <w:t>— In September 2015, the FASB issued ASU No. 2015-16,</w:t>
      </w:r>
      <w:r>
        <w:rPr>
          <w:rFonts w:ascii="Times New Roman" w:cs="Times New Roman" w:eastAsia="Times New Roman" w:hAnsi="Times New Roman"/>
          <w:sz w:val="14"/>
          <w:szCs w:val="14"/>
          <w:i w:val="1"/>
          <w:iCs w:val="1"/>
          <w:color w:val="auto"/>
        </w:rPr>
        <w:t xml:space="preserve"> Business Combinations (Topic 805): Simplifying the Accounting for Measurement-Period Adjustments</w:t>
      </w:r>
      <w:r>
        <w:rPr>
          <w:rFonts w:ascii="Times New Roman" w:cs="Times New Roman" w:eastAsia="Times New Roman" w:hAnsi="Times New Roman"/>
          <w:sz w:val="14"/>
          <w:szCs w:val="14"/>
          <w:color w:val="auto"/>
        </w:rPr>
        <w:t>, or ASU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2015-16. The amendments of ASU No. 2015-16 require that an acquirer recognize measurement period adjustments to the provisional amounts recognized in a business combination in the reporting period during which the adjustments are determined. Additionally, the amendments of ASU No. 2015-16 require the acquirer to record in the same period's financial statements the effect on earnings of changes in depreciation, amortization or other income effects, if any, as a result of the measurement period adjustment, calculated as if the accounting had been completed at the acquisition date as well as disclosing on either the face of the income statement or in the notes the portion of the amount recorded in current period earnings that would have been recorded in previous reporting periods. The guidance in ASU No. 2015-16 is effective for financial statements issued for fiscal years beginning after December 15, 2015, and interim periods within those fiscal years. The amendments should be applied prospectively. The Company adopted ASU No. 2015-16 for the year ended December 31, 2016, and the adoption did not have a material impact on the Company's results of operations, cash flows and financial position.</w:t>
      </w:r>
    </w:p>
    <w:p>
      <w:pPr>
        <w:spacing w:after="0" w:line="100" w:lineRule="exact"/>
        <w:rPr>
          <w:sz w:val="20"/>
          <w:szCs w:val="20"/>
          <w:color w:val="auto"/>
        </w:rPr>
      </w:pPr>
    </w:p>
    <w:p>
      <w:pPr>
        <w:jc w:val="both"/>
        <w:ind w:firstLine="321"/>
        <w:spacing w:after="0" w:line="259" w:lineRule="auto"/>
        <w:rPr>
          <w:sz w:val="20"/>
          <w:szCs w:val="20"/>
          <w:color w:val="auto"/>
        </w:rPr>
      </w:pPr>
      <w:r>
        <w:rPr>
          <w:rFonts w:ascii="Times New Roman" w:cs="Times New Roman" w:eastAsia="Times New Roman" w:hAnsi="Times New Roman"/>
          <w:sz w:val="14"/>
          <w:szCs w:val="14"/>
          <w:color w:val="auto"/>
        </w:rPr>
        <w:t xml:space="preserve">ASU 2014-09 — In May 2014, the FASB issued ASU No. 2014-09,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(Topic 606), or ASU No. 2014-09, which was further amended through various updates issued by the FASB thereafter. The amendments of ASU No. 2014-09 completed the joint effort between the FASB and the IASB, to develop a common revenue standard for GAAP and IFRS, and to improve financial reporting.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five step model to be applied by an entity in evaluating its contracts with customers. The Company expects to adopt the standard effective January 1, 2018 and apply the guidance retrospectively to contracts at the date of adoption. The Company will recognize the cumulative effect of applying Topic 606 at the date of initial application, as prescribed under the modified retrospective transition method. The Company also expects to elect the practical expedient available under Topic 606 for measuring progress toward complete satisfaction of a performance obligation and for disclosure requirements of remaining performance obligations. The practical expedient allows an entity to recognize revenue in the amount to which the entity has the right to invoice such that the entity has a right to the consideration in an amount that corresponds directly with the value to the customer for performance completed to date by the entity. The majority of the Company's revenues are obtained through PPAs, which are currently accounted for as operating leases. In connection with the implementation of Topic 842, as described above, the Company expects to elect certain of the practical expedients permitted, including the expedient that permits the Company to retain its existing lease assessment and classification. As leases are excluded from the scope of Topic 606, the Company expects the standard to have an immaterial impact on the Company's results of operations, cash flows and financial position, however, the Company continues to assess the impact in connection with its plan of adoption.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Business Acquisitions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2016 Acquisitions</w:t>
      </w:r>
    </w:p>
    <w:p>
      <w:pPr>
        <w:spacing w:after="0" w:line="150" w:lineRule="exact"/>
        <w:rPr>
          <w:sz w:val="20"/>
          <w:szCs w:val="20"/>
          <w:color w:val="auto"/>
        </w:rPr>
      </w:pPr>
    </w:p>
    <w:p>
      <w:pPr>
        <w:jc w:val="both"/>
        <w:ind w:firstLine="321"/>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 xml:space="preserve">CVSR Drop Down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Prior to September 1, 2016, the Company had a 48.95% interest in CVSR, which was accounted for as an equity method investment. On September 1, 2016, the Company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acquired from NRG the remaining 51.05% interest of CVSR Holdco LLC, which indirectly owns the CVSR solar facility, CVSR Drop Down, for total cash consideration of $78.5 million, plus an immaterial working capital adjustment. The acquisition was funded with cash on hand. The Company also assumed additional debt of $496 million, which represents 51.05% of the CVSR project level debt and 51.05% of the notes issued under the CVSR Holdco Financing Agreement, as further described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I</w:t>
      </w:r>
      <w:r>
        <w:rPr>
          <w:rFonts w:ascii="Times New Roman" w:cs="Times New Roman" w:eastAsia="Times New Roman" w:hAnsi="Times New Roman"/>
          <w:sz w:val="14"/>
          <w:szCs w:val="14"/>
          <w:color w:val="auto"/>
        </w:rPr>
        <w:t>n connection with the retrospective adjustment of prior periods, the Company now consolidates CVSR and 100% of its debt, consisting of $771 million of project level debt and $200 million of notes issued under the CVSR Holdco Financing Agreement as of September 1, 2016.</w:t>
      </w:r>
    </w:p>
    <w:p>
      <w:pPr>
        <w:spacing w:after="0" w:line="89" w:lineRule="exact"/>
        <w:rPr>
          <w:sz w:val="20"/>
          <w:szCs w:val="20"/>
          <w:color w:val="auto"/>
        </w:rPr>
      </w:pPr>
    </w:p>
    <w:p>
      <w:pPr>
        <w:jc w:val="both"/>
        <w:ind w:firstLine="321"/>
        <w:spacing w:after="0" w:line="261" w:lineRule="auto"/>
        <w:rPr>
          <w:sz w:val="20"/>
          <w:szCs w:val="20"/>
          <w:color w:val="auto"/>
        </w:rPr>
      </w:pPr>
      <w:r>
        <w:rPr>
          <w:rFonts w:ascii="Times New Roman" w:cs="Times New Roman" w:eastAsia="Times New Roman" w:hAnsi="Times New Roman"/>
          <w:sz w:val="14"/>
          <w:szCs w:val="14"/>
          <w:color w:val="auto"/>
        </w:rPr>
        <w:t xml:space="preserve">The assets and liabilities transferred to the Company relate to interests under common control by NRG and were recorded at historical cost in accordance with ASC 805-50,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Combinations - Related Issues</w:t>
      </w:r>
      <w:r>
        <w:rPr>
          <w:rFonts w:ascii="Times New Roman" w:cs="Times New Roman" w:eastAsia="Times New Roman" w:hAnsi="Times New Roman"/>
          <w:sz w:val="14"/>
          <w:szCs w:val="14"/>
          <w:color w:val="auto"/>
        </w:rPr>
        <w:t>. The difference between the cash paid and historical value of the entities' equity was recorded as a distribution to NRG with the offset to contributed capital. Because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has removed the equity method investment from all prior periods and adjusted its financial statements to reflect its results of operations, financial position and cash flows as if it had consolidated CVSR from the beginning of the financial statement period. As of June 30, 2016, the Company's recast consolidated balance sheet included a net receivable of $67 million related to current litigation with SunPower pursuant to indemnities in the project. The agreement between NRG and the Company for the CVSR Drop Down acquisition specified that all amounts related to the litigation with SunPower were excluded from the acquisition. Accordingly, prior to close of the transaction, the net receivable was transferred to NRG as a net reduction to its ownership interest in CVSR.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1460"/>
          </w:cols>
          <w:pgMar w:left="220" w:top="766" w:right="219" w:bottom="1440" w:gutter="0" w:footer="0" w:header="0"/>
        </w:sectPr>
      </w:pPr>
    </w:p>
    <w:bookmarkStart w:id="76" w:name="page77"/>
    <w:bookmarkEnd w:id="76"/>
    <w:p>
      <w:pPr>
        <w:ind w:left="320"/>
        <w:spacing w:after="0"/>
        <w:rPr>
          <w:sz w:val="20"/>
          <w:szCs w:val="20"/>
          <w:color w:val="auto"/>
        </w:rPr>
      </w:pPr>
      <w:r>
        <w:rPr>
          <w:rFonts w:ascii="Times New Roman" w:cs="Times New Roman" w:eastAsia="Times New Roman" w:hAnsi="Times New Roman"/>
          <w:sz w:val="14"/>
          <w:szCs w:val="14"/>
          <w:color w:val="auto"/>
        </w:rPr>
        <w:t>The following is the summary of historical net liabilities assumed in connection with the CVSR Drop Down as of September 1,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8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CVSR</w:t>
            </w:r>
          </w:p>
        </w:tc>
      </w:tr>
      <w:tr>
        <w:trPr>
          <w:trHeight w:val="194"/>
        </w:trPr>
        <w:tc>
          <w:tcPr>
            <w:tcW w:w="9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89"/>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95</w:t>
            </w:r>
          </w:p>
        </w:tc>
      </w:tr>
      <w:tr>
        <w:trPr>
          <w:trHeight w:val="192"/>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6"/>
                <w:szCs w:val="16"/>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826</w:t>
            </w:r>
          </w:p>
        </w:tc>
      </w:tr>
      <w:tr>
        <w:trPr>
          <w:trHeight w:val="22"/>
        </w:trPr>
        <w:tc>
          <w:tcPr>
            <w:tcW w:w="9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4"/>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w:t>
            </w:r>
          </w:p>
        </w:tc>
      </w:tr>
      <w:tr>
        <w:trPr>
          <w:trHeight w:val="183"/>
        </w:trPr>
        <w:tc>
          <w:tcPr>
            <w:tcW w:w="9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934</w:t>
            </w:r>
          </w:p>
        </w:tc>
      </w:tr>
      <w:tr>
        <w:trPr>
          <w:trHeight w:val="22"/>
        </w:trPr>
        <w:tc>
          <w:tcPr>
            <w:tcW w:w="9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9"/>
        </w:trPr>
        <w:tc>
          <w:tcPr>
            <w:tcW w:w="9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214"/>
        </w:trPr>
        <w:tc>
          <w:tcPr>
            <w:tcW w:w="9860" w:type="dxa"/>
            <w:vAlign w:val="bottom"/>
          </w:tcPr>
          <w:p>
            <w:pPr>
              <w:ind w:left="20"/>
              <w:spacing w:after="0" w:line="214" w:lineRule="exact"/>
              <w:rPr>
                <w:sz w:val="20"/>
                <w:szCs w:val="20"/>
                <w:color w:val="auto"/>
              </w:rPr>
            </w:pPr>
            <w:r>
              <w:rPr>
                <w:rFonts w:ascii="Times New Roman" w:cs="Times New Roman" w:eastAsia="Times New Roman" w:hAnsi="Times New Roman"/>
                <w:sz w:val="14"/>
                <w:szCs w:val="14"/>
                <w:color w:val="auto"/>
              </w:rPr>
              <w:t xml:space="preserve">Debt </w:t>
            </w:r>
            <w:r>
              <w:rPr>
                <w:rFonts w:ascii="Times New Roman" w:cs="Times New Roman" w:eastAsia="Times New Roman" w:hAnsi="Times New Roman"/>
                <w:sz w:val="19"/>
                <w:szCs w:val="19"/>
                <w:color w:val="auto"/>
                <w:vertAlign w:val="superscript"/>
              </w:rPr>
              <w:t>(a)</w:t>
            </w:r>
          </w:p>
        </w:tc>
        <w:tc>
          <w:tcPr>
            <w:tcW w:w="3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966</w:t>
            </w:r>
          </w:p>
        </w:tc>
      </w:tr>
      <w:tr>
        <w:trPr>
          <w:trHeight w:val="214"/>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9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978</w:t>
            </w:r>
          </w:p>
        </w:tc>
      </w:tr>
      <w:tr>
        <w:trPr>
          <w:trHeight w:val="22"/>
        </w:trPr>
        <w:tc>
          <w:tcPr>
            <w:tcW w:w="9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5"/>
        </w:trPr>
        <w:tc>
          <w:tcPr>
            <w:tcW w:w="9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liabilities assumed</w:t>
            </w:r>
          </w:p>
        </w:tc>
        <w:tc>
          <w:tcPr>
            <w:tcW w:w="3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2"/>
        </w:trPr>
        <w:tc>
          <w:tcPr>
            <w:tcW w:w="9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2"/>
        </w:trPr>
        <w:tc>
          <w:tcPr>
            <w:tcW w:w="9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9"/>
        </w:trPr>
        <w:tc>
          <w:tcPr>
            <w:tcW w:w="9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Historical net liabilities assumed</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9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100" w:hanging="94"/>
        <w:spacing w:after="0"/>
        <w:tabs>
          <w:tab w:leader="none" w:pos="10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Net of deferred financing costs of $5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141541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113" w:lineRule="exact"/>
        <w:rPr>
          <w:sz w:val="20"/>
          <w:szCs w:val="20"/>
          <w:color w:val="auto"/>
        </w:rPr>
      </w:pPr>
    </w:p>
    <w:p>
      <w:pPr>
        <w:ind w:right="320" w:firstLine="321"/>
        <w:spacing w:after="0" w:line="291" w:lineRule="auto"/>
        <w:rPr>
          <w:sz w:val="20"/>
          <w:szCs w:val="20"/>
          <w:color w:val="auto"/>
        </w:rPr>
      </w:pPr>
      <w:r>
        <w:rPr>
          <w:rFonts w:ascii="Times New Roman" w:cs="Times New Roman" w:eastAsia="Times New Roman" w:hAnsi="Times New Roman"/>
          <w:sz w:val="14"/>
          <w:szCs w:val="14"/>
          <w:color w:val="auto"/>
        </w:rPr>
        <w:t>The Company incurred and expensed acquisition-related transaction costs related to the acquisition of CVSR of $1 million for the year ended December 31, 2016. Since the acquisition date, CVSR has contributed $22 million in operating revenues and a $2 million in net loss to the Company.</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present the historical information summary combining the financial information for the CVSR Drop Down transferred in connection with the acquisition:</w:t>
      </w:r>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169"/>
        </w:trPr>
        <w:tc>
          <w:tcPr>
            <w:tcW w:w="3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As of December 31, 2015</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As Previously Reported</w:t>
            </w:r>
          </w:p>
        </w:tc>
        <w:tc>
          <w:tcPr>
            <w:tcW w:w="14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CVSR</w:t>
            </w:r>
          </w:p>
        </w:tc>
        <w:tc>
          <w:tcPr>
            <w:tcW w:w="160" w:type="dxa"/>
            <w:vAlign w:val="bottom"/>
          </w:tcPr>
          <w:p>
            <w:pPr>
              <w:spacing w:after="0"/>
              <w:rPr>
                <w:sz w:val="15"/>
                <w:szCs w:val="15"/>
                <w:color w:val="auto"/>
              </w:rPr>
            </w:pPr>
          </w:p>
        </w:tc>
        <w:tc>
          <w:tcPr>
            <w:tcW w:w="1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As Currently Reported</w:t>
            </w:r>
          </w:p>
        </w:tc>
        <w:tc>
          <w:tcPr>
            <w:tcW w:w="0" w:type="dxa"/>
            <w:vAlign w:val="bottom"/>
          </w:tcPr>
          <w:p>
            <w:pPr>
              <w:spacing w:after="0"/>
              <w:rPr>
                <w:sz w:val="1"/>
                <w:szCs w:val="1"/>
                <w:color w:val="auto"/>
              </w:rPr>
            </w:pPr>
          </w:p>
        </w:tc>
      </w:tr>
      <w:tr>
        <w:trPr>
          <w:trHeight w:val="26"/>
        </w:trPr>
        <w:tc>
          <w:tcPr>
            <w:tcW w:w="38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8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5,056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5,878</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1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2,225</w:t>
            </w:r>
          </w:p>
        </w:tc>
        <w:tc>
          <w:tcPr>
            <w:tcW w:w="0" w:type="dxa"/>
            <w:vAlign w:val="bottom"/>
          </w:tcPr>
          <w:p>
            <w:pPr>
              <w:spacing w:after="0"/>
              <w:rPr>
                <w:sz w:val="1"/>
                <w:szCs w:val="1"/>
                <w:color w:val="auto"/>
              </w:rPr>
            </w:pPr>
          </w:p>
        </w:tc>
      </w:tr>
      <w:tr>
        <w:trPr>
          <w:trHeight w:val="172"/>
        </w:trPr>
        <w:tc>
          <w:tcPr>
            <w:tcW w:w="3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1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7,608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914</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8,522</w:t>
            </w:r>
          </w:p>
        </w:tc>
        <w:tc>
          <w:tcPr>
            <w:tcW w:w="0" w:type="dxa"/>
            <w:vAlign w:val="bottom"/>
          </w:tcPr>
          <w:p>
            <w:pPr>
              <w:spacing w:after="0"/>
              <w:rPr>
                <w:sz w:val="1"/>
                <w:szCs w:val="1"/>
                <w:color w:val="auto"/>
              </w:rPr>
            </w:pP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8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Debt</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4,835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5,678</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1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304</w:t>
            </w:r>
          </w:p>
        </w:tc>
        <w:tc>
          <w:tcPr>
            <w:tcW w:w="0" w:type="dxa"/>
            <w:vAlign w:val="bottom"/>
          </w:tcPr>
          <w:p>
            <w:pPr>
              <w:spacing w:after="0"/>
              <w:rPr>
                <w:sz w:val="1"/>
                <w:szCs w:val="1"/>
                <w:color w:val="auto"/>
              </w:rPr>
            </w:pPr>
          </w:p>
        </w:tc>
      </w:tr>
      <w:tr>
        <w:trPr>
          <w:trHeight w:val="172"/>
        </w:trPr>
        <w:tc>
          <w:tcPr>
            <w:tcW w:w="3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1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5,174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808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5,982</w:t>
            </w:r>
          </w:p>
        </w:tc>
        <w:tc>
          <w:tcPr>
            <w:tcW w:w="0" w:type="dxa"/>
            <w:vAlign w:val="bottom"/>
          </w:tcPr>
          <w:p>
            <w:pPr>
              <w:spacing w:after="0"/>
              <w:rPr>
                <w:sz w:val="1"/>
                <w:szCs w:val="1"/>
                <w:color w:val="auto"/>
              </w:rPr>
            </w:pP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2,540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840" w:type="dxa"/>
            <w:vAlign w:val="bottom"/>
          </w:tcPr>
          <w:p>
            <w:pPr>
              <w:spacing w:after="0"/>
              <w:rPr>
                <w:sz w:val="24"/>
                <w:szCs w:val="24"/>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68" w:right="219" w:bottom="1440" w:gutter="0" w:footer="0" w:header="0"/>
        </w:sectPr>
      </w:pPr>
    </w:p>
    <w:bookmarkStart w:id="77" w:name="page78"/>
    <w:bookmarkEnd w:id="77"/>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69"/>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2015</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As Previously Reported</w:t>
            </w:r>
          </w:p>
        </w:tc>
        <w:tc>
          <w:tcPr>
            <w:tcW w:w="380" w:type="dxa"/>
            <w:vAlign w:val="bottom"/>
          </w:tcPr>
          <w:p>
            <w:pPr>
              <w:spacing w:after="0"/>
              <w:rPr>
                <w:sz w:val="15"/>
                <w:szCs w:val="15"/>
                <w:color w:val="auto"/>
              </w:rPr>
            </w:pPr>
          </w:p>
        </w:tc>
        <w:tc>
          <w:tcPr>
            <w:tcW w:w="1400" w:type="dxa"/>
            <w:vAlign w:val="bottom"/>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CVSR</w:t>
            </w:r>
          </w:p>
        </w:tc>
        <w:tc>
          <w:tcPr>
            <w:tcW w:w="220" w:type="dxa"/>
            <w:vAlign w:val="bottom"/>
          </w:tcPr>
          <w:p>
            <w:pPr>
              <w:spacing w:after="0"/>
              <w:rPr>
                <w:sz w:val="15"/>
                <w:szCs w:val="15"/>
                <w:color w:val="auto"/>
              </w:rPr>
            </w:pPr>
          </w:p>
        </w:tc>
        <w:tc>
          <w:tcPr>
            <w:tcW w:w="1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As Currently Reported</w:t>
            </w:r>
          </w:p>
        </w:tc>
        <w:tc>
          <w:tcPr>
            <w:tcW w:w="0" w:type="dxa"/>
            <w:vAlign w:val="bottom"/>
          </w:tcPr>
          <w:p>
            <w:pPr>
              <w:spacing w:after="0"/>
              <w:rPr>
                <w:sz w:val="1"/>
                <w:szCs w:val="1"/>
                <w:color w:val="auto"/>
              </w:rPr>
            </w:pPr>
          </w:p>
        </w:tc>
      </w:tr>
      <w:tr>
        <w:trPr>
          <w:trHeight w:val="26"/>
        </w:trPr>
        <w:tc>
          <w:tcPr>
            <w:tcW w:w="54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869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953</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6"/>
                <w:szCs w:val="16"/>
                <w:color w:val="auto"/>
              </w:rPr>
            </w:pPr>
          </w:p>
        </w:tc>
        <w:tc>
          <w:tcPr>
            <w:tcW w:w="16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c>
          <w:tcPr>
            <w:tcW w:w="220" w:type="dxa"/>
            <w:vAlign w:val="bottom"/>
          </w:tcPr>
          <w:p>
            <w:pPr>
              <w:spacing w:after="0"/>
              <w:rPr>
                <w:sz w:val="16"/>
                <w:szCs w:val="16"/>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22"/>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424"/>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2014</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 xml:space="preserve">As Previously Reported </w:t>
            </w:r>
            <w:r>
              <w:rPr>
                <w:rFonts w:ascii="Times New Roman" w:cs="Times New Roman" w:eastAsia="Times New Roman" w:hAnsi="Times New Roman"/>
                <w:sz w:val="17"/>
                <w:szCs w:val="17"/>
                <w:b w:val="1"/>
                <w:bCs w:val="1"/>
                <w:color w:val="auto"/>
                <w:w w:val="95"/>
                <w:vertAlign w:val="superscript"/>
              </w:rPr>
              <w:t>(a)</w:t>
            </w:r>
          </w:p>
        </w:tc>
        <w:tc>
          <w:tcPr>
            <w:tcW w:w="380" w:type="dxa"/>
            <w:vAlign w:val="bottom"/>
          </w:tcPr>
          <w:p>
            <w:pPr>
              <w:spacing w:after="0"/>
              <w:rPr>
                <w:sz w:val="17"/>
                <w:szCs w:val="17"/>
                <w:color w:val="auto"/>
              </w:rPr>
            </w:pPr>
          </w:p>
        </w:tc>
        <w:tc>
          <w:tcPr>
            <w:tcW w:w="1400" w:type="dxa"/>
            <w:vAlign w:val="bottom"/>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CVSR</w:t>
            </w:r>
          </w:p>
        </w:tc>
        <w:tc>
          <w:tcPr>
            <w:tcW w:w="220" w:type="dxa"/>
            <w:vAlign w:val="bottom"/>
          </w:tcPr>
          <w:p>
            <w:pPr>
              <w:spacing w:after="0"/>
              <w:rPr>
                <w:sz w:val="17"/>
                <w:szCs w:val="17"/>
                <w:color w:val="auto"/>
              </w:rPr>
            </w:pPr>
          </w:p>
        </w:tc>
        <w:tc>
          <w:tcPr>
            <w:tcW w:w="1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As Currently Reported</w:t>
            </w:r>
          </w:p>
        </w:tc>
        <w:tc>
          <w:tcPr>
            <w:tcW w:w="0" w:type="dxa"/>
            <w:vAlign w:val="bottom"/>
          </w:tcPr>
          <w:p>
            <w:pPr>
              <w:spacing w:after="0"/>
              <w:rPr>
                <w:sz w:val="1"/>
                <w:szCs w:val="1"/>
                <w:color w:val="auto"/>
              </w:rPr>
            </w:pPr>
          </w:p>
        </w:tc>
      </w:tr>
      <w:tr>
        <w:trPr>
          <w:trHeight w:val="201"/>
        </w:trPr>
        <w:tc>
          <w:tcPr>
            <w:tcW w:w="5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746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82</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828</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6"/>
                <w:szCs w:val="16"/>
                <w:color w:val="auto"/>
              </w:rPr>
            </w:pPr>
          </w:p>
        </w:tc>
        <w:tc>
          <w:tcPr>
            <w:tcW w:w="16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tcPr>
          <w:p>
            <w:pPr>
              <w:spacing w:after="0"/>
              <w:rPr>
                <w:sz w:val="16"/>
                <w:szCs w:val="16"/>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22"/>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22"/>
        </w:trPr>
        <w:tc>
          <w:tcPr>
            <w:tcW w:w="5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2015 Acquisitions</w:t>
      </w:r>
    </w:p>
    <w:p>
      <w:pPr>
        <w:spacing w:after="0" w:line="139" w:lineRule="exact"/>
        <w:rPr>
          <w:sz w:val="20"/>
          <w:szCs w:val="20"/>
          <w:color w:val="auto"/>
        </w:rPr>
      </w:pPr>
    </w:p>
    <w:p>
      <w:pPr>
        <w:jc w:val="both"/>
        <w:ind w:firstLine="321"/>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November 2015 Drop Down Assets from NRG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November 3, 2015, the Company acquired the November 2015 Drop Down Assets, a portfolio of 12 wind facilities totaling 814 net MW,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from NRG for cash consideration of $209 million, subject to working capital adjustments. In February 2016, NRG made a final working capital payment of $2 million, reducing total cash consideration to $207 million. The Company is responsible for its pro-rata share of non-recourse project debt of $193 million and noncontrolling interest associated with a tax equity structure of $159 million (as of the acquisition date).</w:t>
      </w:r>
    </w:p>
    <w:p>
      <w:pPr>
        <w:spacing w:after="0" w:line="97"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 Company funded the acquisition with borrowings from its revolving credit facility. The assets and liabilities transferred to the Company relate to interests under common control by NRG and were recorded at historical cost. The difference between the cash paid and historical value of the entities' equity was recorded as a distribution from NRG with the offset to contributed capital.</w:t>
      </w:r>
    </w:p>
    <w:p>
      <w:pPr>
        <w:spacing w:after="0" w:line="49"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75% of CAFD until the flip point, at which time the allocations to the Company of CAFD change to 68.60%. If the flip point has not occurred by a specified date, 100% of CAFD is allocated to the TE Investor until the flip point occurs. NRG Wind TE Holdco is a VIE and the Company is the primary beneficiary, through its position as managing member, and consolidates NRG Wind TE Holdco.</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November 3, 2015: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9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NRG Wind TE Holdco</w:t>
            </w:r>
          </w:p>
        </w:tc>
        <w:tc>
          <w:tcPr>
            <w:tcW w:w="0" w:type="dxa"/>
            <w:vAlign w:val="bottom"/>
          </w:tcPr>
          <w:p>
            <w:pPr>
              <w:spacing w:after="0"/>
              <w:rPr>
                <w:sz w:val="1"/>
                <w:szCs w:val="1"/>
                <w:color w:val="auto"/>
              </w:rPr>
            </w:pPr>
          </w:p>
        </w:tc>
      </w:tr>
      <w:tr>
        <w:trPr>
          <w:trHeight w:val="194"/>
        </w:trPr>
        <w:tc>
          <w:tcPr>
            <w:tcW w:w="3980" w:type="dxa"/>
            <w:vAlign w:val="bottom"/>
            <w:tcBorders>
              <w:bottom w:val="single" w:sz="8" w:color="CCEEFF"/>
            </w:tcBorders>
          </w:tcPr>
          <w:p>
            <w:pPr>
              <w:spacing w:after="0"/>
              <w:rPr>
                <w:sz w:val="16"/>
                <w:szCs w:val="16"/>
                <w:color w:val="auto"/>
              </w:rPr>
            </w:pPr>
          </w:p>
        </w:tc>
        <w:tc>
          <w:tcPr>
            <w:tcW w:w="5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189"/>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562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2"/>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22"/>
        </w:trPr>
        <w:tc>
          <w:tcPr>
            <w:tcW w:w="39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5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83"/>
        </w:trPr>
        <w:tc>
          <w:tcPr>
            <w:tcW w:w="3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53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22"/>
        </w:trPr>
        <w:tc>
          <w:tcPr>
            <w:tcW w:w="398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3980" w:type="dxa"/>
            <w:vAlign w:val="bottom"/>
            <w:shd w:val="clear" w:color="auto" w:fill="CCEEFF"/>
          </w:tcPr>
          <w:p>
            <w:pPr>
              <w:spacing w:after="0"/>
              <w:rPr>
                <w:sz w:val="10"/>
                <w:szCs w:val="10"/>
                <w:color w:val="auto"/>
              </w:rPr>
            </w:pPr>
          </w:p>
        </w:tc>
        <w:tc>
          <w:tcPr>
            <w:tcW w:w="5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22"/>
        </w:trPr>
        <w:tc>
          <w:tcPr>
            <w:tcW w:w="39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5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3"/>
        </w:trPr>
        <w:tc>
          <w:tcPr>
            <w:tcW w:w="3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53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2"/>
        </w:trPr>
        <w:tc>
          <w:tcPr>
            <w:tcW w:w="398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noncontrolling interest</w:t>
            </w:r>
          </w:p>
        </w:tc>
        <w:tc>
          <w:tcPr>
            <w:tcW w:w="5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96"/>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assets acquired</w:t>
            </w:r>
          </w:p>
        </w:tc>
        <w:tc>
          <w:tcPr>
            <w:tcW w:w="53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300" w:type="dxa"/>
            <w:vAlign w:val="bottom"/>
            <w:vMerge w:val="restart"/>
          </w:tcPr>
          <w:p>
            <w:pPr>
              <w:jc w:val="right"/>
              <w:ind w:right="3409"/>
              <w:spacing w:after="0"/>
              <w:rPr>
                <w:sz w:val="20"/>
                <w:szCs w:val="20"/>
                <w:color w:val="auto"/>
              </w:rPr>
            </w:pPr>
            <w:r>
              <w:rPr>
                <w:rFonts w:ascii="Times New Roman" w:cs="Times New Roman" w:eastAsia="Times New Roman" w:hAnsi="Times New Roman"/>
                <w:sz w:val="14"/>
                <w:szCs w:val="14"/>
                <w:color w:val="auto"/>
              </w:rPr>
              <w:t>78</w:t>
            </w: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8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909" w:right="219" w:bottom="1440" w:gutter="0" w:footer="0" w:header="0"/>
        </w:sectPr>
      </w:pPr>
    </w:p>
    <w:bookmarkStart w:id="78" w:name="page79"/>
    <w:bookmarkEnd w:id="78"/>
    <w:p>
      <w:pPr>
        <w:jc w:val="both"/>
        <w:ind w:firstLine="321"/>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Desert Sunlight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June 29, 2015, the Company acquired 25% of the membership interest in Desert Sunlight Investment Holdings, LLC, which owns two solar photovoltaic facilities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total 550 MW, located in Desert 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61" w:lineRule="exact"/>
        <w:rPr>
          <w:sz w:val="20"/>
          <w:szCs w:val="20"/>
          <w:color w:val="auto"/>
        </w:rPr>
      </w:pPr>
    </w:p>
    <w:p>
      <w:pPr>
        <w:jc w:val="both"/>
        <w:ind w:firstLine="321"/>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 xml:space="preserve">Spring Canyon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May 7, 2015, the Company acquired a 90.1% interest in Spring Canyon II, a 32 MW wind facility, and Spring Canyon III, a 28 MW wind facility, each located in Logan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County, Colorado, from Invenergy Wind Global LLC. The purchase price was funded with cash on hand. Power generated by Spring Canyon II and Spring Canyon III is sold to Platte River Power Authority under long-term PPAs, each with approximately 24 years of remaining contract life.</w:t>
      </w:r>
    </w:p>
    <w:p>
      <w:pPr>
        <w:spacing w:after="0" w:line="55" w:lineRule="exact"/>
        <w:rPr>
          <w:sz w:val="20"/>
          <w:szCs w:val="20"/>
          <w:color w:val="auto"/>
        </w:rPr>
      </w:pPr>
    </w:p>
    <w:p>
      <w:pPr>
        <w:jc w:val="both"/>
        <w:ind w:firstLine="321"/>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 xml:space="preserve">University of Bridgeport Fuel Cell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April 30, 2015, the Company completed the acquisition of the University of Bridgeport Fuel Cell project in Bridgeport, Connecticut from FuelCell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Energy, Inc. The project added an additional 1.4 MW of thermal capacity to the Company's portfolio, with a 12-year contract, with the option for a 7-year extension. The acquisition is reflected in the Company's Thermal segment.</w:t>
      </w:r>
    </w:p>
    <w:p>
      <w:pPr>
        <w:spacing w:after="0" w:line="55"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January 2015 Drop Down Assets from NRG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January 2, 2015, the Company acquired the following projects from NRG: (i) Laredo Ridge, an 80 MW wind facility located in Petersburg,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Nebraska, (ii) Tapestry, which includes Buffalo Bear, a 19 MW wind facility in Buffalo, Oklahoma; Taloga, a 130 MW wind facility in Putnam,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The difference between the cash paid and the historical value of the entities' equity of $61 million was recorded as a distribution to NRG and reduced the balance of its contributed capital.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2014 Acquisitions</w:t>
      </w:r>
    </w:p>
    <w:p>
      <w:pPr>
        <w:spacing w:after="0" w:line="107" w:lineRule="exact"/>
        <w:rPr>
          <w:sz w:val="20"/>
          <w:szCs w:val="20"/>
          <w:color w:val="auto"/>
        </w:rPr>
      </w:pPr>
    </w:p>
    <w:p>
      <w:pPr>
        <w:jc w:val="both"/>
        <w:ind w:firstLine="321"/>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Alta Wind Portfolio Acquisition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August 12, 2014, the Company acquired 100% of the membership interests of Alta Wind Asset Management Holdings, LLC, Alta Wind Company, LLC,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Alta Wind X Holding Company, LLC and Alta Wind XI Holding Company, LLC, which collectively own seven wind facilities that total 947 MW located in Tehachapi, California and a portfolio of associated land leases, or the Alta Wind Portfolio. Power generated by the Alta Wind Portfolio is sold to Southern California Edison under long-term PPAs with 21 years of remaining contract life for Alta I-V. The Alta Wind X and XI PPAs began in 2016 with a term of 22 years and sold energy and renewable energy credits on a merchant basis during the years ending December 31, 2015 and 2014.</w:t>
      </w:r>
    </w:p>
    <w:p>
      <w:pPr>
        <w:spacing w:after="0" w:line="65"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The purchase price for the Alta Wind Portfolio was $923 million, which consisted of a base purchase price of $870 million, as well as a payment for working capital of $53 million, plus the assumption of $1.6 billion of non-recourse project-level debt. In order to fund the purchase price, the Company completed an equity offering of 12,075,000 shares of its Class A common stock at an offering price of $54.00 per share on July 29, 2014, which resulted in net proceeds of $630 million, after underwriting discounts and expenses. In addition, on August 5, 2014, NRG Yield Operating LLC issued $500 million of Senior Notes, which bear interest at a rate of 5.375% and mature in August 2024.</w:t>
      </w:r>
    </w:p>
    <w:p>
      <w:pPr>
        <w:spacing w:after="0" w:line="66"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The acquisition was recorded as a business combination under ASC 805-50, with identifiable assets acquired and liabilities assumed provisionally recorded at their estimated fair values on the acquisition date. The accounting for the business combination was completed as of August 11, 2015, at which point the fair values became final. The following table summarizes the provisional amounts recognized for assets acquired and liabilities assumed as of December 31, 2014, as well as adjustments made through August 11, 2015, when the allocation became final.</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1460"/>
          </w:cols>
          <w:pgMar w:left="220" w:top="764" w:right="219" w:bottom="1440" w:gutter="0" w:footer="0" w:header="0"/>
        </w:sectPr>
      </w:pPr>
    </w:p>
    <w:bookmarkStart w:id="79" w:name="page80"/>
    <w:bookmarkEnd w:id="79"/>
    <w:p>
      <w:pPr>
        <w:ind w:left="320"/>
        <w:spacing w:after="0"/>
        <w:rPr>
          <w:sz w:val="20"/>
          <w:szCs w:val="20"/>
          <w:color w:val="auto"/>
        </w:rPr>
      </w:pPr>
      <w:r>
        <w:rPr>
          <w:rFonts w:ascii="Times New Roman" w:cs="Times New Roman" w:eastAsia="Times New Roman" w:hAnsi="Times New Roman"/>
          <w:sz w:val="14"/>
          <w:szCs w:val="14"/>
          <w:color w:val="auto"/>
        </w:rPr>
        <w:t>The purchase price of $923 million was allocated as follows:</w:t>
      </w:r>
    </w:p>
    <w:p>
      <w:pPr>
        <w:spacing w:after="0" w:line="222" w:lineRule="exact"/>
        <w:rPr>
          <w:sz w:val="20"/>
          <w:szCs w:val="20"/>
          <w:color w:val="auto"/>
        </w:rPr>
      </w:pPr>
    </w:p>
    <w:tbl>
      <w:tblPr>
        <w:tblLayout w:type="fixed"/>
        <w:tblInd w:w="1080" w:type="dxa"/>
        <w:tblCellMar>
          <w:top w:w="0" w:type="dxa"/>
          <w:left w:w="0" w:type="dxa"/>
          <w:bottom w:w="0" w:type="dxa"/>
          <w:right w:w="0" w:type="dxa"/>
        </w:tblCellMar>
      </w:tblPr>
      <w:tr>
        <w:trPr>
          <w:trHeight w:val="126"/>
        </w:trPr>
        <w:tc>
          <w:tcPr>
            <w:tcW w:w="4760" w:type="dxa"/>
            <w:vAlign w:val="bottom"/>
          </w:tcPr>
          <w:p>
            <w:pPr>
              <w:spacing w:after="0"/>
              <w:rPr>
                <w:sz w:val="11"/>
                <w:szCs w:val="11"/>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Acquisition Date Fair Value at</w:t>
            </w:r>
          </w:p>
        </w:tc>
        <w:tc>
          <w:tcPr>
            <w:tcW w:w="140" w:type="dxa"/>
            <w:vAlign w:val="bottom"/>
          </w:tcPr>
          <w:p>
            <w:pPr>
              <w:spacing w:after="0"/>
              <w:rPr>
                <w:sz w:val="11"/>
                <w:szCs w:val="1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Measurement period</w:t>
            </w:r>
          </w:p>
        </w:tc>
        <w:tc>
          <w:tcPr>
            <w:tcW w:w="140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Revised Acquisition Date</w:t>
            </w:r>
          </w:p>
        </w:tc>
        <w:tc>
          <w:tcPr>
            <w:tcW w:w="0" w:type="dxa"/>
            <w:vAlign w:val="bottom"/>
          </w:tcPr>
          <w:p>
            <w:pPr>
              <w:spacing w:after="0"/>
              <w:rPr>
                <w:sz w:val="1"/>
                <w:szCs w:val="1"/>
                <w:color w:val="auto"/>
              </w:rPr>
            </w:pPr>
          </w:p>
        </w:tc>
      </w:tr>
      <w:tr>
        <w:trPr>
          <w:trHeight w:val="154"/>
        </w:trPr>
        <w:tc>
          <w:tcPr>
            <w:tcW w:w="47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December 31, 2014</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4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and non-current assets</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2"/>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Pr>
          <w:p>
            <w:pPr>
              <w:spacing w:after="0"/>
              <w:rPr>
                <w:sz w:val="16"/>
                <w:szCs w:val="16"/>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1,310</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1,177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1,171</w:t>
            </w:r>
          </w:p>
        </w:tc>
        <w:tc>
          <w:tcPr>
            <w:tcW w:w="0" w:type="dxa"/>
            <w:vAlign w:val="bottom"/>
          </w:tcPr>
          <w:p>
            <w:pPr>
              <w:spacing w:after="0"/>
              <w:rPr>
                <w:sz w:val="1"/>
                <w:szCs w:val="1"/>
                <w:color w:val="auto"/>
              </w:rPr>
            </w:pPr>
          </w:p>
        </w:tc>
      </w:tr>
      <w:tr>
        <w:trPr>
          <w:trHeight w:val="183"/>
        </w:trPr>
        <w:tc>
          <w:tcPr>
            <w:tcW w:w="4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assets acquired</w:t>
            </w: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2,552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2,550</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1,591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1,591</w:t>
            </w:r>
          </w:p>
        </w:tc>
        <w:tc>
          <w:tcPr>
            <w:tcW w:w="0" w:type="dxa"/>
            <w:vAlign w:val="bottom"/>
          </w:tcPr>
          <w:p>
            <w:pPr>
              <w:spacing w:after="0"/>
              <w:rPr>
                <w:sz w:val="1"/>
                <w:szCs w:val="1"/>
                <w:color w:val="auto"/>
              </w:rPr>
            </w:pPr>
          </w:p>
        </w:tc>
      </w:tr>
      <w:tr>
        <w:trPr>
          <w:trHeight w:val="192"/>
        </w:trPr>
        <w:tc>
          <w:tcPr>
            <w:tcW w:w="4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220" w:type="dxa"/>
            <w:vAlign w:val="bottom"/>
          </w:tcPr>
          <w:p>
            <w:pPr>
              <w:spacing w:after="0"/>
              <w:rPr>
                <w:sz w:val="16"/>
                <w:szCs w:val="16"/>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1,629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199"/>
        </w:trPr>
        <w:tc>
          <w:tcPr>
            <w:tcW w:w="4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assets acquired</w:t>
            </w: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incurred and expensed acquisition-related transaction costs related to the acquisition of the Alta Wind Portfolio of $2 million for the year ended December 31, 2014.</w:t>
      </w:r>
    </w:p>
    <w:p>
      <w:pPr>
        <w:spacing w:after="0" w:line="103" w:lineRule="exact"/>
        <w:rPr>
          <w:sz w:val="20"/>
          <w:szCs w:val="20"/>
          <w:color w:val="auto"/>
        </w:rPr>
      </w:pPr>
    </w:p>
    <w:p>
      <w:pPr>
        <w:jc w:val="both"/>
        <w:ind w:firstLine="321"/>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 xml:space="preserve">June 2014 Drop Down Assets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June 30, 2014, the Company acquired from NRG: (i) El Segundo, a 550 MW fast-start, gas-fired facility located in Los Angeles County, California; (ii) TA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High Desert, a 20 MW solar facility located in Los Angeles County, California; and (iii) Kansas South, a 20 MW solar facility located in Kings County, California. The Company paid total cash consideration of $357 million, which represents a base purchase price of $349 million and $8 million of working capital adjustments. In addition, the acquisition included the assumption of $612 million of project- level debt. The assets and liabilities transferred to the Company relate to interests under common control by NRG and were recorded at historical cost in accordance with </w:t>
      </w:r>
      <w:r>
        <w:rPr>
          <w:rFonts w:ascii="Times New Roman" w:cs="Times New Roman" w:eastAsia="Times New Roman" w:hAnsi="Times New Roman"/>
          <w:sz w:val="14"/>
          <w:szCs w:val="14"/>
          <w:i w:val="1"/>
          <w:iCs w:val="1"/>
          <w:color w:val="auto"/>
        </w:rPr>
        <w:t>ASC 805-50</w:t>
      </w:r>
      <w:r>
        <w:rPr>
          <w:rFonts w:ascii="Times New Roman" w:cs="Times New Roman" w:eastAsia="Times New Roman" w:hAnsi="Times New Roman"/>
          <w:sz w:val="14"/>
          <w:szCs w:val="14"/>
          <w:color w:val="auto"/>
        </w:rPr>
        <w:t>. The difference between the cash proceeds and the historical value of the net assets was recorded as a distribution to NRG and reduced the balance of its contributed capital. Since the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constituted a transfer of entities under common control, the guidance requires retrospective combination of the entities for all periods presented as if the combination has been in effect since the beginning of the financial statements period or the inception of common control (if later than the beginning of the financial statements period). Accordingly, the Company prepared its consolidated financial statements to reflect the transfer as if it had taken place from the beginning of the financial statements period.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1460"/>
          </w:cols>
          <w:pgMar w:left="220" w:top="768" w:right="2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color w:val="auto"/>
        </w:rPr>
        <w:t>Note 4 — Property, Plant and Equipment</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major classes of property, plant, and equipment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2016</w:t>
            </w: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December 31, 2015</w:t>
            </w:r>
          </w:p>
        </w:tc>
        <w:tc>
          <w:tcPr>
            <w:tcW w:w="10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Depreciable Lives</w:t>
            </w:r>
          </w:p>
        </w:tc>
      </w:tr>
      <w:tr>
        <w:trPr>
          <w:trHeight w:val="205"/>
        </w:trPr>
        <w:tc>
          <w:tcPr>
            <w:tcW w:w="6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Facilities and equipment</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6,215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6,480</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2 - 40 Years</w:t>
            </w:r>
          </w:p>
        </w:tc>
      </w:tr>
      <w:tr>
        <w:trPr>
          <w:trHeight w:val="192"/>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 and improvements</w:t>
            </w:r>
          </w:p>
        </w:tc>
        <w:tc>
          <w:tcPr>
            <w:tcW w:w="220" w:type="dxa"/>
            <w:vAlign w:val="bottom"/>
          </w:tcPr>
          <w:p>
            <w:pPr>
              <w:spacing w:after="0"/>
              <w:rPr>
                <w:sz w:val="16"/>
                <w:szCs w:val="16"/>
                <w:color w:val="auto"/>
              </w:rPr>
            </w:pP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2"/>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4"/>
        </w:trPr>
        <w:tc>
          <w:tcPr>
            <w:tcW w:w="642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4"/>
                <w:szCs w:val="14"/>
                <w:color w:val="auto"/>
              </w:rPr>
              <w:t xml:space="preserve">Construction in progress </w:t>
            </w:r>
            <w:r>
              <w:rPr>
                <w:rFonts w:ascii="Times New Roman" w:cs="Times New Roman" w:eastAsia="Times New Roman" w:hAnsi="Times New Roman"/>
                <w:sz w:val="19"/>
                <w:szCs w:val="19"/>
                <w:color w:val="auto"/>
                <w:vertAlign w:val="superscript"/>
              </w:rPr>
              <w:t>(a)</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183"/>
        </w:trPr>
        <w:tc>
          <w:tcPr>
            <w:tcW w:w="6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220" w:type="dxa"/>
            <w:vAlign w:val="bottom"/>
          </w:tcPr>
          <w:p>
            <w:pPr>
              <w:spacing w:after="0"/>
              <w:rPr>
                <w:sz w:val="15"/>
                <w:szCs w:val="15"/>
                <w:color w:val="auto"/>
              </w:rPr>
            </w:pP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6,411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6,660</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199"/>
        </w:trPr>
        <w:tc>
          <w:tcPr>
            <w:tcW w:w="6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5,460</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5,878</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41541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198" w:lineRule="exact"/>
        <w:rPr>
          <w:sz w:val="20"/>
          <w:szCs w:val="20"/>
          <w:color w:val="auto"/>
        </w:rPr>
      </w:pPr>
    </w:p>
    <w:p>
      <w:pPr>
        <w:ind w:left="140" w:hanging="134"/>
        <w:spacing w:after="0"/>
        <w:tabs>
          <w:tab w:leader="none" w:pos="140"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December 31, 2016, construction in progress includes $20 million of capital expenditures that relate to prepaid long-term service agreements primarily in the Conventional segment.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Investments Accounted for by the Equity Method and Variable Interest Entities</w:t>
      </w:r>
    </w:p>
    <w:p>
      <w:pPr>
        <w:spacing w:after="0" w:line="137"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2017 Drop Down Assets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February 24, 2017, the Company and NRG entered into a definitive agreement regarding the acquisition of the following facilities: (i) a 16% interest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31% of NRG's 51% interest) in the Agua Caliente solar farm, one of the NRG ROFO assets, representing ownership of approximately 46 net MW of capacity. Agua Caliente is located in Yuma County, AZ and sells power subject to a 25-year PPA with Pacific Gas and Electric, with 22 years remaining on that contract and (ii) NRG's 50% interests in seven utility-scale solar farms located in Utah representing 265 net MW (based on cash distributed) of capacity that were part of NRG's recent acquisition of projects from SunEdison. These assets achieved commercial operations in 2016, sell power subject to 20-year PPAs with PacifiCorp, a subsidiary of Berkshire Hathaway and are part of a tax equity structure with Dominion Solar Projects III, Inc., or Dominion, from which NRG currently receives 50% of cash to be distributed. The Company expects to pay total cash consideration of $130 million and assume non-recourse project debt. The Company expects to fund the purchase price for the acquisition, which is subject to working capital adjustments to be calculated at close, with cash on hand. The Company expects to record its interests in the acquired projects as equity method investments.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Method Investments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Company's equity method investments as of December 31, 2016:</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9"/>
        </w:trPr>
        <w:tc>
          <w:tcPr>
            <w:tcW w:w="6060" w:type="dxa"/>
            <w:vAlign w:val="bottom"/>
            <w:gridSpan w:val="2"/>
          </w:tcPr>
          <w:p>
            <w:pPr>
              <w:ind w:left="28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20" w:type="dxa"/>
            <w:vAlign w:val="bottom"/>
            <w:gridSpan w:val="2"/>
          </w:tcPr>
          <w:p>
            <w:pPr>
              <w:ind w:left="700"/>
              <w:spacing w:after="0"/>
              <w:rPr>
                <w:sz w:val="20"/>
                <w:szCs w:val="20"/>
                <w:color w:val="auto"/>
              </w:rPr>
            </w:pPr>
            <w:r>
              <w:rPr>
                <w:rFonts w:ascii="Times New Roman" w:cs="Times New Roman" w:eastAsia="Times New Roman" w:hAnsi="Times New Roman"/>
                <w:sz w:val="13"/>
                <w:szCs w:val="13"/>
                <w:b w:val="1"/>
                <w:bCs w:val="1"/>
                <w:color w:val="auto"/>
              </w:rPr>
              <w:t>Economic Interest</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Investment Balance</w:t>
            </w:r>
          </w:p>
        </w:tc>
      </w:tr>
      <w:tr>
        <w:trPr>
          <w:trHeight w:val="26"/>
        </w:trPr>
        <w:tc>
          <w:tcPr>
            <w:tcW w:w="5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179"/>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r>
      <w:tr>
        <w:trPr>
          <w:trHeight w:val="26"/>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94"/>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Desert Sunlight</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$282</w:t>
            </w: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GenConn </w:t>
            </w:r>
            <w:r>
              <w:rPr>
                <w:rFonts w:ascii="Times New Roman" w:cs="Times New Roman" w:eastAsia="Times New Roman" w:hAnsi="Times New Roman"/>
                <w:sz w:val="17"/>
                <w:szCs w:val="17"/>
                <w:color w:val="auto"/>
                <w:vertAlign w:val="superscript"/>
              </w:rPr>
              <w:t>(a)</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106</w:t>
            </w:r>
          </w:p>
        </w:tc>
      </w:tr>
      <w:tr>
        <w:trPr>
          <w:trHeight w:val="214"/>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Elkhorn Ridge </w:t>
            </w:r>
            <w:r>
              <w:rPr>
                <w:rFonts w:ascii="Times New Roman" w:cs="Times New Roman" w:eastAsia="Times New Roman" w:hAnsi="Times New Roman"/>
                <w:sz w:val="17"/>
                <w:szCs w:val="17"/>
                <w:color w:val="auto"/>
                <w:vertAlign w:val="superscript"/>
              </w:rPr>
              <w:t>(b)</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50.3%</w:t>
            </w: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85</w:t>
            </w: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San Juan Mesa</w:t>
            </w:r>
            <w:r>
              <w:rPr>
                <w:rFonts w:ascii="Times New Roman" w:cs="Times New Roman" w:eastAsia="Times New Roman" w:hAnsi="Times New Roman"/>
                <w:sz w:val="17"/>
                <w:szCs w:val="17"/>
                <w:color w:val="auto"/>
                <w:vertAlign w:val="superscript"/>
              </w:rPr>
              <w:t>(b)</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56.3%</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r>
      <w:tr>
        <w:trPr>
          <w:trHeight w:val="214"/>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NRG DGPV Holdco 1 LLC </w:t>
            </w:r>
            <w:r>
              <w:rPr>
                <w:rFonts w:ascii="Times New Roman" w:cs="Times New Roman" w:eastAsia="Times New Roman" w:hAnsi="Times New Roman"/>
                <w:sz w:val="17"/>
                <w:szCs w:val="17"/>
                <w:color w:val="auto"/>
                <w:vertAlign w:val="superscript"/>
              </w:rPr>
              <w:t>(c)</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NRG DGPV Holdco 2 LLC </w:t>
            </w:r>
            <w:r>
              <w:rPr>
                <w:rFonts w:ascii="Times New Roman" w:cs="Times New Roman" w:eastAsia="Times New Roman" w:hAnsi="Times New Roman"/>
                <w:sz w:val="17"/>
                <w:szCs w:val="17"/>
                <w:color w:val="auto"/>
                <w:vertAlign w:val="superscript"/>
              </w:rPr>
              <w:t>(c)</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24</w:t>
            </w:r>
          </w:p>
        </w:tc>
      </w:tr>
      <w:tr>
        <w:trPr>
          <w:trHeight w:val="214"/>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NRG RPV Holdco 1 LLC </w:t>
            </w:r>
            <w:r>
              <w:rPr>
                <w:rFonts w:ascii="Times New Roman" w:cs="Times New Roman" w:eastAsia="Times New Roman" w:hAnsi="Times New Roman"/>
                <w:sz w:val="17"/>
                <w:szCs w:val="17"/>
                <w:color w:val="auto"/>
                <w:vertAlign w:val="superscript"/>
              </w:rPr>
              <w:t>(c)</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r>
      <w:tr>
        <w:trPr>
          <w:trHeight w:val="188"/>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Avenal</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w:t>
            </w:r>
          </w:p>
        </w:tc>
      </w:tr>
      <w:tr>
        <w:trPr>
          <w:trHeight w:val="26"/>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187"/>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equity investments in affiliates</w:t>
            </w:r>
          </w:p>
        </w:tc>
        <w:tc>
          <w:tcPr>
            <w:tcW w:w="2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$710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129540</wp:posOffset>
            </wp:positionV>
            <wp:extent cx="140208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02080" cy="6985"/>
                    </a:xfrm>
                    <a:prstGeom prst="rect">
                      <a:avLst/>
                    </a:prstGeom>
                    <a:noFill/>
                  </pic:spPr>
                </pic:pic>
              </a:graphicData>
            </a:graphic>
          </wp:anchor>
        </w:drawing>
      </w:r>
    </w:p>
    <w:p>
      <w:pPr>
        <w:spacing w:after="0" w:line="209" w:lineRule="exact"/>
        <w:rPr>
          <w:sz w:val="20"/>
          <w:szCs w:val="20"/>
          <w:color w:val="auto"/>
        </w:rPr>
      </w:pPr>
    </w:p>
    <w:p>
      <w:pPr>
        <w:ind w:left="240" w:hanging="106"/>
        <w:spacing w:after="0"/>
        <w:tabs>
          <w:tab w:leader="none" w:pos="24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GenConn is a variable interest entity.</w:t>
      </w:r>
    </w:p>
    <w:p>
      <w:pPr>
        <w:spacing w:after="0" w:line="3" w:lineRule="exact"/>
        <w:rPr>
          <w:rFonts w:ascii="Times New Roman" w:cs="Times New Roman" w:eastAsia="Times New Roman" w:hAnsi="Times New Roman"/>
          <w:sz w:val="7"/>
          <w:szCs w:val="7"/>
          <w:color w:val="auto"/>
        </w:rPr>
      </w:pPr>
    </w:p>
    <w:p>
      <w:pPr>
        <w:ind w:left="140" w:right="80" w:hanging="6"/>
        <w:spacing w:after="0" w:line="213" w:lineRule="auto"/>
        <w:tabs>
          <w:tab w:leader="none" w:pos="251"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San Juan Mesa and Elkhorn Ridge are part of the Wind TE Holdco tax equity structure, as described below. San Juan Mesa and Elkhorn Ridge are owned 75% and 66.7%, respectively, by Wind TE Holdco. The Company owns 75% of the Class B interests in Wind TE Holdco.</w:t>
      </w:r>
    </w:p>
    <w:p>
      <w:pPr>
        <w:ind w:left="240" w:hanging="106"/>
        <w:spacing w:after="0"/>
        <w:tabs>
          <w:tab w:leader="none" w:pos="24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Economic interest based on cash to be distributed. NRG DGPV Holdco 1 LLC, NRG DGPV Holdco 2 LLC, and NRG RPV Holdco 1 LLC are tax equity structures and VIEs. The related allocations are described below.</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1460"/>
          </w:cols>
          <w:pgMar w:left="220" w:top="766" w:right="219" w:bottom="1440" w:gutter="0" w:footer="0" w:header="0"/>
        </w:sectPr>
      </w:pPr>
    </w:p>
    <w:bookmarkStart w:id="81" w:name="page82"/>
    <w:bookmarkEnd w:id="81"/>
    <w:p>
      <w:pPr>
        <w:ind w:left="320"/>
        <w:spacing w:after="0"/>
        <w:rPr>
          <w:sz w:val="20"/>
          <w:szCs w:val="20"/>
          <w:color w:val="auto"/>
        </w:rPr>
      </w:pPr>
      <w:r>
        <w:rPr>
          <w:rFonts w:ascii="Times New Roman" w:cs="Times New Roman" w:eastAsia="Times New Roman" w:hAnsi="Times New Roman"/>
          <w:sz w:val="14"/>
          <w:szCs w:val="14"/>
          <w:color w:val="auto"/>
        </w:rPr>
        <w:t>As of December 31, 2016 and 2015, the Company had $30 million and $39 million, respectively, of undistributed earnings from its equity method investments.</w:t>
      </w:r>
    </w:p>
    <w:p>
      <w:pPr>
        <w:spacing w:after="0" w:line="139"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The Company is amortizing the related basis difference to equity in earnings (losses) over the related useful life of the underlying assets acquired.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Non-recourse project-level debt of unconsolidated affiliates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pro-rata share of non-recourse debt held by unconsolidated affiliates was approximately $453 million as of December 31, 2016.</w:t>
      </w:r>
    </w:p>
    <w:p>
      <w:pPr>
        <w:spacing w:after="0" w:line="135" w:lineRule="exact"/>
        <w:rPr>
          <w:sz w:val="20"/>
          <w:szCs w:val="20"/>
          <w:color w:val="auto"/>
        </w:rPr>
      </w:pPr>
    </w:p>
    <w:p>
      <w:pPr>
        <w:jc w:val="both"/>
        <w:ind w:firstLine="321"/>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Avenal </w:t>
      </w:r>
      <w:r>
        <w:rPr>
          <w:rFonts w:ascii="Times New Roman" w:cs="Times New Roman" w:eastAsia="Times New Roman" w:hAnsi="Times New Roman"/>
          <w:sz w:val="14"/>
          <w:szCs w:val="14"/>
          <w:color w:val="auto"/>
        </w:rPr>
        <w:t>— The Company owns a 50% equity interest in Avenal, which consists of three solar PV projects in Kings County, California totaling approximately 45 MWs. Eurus Energy owns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remaining 50% of Avenal. Power generated by the projects is sold under a 20-year PPA. On September 22, 2010, Avenal entered into a $35 million promissory note facility with the Company. Amounts drawn under the promissory note facility accrue interest at 4.5% per annum. Also, on September 22, 2010, Avenal entered into a $209 million financing arrangement with a syndicate of banks, or the Avenal Facility. As of December 31, 2016 and 2015, Avenal had outstanding $134 million and $143 million, respectively, under the Avenal Facility.</w:t>
      </w:r>
    </w:p>
    <w:p>
      <w:pPr>
        <w:spacing w:after="0" w:line="93" w:lineRule="exact"/>
        <w:rPr>
          <w:sz w:val="20"/>
          <w:szCs w:val="20"/>
          <w:color w:val="auto"/>
        </w:rPr>
      </w:pPr>
    </w:p>
    <w:p>
      <w:pPr>
        <w:jc w:val="both"/>
        <w:ind w:firstLine="321"/>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Desert Sunlight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Desert Sunlight 250 and Desert Sunlight 300 each entered into three distinct tranches of debt. As of December 31, 2016 and 2015, Desert Sunlight had total debt outstanding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$1.1 billion under the three tranches.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1460"/>
          </w:cols>
          <w:pgMar w:left="220" w:top="768" w:right="219" w:bottom="1440" w:gutter="0" w:footer="0" w:header="0"/>
        </w:sectPr>
      </w:pPr>
    </w:p>
    <w:bookmarkStart w:id="82" w:name="page83"/>
    <w:bookmarkEnd w:id="82"/>
    <w:p>
      <w:pPr>
        <w:jc w:val="both"/>
        <w:ind w:firstLine="321"/>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GenConn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GenConn has a $237 million project note with an interest rate of 4.73% and a maturity date of July 2041 and a 5-year, $35 million working capital facility that matures in 2018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which can be used to issue letters of credit at an interest rate of 1.875% per annum. As of December 31, 2016 and 2015, $212 million and $220 million, respectively, were outstanding under the note. As of December 31, 2016, $14 million was drawn on the working capital facility. The note is secured by all of the GenConn assets. The Company's maximum exposure to loss is limited to its equity investment in GenConn, which was $106 million as of December 31, 2016.</w:t>
      </w:r>
    </w:p>
    <w:p>
      <w:pPr>
        <w:spacing w:after="0" w:line="93" w:lineRule="exact"/>
        <w:rPr>
          <w:sz w:val="20"/>
          <w:szCs w:val="20"/>
          <w:color w:val="auto"/>
        </w:rPr>
      </w:pPr>
    </w:p>
    <w:p>
      <w:pPr>
        <w:jc w:val="both"/>
        <w:ind w:firstLine="321"/>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 xml:space="preserve">NRG DGPV Holdco 2 LLC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June 30, 2016, NRG DGPV4 Borrower LLC, a direct subsidiary of NRG DGPV Holdco 2 LLC entered into a financing agreement to fund the acquisition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projects by the tax equity fund. As of December 31, 2016 there was $21 million outstanding under the facility.</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present summarized financial information for the Company's significant equity method investments:</w:t>
      </w:r>
    </w:p>
    <w:p>
      <w:pPr>
        <w:spacing w:after="0" w:line="188"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61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201"/>
        </w:trPr>
        <w:tc>
          <w:tcPr>
            <w:tcW w:w="6140" w:type="dxa"/>
            <w:vAlign w:val="bottom"/>
          </w:tcPr>
          <w:p>
            <w:pPr>
              <w:spacing w:after="0"/>
              <w:rPr>
                <w:sz w:val="17"/>
                <w:szCs w:val="17"/>
                <w:color w:val="auto"/>
              </w:rPr>
            </w:pP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2016</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2015</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2014</w:t>
            </w:r>
          </w:p>
        </w:tc>
      </w:tr>
      <w:tr>
        <w:trPr>
          <w:trHeight w:val="188"/>
        </w:trPr>
        <w:tc>
          <w:tcPr>
            <w:tcW w:w="6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9"/>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GenConn</w:t>
            </w:r>
          </w:p>
        </w:tc>
        <w:tc>
          <w:tcPr>
            <w:tcW w:w="10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2"/>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060" w:type="dxa"/>
            <w:vAlign w:val="bottom"/>
          </w:tcPr>
          <w:p>
            <w:pPr>
              <w:jc w:val="right"/>
              <w:ind w:right="89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78</w:t>
            </w:r>
          </w:p>
        </w:tc>
        <w:tc>
          <w:tcPr>
            <w:tcW w:w="6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82</w:t>
            </w:r>
          </w:p>
        </w:tc>
      </w:tr>
      <w:tr>
        <w:trPr>
          <w:trHeight w:val="22"/>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40</w:t>
            </w:r>
          </w:p>
        </w:tc>
        <w:tc>
          <w:tcPr>
            <w:tcW w:w="6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40</w:t>
            </w:r>
          </w:p>
        </w:tc>
      </w:tr>
      <w:tr>
        <w:trPr>
          <w:trHeight w:val="192"/>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spacing w:after="0"/>
              <w:rPr>
                <w:sz w:val="16"/>
                <w:szCs w:val="16"/>
                <w:color w:val="auto"/>
              </w:rPr>
            </w:pP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28</w:t>
            </w:r>
          </w:p>
        </w:tc>
        <w:tc>
          <w:tcPr>
            <w:tcW w:w="62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28</w:t>
            </w:r>
          </w:p>
        </w:tc>
      </w:tr>
      <w:tr>
        <w:trPr>
          <w:trHeight w:val="22"/>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Desert Sunlight</w:t>
            </w:r>
          </w:p>
        </w:tc>
        <w:tc>
          <w:tcPr>
            <w:tcW w:w="10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2"/>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060" w:type="dxa"/>
            <w:vAlign w:val="bottom"/>
          </w:tcPr>
          <w:p>
            <w:pPr>
              <w:jc w:val="right"/>
              <w:ind w:right="89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206</w:t>
            </w: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124</w:t>
            </w:r>
          </w:p>
        </w:tc>
        <w:tc>
          <w:tcPr>
            <w:tcW w:w="6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2"/>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spacing w:after="0"/>
              <w:rPr>
                <w:sz w:val="16"/>
                <w:szCs w:val="16"/>
                <w:color w:val="auto"/>
              </w:rPr>
            </w:pP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73</w:t>
            </w: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5"/>
        </w:trPr>
        <w:tc>
          <w:tcPr>
            <w:tcW w:w="6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6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00" w:type="dxa"/>
            <w:vAlign w:val="bottom"/>
            <w:tcBorders>
              <w:bottom w:val="single" w:sz="8" w:color="auto"/>
            </w:tcBorders>
          </w:tcPr>
          <w:p>
            <w:pPr>
              <w:spacing w:after="0"/>
              <w:rPr>
                <w:sz w:val="18"/>
                <w:szCs w:val="18"/>
                <w:color w:val="auto"/>
              </w:rPr>
            </w:pPr>
          </w:p>
        </w:tc>
      </w:tr>
      <w:tr>
        <w:trPr>
          <w:trHeight w:val="201"/>
        </w:trPr>
        <w:tc>
          <w:tcPr>
            <w:tcW w:w="6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2016</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199"/>
        </w:trPr>
        <w:tc>
          <w:tcPr>
            <w:tcW w:w="6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0" w:type="dxa"/>
            <w:vAlign w:val="bottom"/>
          </w:tcPr>
          <w:p>
            <w:pPr>
              <w:spacing w:after="0"/>
              <w:rPr>
                <w:sz w:val="17"/>
                <w:szCs w:val="17"/>
                <w:color w:val="auto"/>
              </w:rPr>
            </w:pPr>
          </w:p>
        </w:tc>
      </w:tr>
      <w:tr>
        <w:trPr>
          <w:trHeight w:val="199"/>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GenConn</w:t>
            </w:r>
          </w:p>
        </w:tc>
        <w:tc>
          <w:tcPr>
            <w:tcW w:w="10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2"/>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36</w:t>
            </w:r>
          </w:p>
        </w:tc>
        <w:tc>
          <w:tcPr>
            <w:tcW w:w="6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36</w:t>
            </w:r>
          </w:p>
        </w:tc>
      </w:tr>
      <w:tr>
        <w:trPr>
          <w:trHeight w:val="22"/>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0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389</w:t>
            </w:r>
          </w:p>
        </w:tc>
        <w:tc>
          <w:tcPr>
            <w:tcW w:w="6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416</w:t>
            </w:r>
          </w:p>
        </w:tc>
      </w:tr>
      <w:tr>
        <w:trPr>
          <w:trHeight w:val="192"/>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16</w:t>
            </w:r>
          </w:p>
        </w:tc>
        <w:tc>
          <w:tcPr>
            <w:tcW w:w="62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w:t>
            </w:r>
          </w:p>
        </w:tc>
      </w:tr>
      <w:tr>
        <w:trPr>
          <w:trHeight w:val="22"/>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196</w:t>
            </w:r>
          </w:p>
        </w:tc>
        <w:tc>
          <w:tcPr>
            <w:tcW w:w="6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215</w:t>
            </w:r>
          </w:p>
        </w:tc>
      </w:tr>
      <w:tr>
        <w:trPr>
          <w:trHeight w:val="192"/>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Desert Sunlight</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281</w:t>
            </w:r>
          </w:p>
        </w:tc>
        <w:tc>
          <w:tcPr>
            <w:tcW w:w="6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310</w:t>
            </w:r>
          </w:p>
        </w:tc>
      </w:tr>
      <w:tr>
        <w:trPr>
          <w:trHeight w:val="192"/>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1,401</w:t>
            </w:r>
          </w:p>
        </w:tc>
        <w:tc>
          <w:tcPr>
            <w:tcW w:w="62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1,435</w:t>
            </w:r>
          </w:p>
        </w:tc>
      </w:tr>
      <w:tr>
        <w:trPr>
          <w:trHeight w:val="22"/>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64</w:t>
            </w:r>
          </w:p>
        </w:tc>
        <w:tc>
          <w:tcPr>
            <w:tcW w:w="6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82</w:t>
            </w:r>
          </w:p>
        </w:tc>
      </w:tr>
      <w:tr>
        <w:trPr>
          <w:trHeight w:val="192"/>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1,043</w:t>
            </w:r>
          </w:p>
        </w:tc>
        <w:tc>
          <w:tcPr>
            <w:tcW w:w="62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1,086</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Variable Interest Entities, or VIEs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9" w:lineRule="exact"/>
        <w:rPr>
          <w:sz w:val="20"/>
          <w:szCs w:val="20"/>
          <w:color w:val="auto"/>
        </w:rPr>
      </w:pPr>
    </w:p>
    <w:p>
      <w:pPr>
        <w:jc w:val="both"/>
        <w:ind w:firstLine="321"/>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 xml:space="preserve">NRG Wind TE Holdco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November 3, 2015, the Company acquired 75% of the Class B interests of NRG Wind TE Holdco, or the November 2015 Drop Down Assets, which owns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portfolio of 12 wind facilities totaling 814 net MW, from NRG for total cash consideration of $209 million, as described in Note 3,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 In February 2016, NRG made a final working capital payment of $2 million, reducing total cash consideration to $207 million. NRG retained a 25% ownership of the Class B interest. 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75% of CAFD until the flip point, at which time the allocations to the Company of CAFD change to 68.60%. If the flip point has not occurred by a specified date, 100% of CAFD is allocated to the TE Investor until the flip point occurs. NRG Wind TE Holdco is a VIE and the Company is the primary beneficiary, through its position as managing member, and consolidates NRG Wind TE Holdco. The Company utilizes the HLBV method to determine the net income or loss allocated to the TE Investor noncontrolling interest. Net income or loss attributable to the Class B interests is allocated to NRG's noncontrolling interest based on its 25% ownership interest.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1460"/>
          </w:cols>
          <w:pgMar w:left="220" w:top="764" w:right="219" w:bottom="1440" w:gutter="0" w:footer="0" w:header="0"/>
        </w:sectPr>
      </w:pPr>
    </w:p>
    <w:bookmarkStart w:id="83" w:name="page84"/>
    <w:bookmarkEnd w:id="83"/>
    <w:p>
      <w:pPr>
        <w:jc w:val="both"/>
        <w:ind w:firstLine="321"/>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Alta TE Holdco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June 30, 2015, the Company sold an economic interest in Alta TE Holdco to a financial institution in order to monetize certain cash and tax attributes, primarily PTCs.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financial institution, or Alta Investor, receives 99% of allocations of taxable income and other items until the flip point, which occurs when the Alta Investor obtains a specified return on its initial investment, at which time the allocations to the Alta Investor change to 5%. The Company received 100% of CAFD through December 31, 2015, and subsequently will receive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 The net proceeds of $119 million were reflected as noncontrolling interest in the Company's balance sheet.</w:t>
      </w:r>
    </w:p>
    <w:p>
      <w:pPr>
        <w:spacing w:after="0" w:line="99"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Spring Canyon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May 7, 2015, the Company acquired a 90.1% of the Class B interests in Spring Canyon II, a 32 MW wind facility, and Spring Canyon III, a 28 MW wind facility, each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located in Logan County, Colorado, from Invenergy Wind Global LLC. Invenergy owns 9.9% of the Class B interests. Prior to the acquisition date, the projects were financed with a partnership flip tax-equity structure with a financial institution, who owns the Class A interests, to monetize certain cash and tax attributes, primarily PTCs. Until the flip point, the Class A member will receive 34.81% of the cash distributions based on the projects’ production level and the Company and Invenergy will receive 65.19%.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Summarized financial information for the Company's consolidated VIEs consisted of the following as of December 31, 2016:</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4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NRG Wind TE Holdco</w:t>
            </w:r>
          </w:p>
        </w:tc>
        <w:tc>
          <w:tcPr>
            <w:tcW w:w="20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Alta TE Holdco</w:t>
            </w:r>
          </w:p>
        </w:tc>
        <w:tc>
          <w:tcPr>
            <w:tcW w:w="200" w:type="dxa"/>
            <w:vAlign w:val="bottom"/>
          </w:tcPr>
          <w:p>
            <w:pPr>
              <w:spacing w:after="0"/>
              <w:rPr>
                <w:sz w:val="13"/>
                <w:szCs w:val="13"/>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Spring Canyon</w:t>
            </w:r>
          </w:p>
        </w:tc>
      </w:tr>
      <w:tr>
        <w:trPr>
          <w:trHeight w:val="189"/>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r>
      <w:tr>
        <w:trPr>
          <w:trHeight w:val="192"/>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20" w:type="dxa"/>
            <w:vAlign w:val="bottom"/>
          </w:tcPr>
          <w:p>
            <w:pPr>
              <w:spacing w:after="0"/>
              <w:rPr>
                <w:sz w:val="16"/>
                <w:szCs w:val="16"/>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w:t>
            </w:r>
          </w:p>
        </w:tc>
      </w:tr>
      <w:tr>
        <w:trPr>
          <w:trHeight w:val="22"/>
        </w:trPr>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4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104</w:t>
            </w:r>
          </w:p>
        </w:tc>
      </w:tr>
      <w:tr>
        <w:trPr>
          <w:trHeight w:val="22"/>
        </w:trPr>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r>
      <w:tr>
        <w:trPr>
          <w:trHeight w:val="183"/>
        </w:trPr>
        <w:tc>
          <w:tcPr>
            <w:tcW w:w="4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r>
      <w:tr>
        <w:trPr>
          <w:trHeight w:val="22"/>
        </w:trPr>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4"/>
        </w:trPr>
        <w:tc>
          <w:tcPr>
            <w:tcW w:w="4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67</w:t>
            </w:r>
          </w:p>
        </w:tc>
      </w:tr>
      <w:tr>
        <w:trPr>
          <w:trHeight w:val="199"/>
        </w:trPr>
        <w:tc>
          <w:tcPr>
            <w:tcW w:w="4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assets less noncontrolling interests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31</w:t>
            </w: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not Consolidated</w:t>
      </w:r>
    </w:p>
    <w:p>
      <w:pPr>
        <w:spacing w:after="0" w:line="141" w:lineRule="exact"/>
        <w:rPr>
          <w:sz w:val="20"/>
          <w:szCs w:val="20"/>
          <w:color w:val="auto"/>
        </w:rPr>
      </w:pPr>
    </w:p>
    <w:p>
      <w:pPr>
        <w:jc w:val="both"/>
        <w:ind w:firstLine="321"/>
        <w:spacing w:after="0" w:line="294" w:lineRule="auto"/>
        <w:rPr>
          <w:sz w:val="20"/>
          <w:szCs w:val="20"/>
          <w:color w:val="auto"/>
        </w:rPr>
      </w:pPr>
      <w:r>
        <w:rPr>
          <w:rFonts w:ascii="Times New Roman" w:cs="Times New Roman" w:eastAsia="Times New Roman" w:hAnsi="Times New Roman"/>
          <w:sz w:val="14"/>
          <w:szCs w:val="14"/>
          <w:color w:val="auto"/>
        </w:rPr>
        <w:t xml:space="preserve">The Company has interests in entities that are considered VIEs under ASC 810,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 but for which it is not considered the primary beneficiary. The Company accounts for its interests in these entities under the equity method of accounting.</w:t>
      </w:r>
    </w:p>
    <w:p>
      <w:pPr>
        <w:spacing w:after="0" w:line="75"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NRG DGPV Holdco 1 LLC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May 8, 2015, the Company and NRG entered into a partnership by forming NRG DGPV Holdco 1 LLC, or DGPV Holdco 1, the purpose of which is to own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purchase solar power generation projects and other ancillary related assets from NRG Renew LLC or its subsidiaries via intermediate funds, including: (i) a tax equity-financed portfolio of 10 recently completed community solar projects representing approximately 8 MW with a weighted average remaining PPA term of 19 years; (ii) a tax equity-financed portfolio of approximately 12 commercial photovoltaic systems representing approximately 37 MW with a weighted average remaining PPA term of 18 years; and (iii) a tax equity-financed portfolio of approximately 3 commercial photovoltaic systems representing approximately 1 MW with a weighted average remaining PPA term of 20 years. All of these investments relate to the Company's $100 million commitment to distributed solar projects in partnership with NRG.</w:t>
      </w:r>
    </w:p>
    <w:p>
      <w:pPr>
        <w:spacing w:after="0" w:line="95" w:lineRule="exact"/>
        <w:rPr>
          <w:sz w:val="20"/>
          <w:szCs w:val="20"/>
          <w:color w:val="auto"/>
        </w:rPr>
      </w:pPr>
    </w:p>
    <w:p>
      <w:pPr>
        <w:jc w:val="both"/>
        <w:ind w:firstLine="321"/>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NRG DGPV Holdco 2 LLC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February 29, 2016, the Company and NRG entered into an additional partnership by forming NRG DGPV Holdco 2 LLC, or DGPV Holdco 2, to own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purchase solar power generation projects as well as other ancillary related assets from NRG Renew LLC or its subsidiaries, via intermediate funds including: (i) a tax equity-financed portfolio of 18 projects representing approximately 28 MW with a weighted average remaining PPA term of 21 years; and (ii) a tax equity-financed portfolio of 21 projects representing approximately 18 MW with a weighted average remaining PPA term of 20 years. Under this partnership, the Company committed to fund up to $50 million of capital.</w:t>
      </w:r>
    </w:p>
    <w:p>
      <w:pPr>
        <w:spacing w:after="0" w:line="97"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 Company's maximum exposure to loss is limited to its equity investment in DGPV Holdco 1 and DGPV Holdco 2, which was $99 million on a combined basis, of which $14 million was payable to NRG, as of December 31, 2016.</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1460"/>
          </w:cols>
          <w:pgMar w:left="220" w:top="764" w:right="219" w:bottom="1440" w:gutter="0" w:footer="0" w:header="0"/>
        </w:sectPr>
      </w:pPr>
    </w:p>
    <w:bookmarkStart w:id="84" w:name="page85"/>
    <w:bookmarkEnd w:id="84"/>
    <w:p>
      <w:pPr>
        <w:jc w:val="both"/>
        <w:ind w:firstLine="321"/>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NRG RPV Holdco 1 LLC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April 9, 2015, the Company and NRG entered into a partnership by forming NRG RPV Holdco 1 LLC, or RPV Holdco, that holds operating portfolios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residential solar assets developed by NRG's residential solar business, including: (i) an existing, unlevered portfolio of over 2,200 leases across nine states representing approximately 15 MW with a weighted average remaining lease term of approximately 19 years that was acquired outside of the partnership; and (ii) a tax equity-financed portfolio of approximately 5,400 leases representing approximately 31 MW, with a weighted average remaining lease term for the existing and new leases of approximately 19 years.</w:t>
      </w:r>
    </w:p>
    <w:p>
      <w:pPr>
        <w:spacing w:after="0" w:line="97"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In addition to the acquisition of the unlevered portfolio of leases, the Company had previously committed to fund up to $150 million of capital to invest in the tax equity financed portfolio. On February 29, 2016, the Company and NRG amended the RPV Holdco partnership agreement to reduce the aggregate commitment of $150 million to $100 million in connection with the formation of DGPV Holdco 2. On August 5, 2016, the Company and NRG amended the RPV Holdco partnership agreement to further reduce that capital commitment of $100 million to $60 million in connection with NRG’s change in business model approach in the residential solar business. As of December 31, 2016, the Company had contributed $59 million of this amount.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maximum exposure to loss is limited to its equity investment, which was $71 million as of December 31, 2016.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Fair Value of Financial Instruments</w:t>
      </w:r>
    </w:p>
    <w:p>
      <w:pPr>
        <w:spacing w:after="0" w:line="141" w:lineRule="exact"/>
        <w:rPr>
          <w:sz w:val="20"/>
          <w:szCs w:val="20"/>
          <w:color w:val="auto"/>
        </w:rPr>
      </w:pPr>
    </w:p>
    <w:p>
      <w:pPr>
        <w:jc w:val="both"/>
        <w:ind w:firstLine="386"/>
        <w:spacing w:after="0" w:line="291"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estimated carrying amounts and fair values of the Company’s recorded financial instruments not carried at fair market value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3"/>
          </w:tcPr>
          <w:p>
            <w:pPr>
              <w:jc w:val="right"/>
              <w:ind w:right="674"/>
              <w:spacing w:after="0"/>
              <w:rPr>
                <w:sz w:val="20"/>
                <w:szCs w:val="20"/>
                <w:color w:val="auto"/>
              </w:rPr>
            </w:pPr>
            <w:r>
              <w:rPr>
                <w:rFonts w:ascii="Times New Roman" w:cs="Times New Roman" w:eastAsia="Times New Roman" w:hAnsi="Times New Roman"/>
                <w:sz w:val="11"/>
                <w:szCs w:val="11"/>
                <w:b w:val="1"/>
                <w:bCs w:val="1"/>
                <w:color w:val="auto"/>
              </w:rPr>
              <w:t>As of December 31, 2016</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As of December 31, 2015</w:t>
            </w:r>
          </w:p>
        </w:tc>
      </w:tr>
      <w:tr>
        <w:trPr>
          <w:trHeight w:val="205"/>
        </w:trPr>
        <w:tc>
          <w:tcPr>
            <w:tcW w:w="6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94"/>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4"/>
          </w:tcPr>
          <w:p>
            <w:pPr>
              <w:jc w:val="right"/>
              <w:ind w:right="97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2"/>
        </w:trPr>
        <w:tc>
          <w:tcPr>
            <w:tcW w:w="6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receivable, including current portion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30</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47</w:t>
            </w: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47</w:t>
            </w:r>
          </w:p>
        </w:tc>
      </w:tr>
      <w:tr>
        <w:trPr>
          <w:trHeight w:val="22"/>
        </w:trPr>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2"/>
        </w:trPr>
        <w:tc>
          <w:tcPr>
            <w:tcW w:w="6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 including current portion — affiliate</w:t>
            </w:r>
          </w:p>
        </w:tc>
        <w:tc>
          <w:tcPr>
            <w:tcW w:w="140" w:type="dxa"/>
            <w:vAlign w:val="bottom"/>
          </w:tcPr>
          <w:p>
            <w:pPr>
              <w:spacing w:after="0"/>
              <w:rPr>
                <w:sz w:val="16"/>
                <w:szCs w:val="16"/>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618</w:t>
            </w:r>
          </w:p>
        </w:tc>
        <w:tc>
          <w:tcPr>
            <w:tcW w:w="36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618</w:t>
            </w:r>
          </w:p>
        </w:tc>
        <w:tc>
          <w:tcPr>
            <w:tcW w:w="320" w:type="dxa"/>
            <w:vAlign w:val="bottom"/>
          </w:tcPr>
          <w:p>
            <w:pPr>
              <w:spacing w:after="0"/>
              <w:rPr>
                <w:sz w:val="16"/>
                <w:szCs w:val="16"/>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553</w:t>
            </w:r>
          </w:p>
        </w:tc>
      </w:tr>
      <w:tr>
        <w:trPr>
          <w:trHeight w:val="22"/>
        </w:trPr>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including current portion — external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5,164</w:t>
            </w:r>
          </w:p>
        </w:tc>
        <w:tc>
          <w:tcPr>
            <w:tcW w:w="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5,148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5,060</w:t>
            </w:r>
          </w:p>
        </w:tc>
        <w:tc>
          <w:tcPr>
            <w:tcW w:w="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4,974</w:t>
            </w:r>
          </w:p>
        </w:tc>
      </w:tr>
      <w:tr>
        <w:trPr>
          <w:trHeight w:val="22"/>
        </w:trPr>
        <w:tc>
          <w:tcPr>
            <w:tcW w:w="6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3" w:lineRule="exact"/>
        <w:rPr>
          <w:sz w:val="20"/>
          <w:szCs w:val="20"/>
          <w:color w:val="auto"/>
        </w:rPr>
      </w:pPr>
    </w:p>
    <w:p>
      <w:pPr>
        <w:ind w:left="980" w:hanging="203"/>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3" w:lineRule="exact"/>
        <w:rPr>
          <w:rFonts w:ascii="Times New Roman" w:cs="Times New Roman" w:eastAsia="Times New Roman" w:hAnsi="Times New Roman"/>
          <w:sz w:val="14"/>
          <w:szCs w:val="14"/>
          <w:color w:val="auto"/>
        </w:rPr>
      </w:pPr>
    </w:p>
    <w:p>
      <w:pPr>
        <w:ind w:left="980" w:hanging="203"/>
        <w:spacing w:after="0" w:line="287"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80" w:hanging="203"/>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96" w:lineRule="exact"/>
        <w:rPr>
          <w:sz w:val="20"/>
          <w:szCs w:val="20"/>
          <w:color w:val="auto"/>
        </w:rPr>
      </w:pPr>
    </w:p>
    <w:p>
      <w:pPr>
        <w:ind w:firstLine="386"/>
        <w:spacing w:after="0" w:line="291"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1460"/>
          </w:cols>
          <w:pgMar w:left="220" w:top="764" w:right="219" w:bottom="1440" w:gutter="0" w:footer="0" w:header="0"/>
        </w:sectPr>
      </w:pPr>
    </w:p>
    <w:bookmarkStart w:id="85" w:name="page86"/>
    <w:bookmarkEnd w:id="85"/>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non-publicly traded long-term debt, affiliate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2016 and 2015:</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As of December 31, 2016</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As of December 31, 2015</w:t>
            </w:r>
          </w:p>
        </w:tc>
      </w:tr>
      <w:tr>
        <w:trPr>
          <w:trHeight w:val="205"/>
        </w:trPr>
        <w:tc>
          <w:tcPr>
            <w:tcW w:w="6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1"/>
        </w:trPr>
        <w:tc>
          <w:tcPr>
            <w:tcW w:w="6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6"/>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833</w:t>
            </w:r>
          </w:p>
        </w:tc>
        <w:tc>
          <w:tcPr>
            <w:tcW w:w="4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4,923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413</w:t>
            </w:r>
          </w:p>
        </w:tc>
        <w:tc>
          <w:tcPr>
            <w:tcW w:w="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5,114</w:t>
            </w:r>
          </w:p>
        </w:tc>
      </w:tr>
      <w:tr>
        <w:trPr>
          <w:trHeight w:val="22"/>
        </w:trPr>
        <w:tc>
          <w:tcPr>
            <w:tcW w:w="6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r>
    </w:tbl>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43"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 There were no asset positions as of December 31, 2015. The following table presents assets and liabilities measured and recorded at fair value on the Company's consolidated balance sheets on a recurring basis and their level within the fair value hierarchy: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060" w:type="dxa"/>
            <w:vAlign w:val="bottom"/>
          </w:tcPr>
          <w:p>
            <w:pPr>
              <w:spacing w:after="0"/>
              <w:rPr>
                <w:sz w:val="13"/>
                <w:szCs w:val="13"/>
                <w:color w:val="auto"/>
              </w:rPr>
            </w:pPr>
          </w:p>
        </w:tc>
        <w:tc>
          <w:tcPr>
            <w:tcW w:w="172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1"/>
                <w:szCs w:val="11"/>
                <w:b w:val="1"/>
                <w:bCs w:val="1"/>
                <w:color w:val="auto"/>
              </w:rPr>
              <w:t>As of December 31, 2016</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1"/>
                <w:szCs w:val="11"/>
                <w:b w:val="1"/>
                <w:bCs w:val="1"/>
                <w:color w:val="auto"/>
              </w:rPr>
              <w:t>As of December 31, 2016</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As of December 31, 2015</w:t>
            </w:r>
          </w:p>
        </w:tc>
      </w:tr>
      <w:tr>
        <w:trPr>
          <w:trHeight w:val="205"/>
        </w:trPr>
        <w:tc>
          <w:tcPr>
            <w:tcW w:w="5060" w:type="dxa"/>
            <w:vAlign w:val="bottom"/>
          </w:tcPr>
          <w:p>
            <w:pPr>
              <w:spacing w:after="0"/>
              <w:rPr>
                <w:sz w:val="17"/>
                <w:szCs w:val="17"/>
                <w:color w:val="auto"/>
              </w:rPr>
            </w:pPr>
          </w:p>
        </w:tc>
        <w:tc>
          <w:tcPr>
            <w:tcW w:w="172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7"/>
                <w:szCs w:val="7"/>
                <w:b w:val="1"/>
                <w:bCs w:val="1"/>
                <w:color w:val="auto"/>
              </w:rPr>
              <w:t>(a)</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7"/>
                <w:szCs w:val="7"/>
                <w:b w:val="1"/>
                <w:bCs w:val="1"/>
                <w:color w:val="auto"/>
              </w:rPr>
              <w:t>(a)</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7"/>
                <w:szCs w:val="7"/>
                <w:b w:val="1"/>
                <w:bCs w:val="1"/>
                <w:color w:val="auto"/>
              </w:rPr>
              <w:t>(a)</w:t>
            </w:r>
          </w:p>
        </w:tc>
      </w:tr>
      <w:tr>
        <w:trPr>
          <w:trHeight w:val="205"/>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72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Level 2</w:t>
            </w:r>
          </w:p>
        </w:tc>
      </w:tr>
      <w:tr>
        <w:trPr>
          <w:trHeight w:val="18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r>
      <w:tr>
        <w:trPr>
          <w:trHeight w:val="192"/>
        </w:trPr>
        <w:tc>
          <w:tcPr>
            <w:tcW w:w="5060" w:type="dxa"/>
            <w:vAlign w:val="bottom"/>
          </w:tcPr>
          <w:p>
            <w:pPr>
              <w:jc w:val="center"/>
              <w:ind w:right="3150"/>
              <w:spacing w:after="0"/>
              <w:rPr>
                <w:sz w:val="20"/>
                <w:szCs w:val="20"/>
                <w:color w:val="auto"/>
              </w:rPr>
            </w:pPr>
            <w:r>
              <w:rPr>
                <w:rFonts w:ascii="Times New Roman" w:cs="Times New Roman" w:eastAsia="Times New Roman" w:hAnsi="Times New Roman"/>
                <w:sz w:val="14"/>
                <w:szCs w:val="14"/>
                <w:color w:val="auto"/>
              </w:rPr>
              <w:t>Commodity contracts</w:t>
            </w:r>
          </w:p>
        </w:tc>
        <w:tc>
          <w:tcPr>
            <w:tcW w:w="1720" w:type="dxa"/>
            <w:vAlign w:val="bottom"/>
          </w:tcPr>
          <w:p>
            <w:pPr>
              <w:jc w:val="right"/>
              <w:ind w:right="1575"/>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700" w:type="dxa"/>
            <w:vAlign w:val="bottom"/>
          </w:tcPr>
          <w:p>
            <w:pPr>
              <w:jc w:val="right"/>
              <w:ind w:right="155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14"/>
        </w:trPr>
        <w:tc>
          <w:tcPr>
            <w:tcW w:w="5060" w:type="dxa"/>
            <w:vAlign w:val="bottom"/>
            <w:tcBorders>
              <w:bottom w:val="single" w:sz="8" w:color="CCEEFF"/>
            </w:tcBorders>
            <w:shd w:val="clear" w:color="auto" w:fill="CCEEFF"/>
          </w:tcPr>
          <w:p>
            <w:pPr>
              <w:jc w:val="center"/>
              <w:ind w:right="3150"/>
              <w:spacing w:after="0"/>
              <w:rPr>
                <w:sz w:val="20"/>
                <w:szCs w:val="20"/>
                <w:color w:val="auto"/>
              </w:rPr>
            </w:pPr>
            <w:r>
              <w:rPr>
                <w:rFonts w:ascii="Times New Roman" w:cs="Times New Roman" w:eastAsia="Times New Roman" w:hAnsi="Times New Roman"/>
                <w:sz w:val="14"/>
                <w:szCs w:val="14"/>
                <w:color w:val="auto"/>
              </w:rPr>
              <w:t>Interest rate contracts</w:t>
            </w:r>
          </w:p>
        </w:tc>
        <w:tc>
          <w:tcPr>
            <w:tcW w:w="17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239"/>
        </w:trPr>
        <w:tc>
          <w:tcPr>
            <w:tcW w:w="5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720" w:type="dxa"/>
            <w:vAlign w:val="bottom"/>
            <w:tcBorders>
              <w:top w:val="single" w:sz="8" w:color="auto"/>
              <w:bottom w:val="single" w:sz="8" w:color="auto"/>
            </w:tcBorders>
          </w:tcPr>
          <w:p>
            <w:pPr>
              <w:jc w:val="right"/>
              <w:ind w:right="1575"/>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155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7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tcBorders>
            <w:shd w:val="clear" w:color="auto" w:fill="CCEEFF"/>
          </w:tcPr>
          <w:p>
            <w:pPr>
              <w:spacing w:after="0"/>
              <w:rPr>
                <w:sz w:val="14"/>
                <w:szCs w:val="14"/>
                <w:color w:val="auto"/>
              </w:rPr>
            </w:pPr>
          </w:p>
        </w:tc>
      </w:tr>
      <w:tr>
        <w:trPr>
          <w:trHeight w:val="192"/>
        </w:trPr>
        <w:tc>
          <w:tcPr>
            <w:tcW w:w="5060" w:type="dxa"/>
            <w:vAlign w:val="bottom"/>
          </w:tcPr>
          <w:p>
            <w:pPr>
              <w:jc w:val="center"/>
              <w:ind w:right="3150"/>
              <w:spacing w:after="0"/>
              <w:rPr>
                <w:sz w:val="20"/>
                <w:szCs w:val="20"/>
                <w:color w:val="auto"/>
              </w:rPr>
            </w:pPr>
            <w:r>
              <w:rPr>
                <w:rFonts w:ascii="Times New Roman" w:cs="Times New Roman" w:eastAsia="Times New Roman" w:hAnsi="Times New Roman"/>
                <w:sz w:val="14"/>
                <w:szCs w:val="14"/>
                <w:color w:val="auto"/>
              </w:rPr>
              <w:t>Commodity contracts</w:t>
            </w:r>
          </w:p>
        </w:tc>
        <w:tc>
          <w:tcPr>
            <w:tcW w:w="1720" w:type="dxa"/>
            <w:vAlign w:val="bottom"/>
          </w:tcPr>
          <w:p>
            <w:pPr>
              <w:jc w:val="right"/>
              <w:ind w:right="157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155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5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14"/>
        </w:trPr>
        <w:tc>
          <w:tcPr>
            <w:tcW w:w="5060" w:type="dxa"/>
            <w:vAlign w:val="bottom"/>
            <w:tcBorders>
              <w:bottom w:val="single" w:sz="8" w:color="CCEEFF"/>
            </w:tcBorders>
            <w:shd w:val="clear" w:color="auto" w:fill="CCEEFF"/>
          </w:tcPr>
          <w:p>
            <w:pPr>
              <w:jc w:val="center"/>
              <w:ind w:right="3150"/>
              <w:spacing w:after="0"/>
              <w:rPr>
                <w:sz w:val="20"/>
                <w:szCs w:val="20"/>
                <w:color w:val="auto"/>
              </w:rPr>
            </w:pPr>
            <w:r>
              <w:rPr>
                <w:rFonts w:ascii="Times New Roman" w:cs="Times New Roman" w:eastAsia="Times New Roman" w:hAnsi="Times New Roman"/>
                <w:sz w:val="14"/>
                <w:szCs w:val="14"/>
                <w:color w:val="auto"/>
              </w:rPr>
              <w:t>Interest rate contracts</w:t>
            </w:r>
          </w:p>
        </w:tc>
        <w:tc>
          <w:tcPr>
            <w:tcW w:w="17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98</w:t>
            </w:r>
          </w:p>
        </w:tc>
      </w:tr>
      <w:tr>
        <w:trPr>
          <w:trHeight w:val="199"/>
        </w:trPr>
        <w:tc>
          <w:tcPr>
            <w:tcW w:w="5060" w:type="dxa"/>
            <w:vAlign w:val="bottom"/>
          </w:tcPr>
          <w:p>
            <w:pPr>
              <w:jc w:val="center"/>
              <w:ind w:right="313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720" w:type="dxa"/>
            <w:vAlign w:val="bottom"/>
            <w:tcBorders>
              <w:top w:val="single" w:sz="8" w:color="auto"/>
              <w:bottom w:val="single" w:sz="8" w:color="auto"/>
            </w:tcBorders>
          </w:tcPr>
          <w:p>
            <w:pPr>
              <w:jc w:val="right"/>
              <w:ind w:right="1575"/>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ind w:right="155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5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41541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63" w:lineRule="exact"/>
        <w:rPr>
          <w:sz w:val="20"/>
          <w:szCs w:val="20"/>
          <w:color w:val="auto"/>
        </w:rPr>
      </w:pPr>
    </w:p>
    <w:p>
      <w:pPr>
        <w:ind w:left="100" w:hanging="94"/>
        <w:spacing w:after="0"/>
        <w:tabs>
          <w:tab w:leader="none" w:pos="100" w:val="left"/>
        </w:tabs>
        <w:numPr>
          <w:ilvl w:val="0"/>
          <w:numId w:val="3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There were no assets or liabilities classified as Level 1 as of December 31, 2015. There were no assets or liabilities classified Level 3 as of December 31, 2016 and 2015.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Fair Value Measurements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For the Company’s energy markets, management receives quotes from multiple sources.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extent that multiple quotes are received, the prices reflect the average of the bid-ask mid-point prices obtained from all sources believed to provide the most liquid market for the commodity.</w:t>
      </w:r>
    </w:p>
    <w:p>
      <w:pPr>
        <w:spacing w:after="0" w:line="125"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4"/>
          <w:szCs w:val="14"/>
          <w:color w:val="auto"/>
        </w:rPr>
        <w:t>The fair value of each contract is discounted using a risk free interest rate. In addition, a credit reserve is applied to reflect credit risk, which for interest rate swaps, is calculated based on credit default swaps utilizing the bilateral method. For commodities, to the extent that NRG's net exposure under a specific master agreement is an asset, the Company uses the counterparty's default swap rate. If the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2016, the credit reserve resulted in a $1 million increase in fair value in OCI. It is possible that future market prices could vary from those used in recording assets and liabilities and such variations could be material.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41"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1460"/>
          </w:cols>
          <w:pgMar w:left="220" w:top="854" w:right="219" w:bottom="1440" w:gutter="0" w:footer="0" w:header="0"/>
        </w:sectPr>
      </w:pPr>
    </w:p>
    <w:bookmarkStart w:id="86" w:name="page87"/>
    <w:bookmarkEnd w:id="86"/>
    <w:p>
      <w:pPr>
        <w:jc w:val="both"/>
        <w:ind w:firstLine="321"/>
        <w:spacing w:after="0" w:line="264"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December 31, 2016, credit risk exposure to these counterparties attributable to the Company's ownership interests was approximately $2.6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Accounting for Derivative Instruments and Hedging Activities</w:t>
      </w:r>
    </w:p>
    <w:p>
      <w:pPr>
        <w:spacing w:after="0" w:line="141" w:lineRule="exact"/>
        <w:rPr>
          <w:sz w:val="20"/>
          <w:szCs w:val="20"/>
          <w:color w:val="auto"/>
        </w:rPr>
      </w:pPr>
    </w:p>
    <w:p>
      <w:pPr>
        <w:jc w:val="both"/>
        <w:ind w:firstLine="343"/>
        <w:spacing w:after="0" w:line="262" w:lineRule="auto"/>
        <w:rPr>
          <w:sz w:val="20"/>
          <w:szCs w:val="20"/>
          <w:color w:val="auto"/>
        </w:rPr>
      </w:pPr>
      <w:r>
        <w:rPr>
          <w:rFonts w:ascii="Times New Roman" w:cs="Times New Roman" w:eastAsia="Times New Roman" w:hAnsi="Times New Roman"/>
          <w:sz w:val="14"/>
          <w:szCs w:val="14"/>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effective portion of the change in fair value of the derivatives to accumulated OCI/OCL, until the hedged transactions occur and are recognized in earnings. The ineffective portion of a cash flow hedge is immediately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Commodities</w:t>
      </w:r>
    </w:p>
    <w:p>
      <w:pPr>
        <w:spacing w:after="0" w:line="143" w:lineRule="exact"/>
        <w:rPr>
          <w:sz w:val="20"/>
          <w:szCs w:val="20"/>
          <w:color w:val="auto"/>
        </w:rPr>
      </w:pPr>
    </w:p>
    <w:p>
      <w:pPr>
        <w:jc w:val="both"/>
        <w:ind w:firstLine="343"/>
        <w:spacing w:after="0" w:line="263" w:lineRule="auto"/>
        <w:rPr>
          <w:sz w:val="20"/>
          <w:szCs w:val="20"/>
          <w:color w:val="auto"/>
        </w:rPr>
      </w:pPr>
      <w:r>
        <w:rPr>
          <w:rFonts w:ascii="Times New Roman" w:cs="Times New Roman" w:eastAsia="Times New Roman" w:hAnsi="Times New Roman"/>
          <w:sz w:val="14"/>
          <w:szCs w:val="14"/>
          <w:color w:val="auto"/>
        </w:rPr>
        <w:t>To manage the commodity price risk associated with its competitive supply activities and the price risk associated with wholesale power sales, the Company may enter into derivative hedging instruments, namely, forward contracts that commit the Company to sell energy commodities or purchase fuels/electricity in the future. The objectives for entering into derivatives contracts designated as hedges include fixing the price for a portion of anticipated future electricity sales and fixing the price of a portion of anticipated fuel/electricity purchases for the operation of its subsidiaries. As of December 31, 2016, the Company had forward contracts for the purchase of fuel commodities relating to the forecasted usage of the Company’s district energy centers extending through 2018 and electricity contracts to supply retail power to the Company's district energy centers extending through 2020. At December 31, 2016, these contracts were not designated as cash flow or fair value hedges.</w:t>
      </w:r>
    </w:p>
    <w:p>
      <w:pPr>
        <w:spacing w:after="0" w:line="275" w:lineRule="exact"/>
        <w:rPr>
          <w:sz w:val="20"/>
          <w:szCs w:val="20"/>
          <w:color w:val="auto"/>
        </w:rPr>
      </w:pPr>
    </w:p>
    <w:p>
      <w:pPr>
        <w:jc w:val="both"/>
        <w:ind w:firstLine="343"/>
        <w:spacing w:after="0" w:line="291" w:lineRule="auto"/>
        <w:rPr>
          <w:sz w:val="20"/>
          <w:szCs w:val="20"/>
          <w:color w:val="auto"/>
        </w:rPr>
      </w:pPr>
      <w:r>
        <w:rPr>
          <w:rFonts w:ascii="Times New Roman" w:cs="Times New Roman" w:eastAsia="Times New Roman" w:hAnsi="Times New Roman"/>
          <w:sz w:val="14"/>
          <w:szCs w:val="14"/>
          <w:color w:val="auto"/>
        </w:rPr>
        <w:t>Also, as of December 31, 2016, the Company had other energy-related contracts that did not meet the definition of a derivative instrument or qualified for the NPNS exception and were therefore exempt from fair value accounting treatment as follows:</w:t>
      </w:r>
    </w:p>
    <w:p>
      <w:pPr>
        <w:spacing w:after="0" w:line="81" w:lineRule="exact"/>
        <w:rPr>
          <w:sz w:val="20"/>
          <w:szCs w:val="20"/>
          <w:color w:val="auto"/>
        </w:rPr>
      </w:pPr>
    </w:p>
    <w:p>
      <w:pPr>
        <w:ind w:left="520" w:hanging="257"/>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tolling contracts through 2039, and</w:t>
      </w:r>
    </w:p>
    <w:p>
      <w:pPr>
        <w:spacing w:after="0" w:line="5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transportation contracts through 2028.</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is exposed to changes in interest rates through the issuance of variable rate debt. In order to manage interest rate risk, it enters into interest rate swap agreements.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2016, the Company had interest rate derivative instruments on non-recourse debt extending through 2031, most of which are designated as cash flow hedges.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Volumetric Underlying Derivative Transactions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 as of December 31, 2016 and 2015: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60" w:type="dxa"/>
            <w:vAlign w:val="bottom"/>
            <w:tcBorders>
              <w:bottom w:val="single" w:sz="8" w:color="auto"/>
            </w:tcBorders>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2016</w:t>
            </w:r>
          </w:p>
        </w:tc>
        <w:tc>
          <w:tcPr>
            <w:tcW w:w="4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December 31, 2015</w:t>
            </w:r>
          </w:p>
        </w:tc>
      </w:tr>
      <w:tr>
        <w:trPr>
          <w:trHeight w:val="167"/>
        </w:trPr>
        <w:tc>
          <w:tcPr>
            <w:tcW w:w="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Commodity</w:t>
            </w:r>
          </w:p>
        </w:tc>
        <w:tc>
          <w:tcPr>
            <w:tcW w:w="270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gridSpan w:val="2"/>
          </w:tcPr>
          <w:p>
            <w:pPr>
              <w:jc w:val="center"/>
              <w:ind w:left="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60" w:type="dxa"/>
            <w:vAlign w:val="bottom"/>
          </w:tcPr>
          <w:p>
            <w:pPr>
              <w:spacing w:after="0"/>
              <w:rPr>
                <w:sz w:val="14"/>
                <w:szCs w:val="14"/>
                <w:color w:val="auto"/>
              </w:rPr>
            </w:pPr>
          </w:p>
        </w:tc>
      </w:tr>
      <w:tr>
        <w:trPr>
          <w:trHeight w:val="26"/>
        </w:trPr>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w:t>
            </w:r>
          </w:p>
        </w:tc>
        <w:tc>
          <w:tcPr>
            <w:tcW w:w="27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MMBtu</w:t>
            </w:r>
          </w:p>
        </w:tc>
        <w:tc>
          <w:tcPr>
            <w:tcW w:w="39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w:t>
            </w:r>
          </w:p>
        </w:tc>
      </w:tr>
      <w:tr>
        <w:trPr>
          <w:trHeight w:val="192"/>
        </w:trPr>
        <w:tc>
          <w:tcPr>
            <w:tcW w:w="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w:t>
            </w:r>
          </w:p>
        </w:tc>
        <w:tc>
          <w:tcPr>
            <w:tcW w:w="27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Dollars</w:t>
            </w:r>
          </w:p>
        </w:tc>
        <w:tc>
          <w:tcPr>
            <w:tcW w:w="5340" w:type="dxa"/>
            <w:vAlign w:val="bottom"/>
            <w:gridSpan w:val="2"/>
          </w:tcPr>
          <w:p>
            <w:pPr>
              <w:jc w:val="right"/>
              <w:ind w:right="124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w w:val="95"/>
              </w:rPr>
              <w:t>1,839</w:t>
            </w:r>
          </w:p>
        </w:tc>
        <w:tc>
          <w:tcPr>
            <w:tcW w:w="4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1,991</w:t>
            </w:r>
          </w:p>
        </w:tc>
      </w:tr>
      <w:tr>
        <w:trPr>
          <w:trHeight w:val="51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40" w:type="dxa"/>
            <w:vAlign w:val="bottom"/>
          </w:tcPr>
          <w:p>
            <w:pPr>
              <w:jc w:val="right"/>
              <w:ind w:right="1829"/>
              <w:spacing w:after="0"/>
              <w:rPr>
                <w:sz w:val="20"/>
                <w:szCs w:val="20"/>
                <w:color w:val="auto"/>
              </w:rPr>
            </w:pPr>
            <w:r>
              <w:rPr>
                <w:rFonts w:ascii="Times New Roman" w:cs="Times New Roman" w:eastAsia="Times New Roman" w:hAnsi="Times New Roman"/>
                <w:sz w:val="14"/>
                <w:szCs w:val="14"/>
                <w:color w:val="auto"/>
              </w:rPr>
              <w:t>87</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60"/>
          </w:cols>
          <w:pgMar w:left="220" w:top="768" w:right="2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20" w:lineRule="exact"/>
        <w:rPr>
          <w:sz w:val="20"/>
          <w:szCs w:val="20"/>
          <w:color w:val="auto"/>
        </w:rPr>
      </w:pPr>
    </w:p>
    <w:p>
      <w:pPr>
        <w:ind w:right="180" w:firstLine="321"/>
        <w:spacing w:after="0" w:line="291" w:lineRule="auto"/>
        <w:rPr>
          <w:sz w:val="20"/>
          <w:szCs w:val="20"/>
          <w:color w:val="auto"/>
        </w:rPr>
      </w:pPr>
      <w:r>
        <w:rPr>
          <w:rFonts w:ascii="Times New Roman" w:cs="Times New Roman" w:eastAsia="Times New Roman" w:hAnsi="Times New Roman"/>
          <w:sz w:val="14"/>
          <w:szCs w:val="14"/>
          <w:color w:val="auto"/>
        </w:rPr>
        <w:t>There were no derivative asset positions on the balance sheet as of December 31, 2015. The following table summarizes the fair value within the derivative instrument valuation on the balance sheet: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4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r>
      <w:tr>
        <w:trPr>
          <w:trHeight w:val="205"/>
        </w:trPr>
        <w:tc>
          <w:tcPr>
            <w:tcW w:w="5740" w:type="dxa"/>
            <w:vAlign w:val="bottom"/>
          </w:tcPr>
          <w:p>
            <w:pPr>
              <w:spacing w:after="0"/>
              <w:rPr>
                <w:sz w:val="17"/>
                <w:szCs w:val="17"/>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913"/>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c>
          <w:tcPr>
            <w:tcW w:w="380" w:type="dxa"/>
            <w:vAlign w:val="bottom"/>
            <w:tcBorders>
              <w:bottom w:val="single" w:sz="8" w:color="auto"/>
            </w:tcBorders>
          </w:tcPr>
          <w:p>
            <w:pPr>
              <w:spacing w:after="0"/>
              <w:rPr>
                <w:sz w:val="17"/>
                <w:szCs w:val="17"/>
                <w:color w:val="auto"/>
              </w:rPr>
            </w:pPr>
          </w:p>
        </w:tc>
      </w:tr>
      <w:tr>
        <w:trPr>
          <w:trHeight w:val="205"/>
        </w:trPr>
        <w:tc>
          <w:tcPr>
            <w:tcW w:w="5740" w:type="dxa"/>
            <w:vAlign w:val="bottom"/>
          </w:tcPr>
          <w:p>
            <w:pPr>
              <w:spacing w:after="0"/>
              <w:rPr>
                <w:sz w:val="17"/>
                <w:szCs w:val="17"/>
                <w:color w:val="auto"/>
              </w:rPr>
            </w:pPr>
          </w:p>
        </w:tc>
        <w:tc>
          <w:tcPr>
            <w:tcW w:w="1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December 31, 2016</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298"/>
              <w:spacing w:after="0"/>
              <w:rPr>
                <w:sz w:val="20"/>
                <w:szCs w:val="20"/>
                <w:color w:val="auto"/>
              </w:rPr>
            </w:pPr>
            <w:r>
              <w:rPr>
                <w:rFonts w:ascii="Times New Roman" w:cs="Times New Roman" w:eastAsia="Times New Roman" w:hAnsi="Times New Roman"/>
                <w:sz w:val="11"/>
                <w:szCs w:val="11"/>
                <w:b w:val="1"/>
                <w:bCs w:val="1"/>
                <w:color w:val="auto"/>
              </w:rPr>
              <w:t>December 31, 2016</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2015</w:t>
            </w:r>
          </w:p>
        </w:tc>
        <w:tc>
          <w:tcPr>
            <w:tcW w:w="380" w:type="dxa"/>
            <w:vAlign w:val="bottom"/>
            <w:tcBorders>
              <w:bottom w:val="single" w:sz="8" w:color="auto"/>
            </w:tcBorders>
          </w:tcPr>
          <w:p>
            <w:pPr>
              <w:spacing w:after="0"/>
              <w:rPr>
                <w:sz w:val="17"/>
                <w:szCs w:val="17"/>
                <w:color w:val="auto"/>
              </w:rPr>
            </w:pPr>
          </w:p>
        </w:tc>
      </w:tr>
      <w:tr>
        <w:trPr>
          <w:trHeight w:val="194"/>
        </w:trPr>
        <w:tc>
          <w:tcPr>
            <w:tcW w:w="5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298"/>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4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r>
      <w:tr>
        <w:trPr>
          <w:trHeight w:val="192"/>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480" w:type="dxa"/>
            <w:vAlign w:val="bottom"/>
          </w:tcPr>
          <w:p>
            <w:pPr>
              <w:jc w:val="right"/>
              <w:ind w:right="131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31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420" w:type="dxa"/>
            <w:vAlign w:val="bottom"/>
          </w:tcPr>
          <w:p>
            <w:pPr>
              <w:jc w:val="right"/>
              <w:ind w:right="127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w:t>
            </w:r>
          </w:p>
        </w:tc>
      </w:tr>
      <w:tr>
        <w:trPr>
          <w:trHeight w:val="22"/>
        </w:trPr>
        <w:tc>
          <w:tcPr>
            <w:tcW w:w="5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4"/>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56</w:t>
            </w:r>
          </w:p>
        </w:tc>
      </w:tr>
      <w:tr>
        <w:trPr>
          <w:trHeight w:val="18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14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90</w:t>
            </w:r>
          </w:p>
        </w:tc>
      </w:tr>
      <w:tr>
        <w:trPr>
          <w:trHeight w:val="22"/>
        </w:trPr>
        <w:tc>
          <w:tcPr>
            <w:tcW w:w="57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14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r>
      <w:tr>
        <w:trPr>
          <w:trHeight w:val="192"/>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480" w:type="dxa"/>
            <w:vAlign w:val="bottom"/>
          </w:tcPr>
          <w:p>
            <w:pPr>
              <w:spacing w:after="0"/>
              <w:rPr>
                <w:sz w:val="16"/>
                <w:szCs w:val="16"/>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5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r>
      <w:tr>
        <w:trPr>
          <w:trHeight w:val="192"/>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Commodity contracts current</w:t>
            </w:r>
          </w:p>
        </w:tc>
        <w:tc>
          <w:tcPr>
            <w:tcW w:w="1480" w:type="dxa"/>
            <w:vAlign w:val="bottom"/>
          </w:tcPr>
          <w:p>
            <w:pPr>
              <w:spacing w:after="0"/>
              <w:rPr>
                <w:sz w:val="16"/>
                <w:szCs w:val="16"/>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57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14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r>
      <w:tr>
        <w:trPr>
          <w:trHeight w:val="19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480" w:type="dxa"/>
            <w:vAlign w:val="bottom"/>
            <w:tcBorders>
              <w:top w:val="single" w:sz="8" w:color="auto"/>
              <w:bottom w:val="single" w:sz="8" w:color="auto"/>
            </w:tcBorders>
          </w:tcPr>
          <w:p>
            <w:pPr>
              <w:jc w:val="right"/>
              <w:ind w:right="131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131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ind w:right="127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57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master agreement level. As of December 31, 2016, there was no outstanding collateral paid or received. As of December 31, 2015, there were no offsetting amounts at the counterparty master agreement level or outstanding collateral paid or received. The following table summarizes the offsetting of derivatives by counterparty master agreement level as of December 31, 2016:</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34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0" w:type="dxa"/>
            <w:vAlign w:val="bottom"/>
          </w:tcPr>
          <w:p>
            <w:pPr>
              <w:spacing w:after="0"/>
              <w:rPr>
                <w:sz w:val="1"/>
                <w:szCs w:val="1"/>
                <w:color w:val="auto"/>
              </w:rPr>
            </w:pPr>
          </w:p>
        </w:tc>
      </w:tr>
      <w:tr>
        <w:trPr>
          <w:trHeight w:val="115"/>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20" w:type="dxa"/>
            <w:vAlign w:val="bottom"/>
          </w:tcPr>
          <w:p>
            <w:pPr>
              <w:spacing w:after="0"/>
              <w:rPr>
                <w:sz w:val="10"/>
                <w:szCs w:val="10"/>
                <w:color w:val="auto"/>
              </w:rPr>
            </w:pPr>
          </w:p>
        </w:tc>
        <w:tc>
          <w:tcPr>
            <w:tcW w:w="174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Gross Amounts of Recognized</w:t>
            </w:r>
          </w:p>
        </w:tc>
        <w:tc>
          <w:tcPr>
            <w:tcW w:w="200" w:type="dxa"/>
            <w:vAlign w:val="bottom"/>
          </w:tcPr>
          <w:p>
            <w:pPr>
              <w:spacing w:after="0"/>
              <w:rPr>
                <w:sz w:val="10"/>
                <w:szCs w:val="10"/>
                <w:color w:val="auto"/>
              </w:rPr>
            </w:pPr>
          </w:p>
        </w:tc>
        <w:tc>
          <w:tcPr>
            <w:tcW w:w="16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Pr>
          <w:p>
            <w:pPr>
              <w:spacing w:after="0"/>
              <w:rPr>
                <w:sz w:val="10"/>
                <w:szCs w:val="10"/>
                <w:color w:val="auto"/>
              </w:rPr>
            </w:pPr>
          </w:p>
        </w:tc>
        <w:tc>
          <w:tcPr>
            <w:tcW w:w="1400" w:type="dxa"/>
            <w:vAlign w:val="bottom"/>
            <w:vMerge w:val="restart"/>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150"/>
        </w:trPr>
        <w:tc>
          <w:tcPr>
            <w:tcW w:w="550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Assets/Liabilities</w:t>
            </w: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Commodity contracts:</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Derivative liabilities</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
        </w:trPr>
        <w:tc>
          <w:tcPr>
            <w:tcW w:w="5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commodity contracts</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assets</w:t>
            </w:r>
          </w:p>
        </w:tc>
        <w:tc>
          <w:tcPr>
            <w:tcW w:w="1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Derivative liabilities</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2"/>
        </w:trPr>
        <w:tc>
          <w:tcPr>
            <w:tcW w:w="5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ind w:right="1392"/>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66" w:right="2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Loss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OCL balance attributable to interest rate swaps designated as cash flow hedge derivatives: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1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205"/>
        </w:trPr>
        <w:tc>
          <w:tcPr>
            <w:tcW w:w="7120" w:type="dxa"/>
            <w:vAlign w:val="bottom"/>
          </w:tcPr>
          <w:p>
            <w:pPr>
              <w:spacing w:after="0"/>
              <w:rPr>
                <w:sz w:val="17"/>
                <w:szCs w:val="17"/>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2016</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rPr>
              <w:t>2015</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2014</w:t>
            </w:r>
          </w:p>
        </w:tc>
      </w:tr>
      <w:tr>
        <w:trPr>
          <w:trHeight w:val="194"/>
        </w:trPr>
        <w:tc>
          <w:tcPr>
            <w:tcW w:w="7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OCL beginning balance</w:t>
            </w:r>
          </w:p>
        </w:tc>
        <w:tc>
          <w:tcPr>
            <w:tcW w:w="94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2"/>
        </w:trPr>
        <w:tc>
          <w:tcPr>
            <w:tcW w:w="7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Reclassified from accumulated OCL to income due to realization of previously deferred amounts</w:t>
            </w:r>
          </w:p>
        </w:tc>
        <w:tc>
          <w:tcPr>
            <w:tcW w:w="940" w:type="dxa"/>
            <w:vAlign w:val="bottom"/>
          </w:tcPr>
          <w:p>
            <w:pPr>
              <w:spacing w:after="0"/>
              <w:rPr>
                <w:sz w:val="16"/>
                <w:szCs w:val="16"/>
                <w:color w:val="auto"/>
              </w:rPr>
            </w:pP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15</w:t>
            </w:r>
          </w:p>
        </w:tc>
      </w:tr>
      <w:tr>
        <w:trPr>
          <w:trHeight w:val="22"/>
        </w:trPr>
        <w:tc>
          <w:tcPr>
            <w:tcW w:w="7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4"/>
        </w:trPr>
        <w:tc>
          <w:tcPr>
            <w:tcW w:w="7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9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3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OCL ending balance</w:t>
            </w:r>
          </w:p>
        </w:tc>
        <w:tc>
          <w:tcPr>
            <w:tcW w:w="9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OCL attributable to noncontrolling interests</w:t>
            </w:r>
          </w:p>
        </w:tc>
        <w:tc>
          <w:tcPr>
            <w:tcW w:w="9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OCL attributable to NRG Yield LLC</w:t>
            </w:r>
          </w:p>
        </w:tc>
        <w:tc>
          <w:tcPr>
            <w:tcW w:w="94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7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expected to be realized from OCL during the next 12 months</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2"/>
        </w:trPr>
        <w:tc>
          <w:tcPr>
            <w:tcW w:w="7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243"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Amounts reclassified from accumulated OCL into income and amounts recognized in income from the ineffective portion of cash flow hedges are recorded to interest expense. There was no ineffectiveness for the years ended December 31, 2016, 2015 and 2014.</w:t>
      </w:r>
    </w:p>
    <w:p>
      <w:pPr>
        <w:spacing w:after="0" w:line="124"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4"/>
          <w:szCs w:val="14"/>
          <w:color w:val="auto"/>
        </w:rPr>
        <w:t>Accounting guidelines require a high degree of correlation between the derivative and the hedged item throughout the period in order to qualify as a cash flow hedge. As of December 31, 2016, the Company's regression analysis for Viento Funding II interest rate swaps, while positively correlated, did not meet the required threshold for cash flow hedge accounting. As a result, the Company de-designated the Viento Funding II cash flow hedges as of December 31, 2016, and will prospectively mark these derivatives to market through the income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Statements of Income</w:t>
      </w:r>
    </w:p>
    <w:p>
      <w:pPr>
        <w:spacing w:after="0" w:line="143"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 Company has interest rate derivative instruments that are not designated as cash flow hedges. The effect of interest rate hedges is recorded to interest expense. For the years ended December 31, 2016, 2015 and 2014 the impact to the consolidated statements of income was a gain of $2 million, $16 million and a loss of $22 million, respectively.</w:t>
      </w:r>
    </w:p>
    <w:p>
      <w:pPr>
        <w:spacing w:after="0" w:line="81"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income for these contracts.</w:t>
      </w:r>
    </w:p>
    <w:p>
      <w:pPr>
        <w:spacing w:after="0" w:line="94"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In 2015 and 2014, commodity contracts also hedged the forecasted sale of power for the Elbow Creek until the start of the PPA with NRG Power Marketing LLC, or Power Marketing, with effective date of November 1, 2015. The effect of these commodity hedges was recorded to operating revenues. For the years ended December 31, 2015 and 2014, the impact to the consolidated statements of income was an unrealized loss of $2 million and a gain of $2 million, respectively.</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Intangible Assets</w:t>
      </w:r>
    </w:p>
    <w:p>
      <w:pPr>
        <w:spacing w:after="0" w:line="139" w:lineRule="exact"/>
        <w:rPr>
          <w:sz w:val="20"/>
          <w:szCs w:val="20"/>
          <w:color w:val="auto"/>
        </w:rPr>
      </w:pPr>
    </w:p>
    <w:p>
      <w:pPr>
        <w:jc w:val="both"/>
        <w:ind w:firstLine="321"/>
        <w:spacing w:after="0" w:line="294" w:lineRule="auto"/>
        <w:rPr>
          <w:sz w:val="20"/>
          <w:szCs w:val="20"/>
          <w:color w:val="auto"/>
        </w:rPr>
      </w:pPr>
      <w:r>
        <w:rPr>
          <w:rFonts w:ascii="Times New Roman" w:cs="Times New Roman" w:eastAsia="Times New Roman" w:hAnsi="Times New Roman"/>
          <w:sz w:val="14"/>
          <w:szCs w:val="14"/>
          <w:i w:val="1"/>
          <w:iCs w:val="1"/>
          <w:color w:val="auto"/>
        </w:rPr>
        <w:t xml:space="preserve">Intangible Assets </w:t>
      </w:r>
      <w:r>
        <w:rPr>
          <w:rFonts w:ascii="Times New Roman" w:cs="Times New Roman" w:eastAsia="Times New Roman" w:hAnsi="Times New Roman"/>
          <w:sz w:val="14"/>
          <w:szCs w:val="14"/>
          <w:color w:val="auto"/>
        </w:rPr>
        <w:t>— The Company's intangible assets as of December 31, 2016 and 2015 primarily reflect intangible assets established from its business acquisitions and are comprised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w:t>
      </w:r>
    </w:p>
    <w:p>
      <w:pPr>
        <w:spacing w:after="0" w:line="77" w:lineRule="exact"/>
        <w:rPr>
          <w:sz w:val="20"/>
          <w:szCs w:val="20"/>
          <w:color w:val="auto"/>
        </w:rPr>
      </w:pPr>
    </w:p>
    <w:p>
      <w:pPr>
        <w:ind w:left="520" w:hanging="257"/>
        <w:spacing w:after="0" w:line="294" w:lineRule="auto"/>
        <w:tabs>
          <w:tab w:leader="none" w:pos="52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PPAs </w:t>
      </w:r>
      <w:r>
        <w:rPr>
          <w:rFonts w:ascii="Times New Roman" w:cs="Times New Roman" w:eastAsia="Times New Roman" w:hAnsi="Times New Roman"/>
          <w:sz w:val="14"/>
          <w:szCs w:val="14"/>
          <w:color w:val="auto"/>
        </w:rPr>
        <w:t>— Established predominantly with the acquisitions of the Alta Wind Portfolio, Walnut Creek, Tapestry and Laredo Ridge, these represent the fair value of the PPAs acquired. These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amortized, generally on a straight-line basis, over the term of the PPA.</w:t>
      </w:r>
    </w:p>
    <w:p>
      <w:pPr>
        <w:spacing w:after="0" w:line="34" w:lineRule="exact"/>
        <w:rPr>
          <w:rFonts w:ascii="Times New Roman" w:cs="Times New Roman" w:eastAsia="Times New Roman" w:hAnsi="Times New Roman"/>
          <w:sz w:val="14"/>
          <w:szCs w:val="14"/>
          <w:i w:val="1"/>
          <w:iCs w:val="1"/>
          <w:color w:val="auto"/>
        </w:rPr>
      </w:pPr>
    </w:p>
    <w:p>
      <w:pPr>
        <w:ind w:left="520" w:right="200" w:hanging="257"/>
        <w:spacing w:after="0" w:line="294" w:lineRule="auto"/>
        <w:tabs>
          <w:tab w:leader="none" w:pos="52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Leasehold Rights </w:t>
      </w:r>
      <w:r>
        <w:rPr>
          <w:rFonts w:ascii="Times New Roman" w:cs="Times New Roman" w:eastAsia="Times New Roman" w:hAnsi="Times New Roman"/>
          <w:sz w:val="14"/>
          <w:szCs w:val="14"/>
          <w:color w:val="auto"/>
        </w:rPr>
        <w:t>— Established with the acquisition of the Alta Wind Portfolio, this represents the fair value of contractual rights to receive royalty payments equal to a percentage of PPA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from certain projects. These will be amortized on a straight-line basis.</w:t>
      </w:r>
    </w:p>
    <w:p>
      <w:pPr>
        <w:spacing w:after="0" w:line="34" w:lineRule="exact"/>
        <w:rPr>
          <w:rFonts w:ascii="Times New Roman" w:cs="Times New Roman" w:eastAsia="Times New Roman" w:hAnsi="Times New Roman"/>
          <w:sz w:val="14"/>
          <w:szCs w:val="14"/>
          <w:i w:val="1"/>
          <w:iCs w:val="1"/>
          <w:color w:val="auto"/>
        </w:rPr>
      </w:pPr>
    </w:p>
    <w:p>
      <w:pPr>
        <w:ind w:left="520" w:hanging="257"/>
        <w:spacing w:after="0" w:line="294"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Customer relationships </w:t>
      </w:r>
      <w:r>
        <w:rPr>
          <w:rFonts w:ascii="Times New Roman" w:cs="Times New Roman" w:eastAsia="Times New Roman" w:hAnsi="Times New Roman"/>
          <w:sz w:val="14"/>
          <w:szCs w:val="14"/>
          <w:color w:val="auto"/>
        </w:rPr>
        <w:t>— Established with the acquisition of NRG Energy Center Phoenix and NRG Energy Center Omaha, these intangibles represent the fair value at the acquisition date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businesses' customer base. The customer relationships are amortized to depreciation and amortization expense based on the expected discounted future net cash flows by year.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1460"/>
          </w:cols>
          <w:pgMar w:left="220" w:top="764" w:right="219" w:bottom="1440" w:gutter="0" w:footer="0" w:header="0"/>
        </w:sectPr>
      </w:pPr>
    </w:p>
    <w:bookmarkStart w:id="89" w:name="page90"/>
    <w:bookmarkEnd w:id="89"/>
    <w:p>
      <w:pPr>
        <w:ind w:left="520" w:right="260" w:hanging="257"/>
        <w:spacing w:after="0" w:line="270" w:lineRule="auto"/>
        <w:tabs>
          <w:tab w:leader="none" w:pos="52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Customer contracts </w:t>
      </w:r>
      <w:r>
        <w:rPr>
          <w:rFonts w:ascii="Times New Roman" w:cs="Times New Roman" w:eastAsia="Times New Roman" w:hAnsi="Times New Roman"/>
          <w:sz w:val="14"/>
          <w:szCs w:val="14"/>
          <w:color w:val="auto"/>
        </w:rPr>
        <w:t>— Established with the acquisition of NRG Energy Center Phoenix, these intangibles represent the fair value at the acquisition date of contracts that primarily provide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chilled water, steam and electricity to its customers. These contracts are amortized to revenues based on expected volumes.</w:t>
      </w:r>
    </w:p>
    <w:p>
      <w:pPr>
        <w:ind w:left="520" w:hanging="257"/>
        <w:spacing w:after="0" w:line="248" w:lineRule="auto"/>
        <w:tabs>
          <w:tab w:leader="none" w:pos="52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Emission Allowances </w:t>
      </w:r>
      <w:r>
        <w:rPr>
          <w:rFonts w:ascii="Times New Roman" w:cs="Times New Roman" w:eastAsia="Times New Roman" w:hAnsi="Times New Roman"/>
          <w:sz w:val="14"/>
          <w:szCs w:val="14"/>
          <w:color w:val="auto"/>
        </w:rPr>
        <w:t>— These intangibles primarily consist of SO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emission allowances established with the El Segundo and Walnut Creek acquisitions. These emission allowances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held-for-use and are amortized to cost of operations, with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color w:val="auto"/>
        </w:rPr>
        <w:t xml:space="preserve"> allowances amortized on a straight-line basis and SO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4"/>
          <w:szCs w:val="14"/>
          <w:color w:val="auto"/>
        </w:rPr>
        <w:t xml:space="preserve"> allowances amortized based on units of production.</w:t>
      </w:r>
    </w:p>
    <w:p>
      <w:pPr>
        <w:spacing w:after="0" w:line="64" w:lineRule="exact"/>
        <w:rPr>
          <w:rFonts w:ascii="Times New Roman" w:cs="Times New Roman" w:eastAsia="Times New Roman" w:hAnsi="Times New Roman"/>
          <w:sz w:val="14"/>
          <w:szCs w:val="14"/>
          <w:i w:val="1"/>
          <w:iCs w:val="1"/>
          <w:color w:val="auto"/>
        </w:rPr>
      </w:pPr>
    </w:p>
    <w:p>
      <w:pPr>
        <w:ind w:left="520" w:hanging="257"/>
        <w:spacing w:after="0" w:line="294" w:lineRule="auto"/>
        <w:tabs>
          <w:tab w:leader="none" w:pos="52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Development rights </w:t>
      </w:r>
      <w:r>
        <w:rPr>
          <w:rFonts w:ascii="Times New Roman" w:cs="Times New Roman" w:eastAsia="Times New Roman" w:hAnsi="Times New Roman"/>
          <w:sz w:val="14"/>
          <w:szCs w:val="14"/>
          <w:color w:val="auto"/>
        </w:rPr>
        <w:t>— Arising primarily from the acquisition of solar businesses in 2010 and 2011, these intangibles are amortized to depreciation and amortization expense on a straight-line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basis over the estimated life of the related project portfolio.</w:t>
      </w:r>
    </w:p>
    <w:p>
      <w:pPr>
        <w:spacing w:after="0" w:line="34" w:lineRule="exact"/>
        <w:rPr>
          <w:rFonts w:ascii="Times New Roman" w:cs="Times New Roman" w:eastAsia="Times New Roman" w:hAnsi="Times New Roman"/>
          <w:sz w:val="14"/>
          <w:szCs w:val="14"/>
          <w:i w:val="1"/>
          <w:iCs w:val="1"/>
          <w:color w:val="auto"/>
        </w:rPr>
      </w:pPr>
    </w:p>
    <w:p>
      <w:pPr>
        <w:ind w:left="520" w:hanging="257"/>
        <w:spacing w:after="0" w:line="294" w:lineRule="auto"/>
        <w:tabs>
          <w:tab w:leader="none" w:pos="52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 Consists of the acquisition date fair value of the contractual rights to a ground lease for South Trent and to utilize certain interconnection facilities for Blythe, as well as land rights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acquired in connection with the acquisition of Elbow Creek.</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following tables summarize the components of intangible assets subject to amortization: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2016</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0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000" w:type="dxa"/>
            <w:vAlign w:val="bottom"/>
          </w:tcPr>
          <w:p>
            <w:pPr>
              <w:jc w:val="center"/>
              <w:ind w:left="216"/>
              <w:spacing w:after="0"/>
              <w:rPr>
                <w:sz w:val="20"/>
                <w:szCs w:val="20"/>
                <w:color w:val="auto"/>
              </w:rPr>
            </w:pPr>
            <w:r>
              <w:rPr>
                <w:rFonts w:ascii="Times New Roman" w:cs="Times New Roman" w:eastAsia="Times New Roman" w:hAnsi="Times New Roman"/>
                <w:sz w:val="11"/>
                <w:szCs w:val="11"/>
                <w:b w:val="1"/>
                <w:bCs w:val="1"/>
                <w:color w:val="auto"/>
              </w:rPr>
              <w:t>Customer</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Customer Contracts</w:t>
            </w:r>
          </w:p>
        </w:tc>
        <w:tc>
          <w:tcPr>
            <w:tcW w:w="16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Emission</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Development</w:t>
            </w:r>
          </w:p>
        </w:tc>
        <w:tc>
          <w:tcPr>
            <w:tcW w:w="20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Pr>
          <w:p>
            <w:pPr>
              <w:spacing w:after="0"/>
              <w:rPr>
                <w:sz w:val="11"/>
                <w:szCs w:val="11"/>
                <w:color w:val="auto"/>
              </w:rPr>
            </w:pPr>
          </w:p>
        </w:tc>
        <w:tc>
          <w:tcPr>
            <w:tcW w:w="68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Relationships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Allowances</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Rights</w:t>
            </w: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1, 2016</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7"/>
                <w:szCs w:val="17"/>
                <w:color w:val="auto"/>
              </w:rPr>
            </w:pPr>
          </w:p>
        </w:tc>
        <w:tc>
          <w:tcPr>
            <w:tcW w:w="1000" w:type="dxa"/>
            <w:vAlign w:val="bottom"/>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66</w:t>
            </w:r>
          </w:p>
        </w:tc>
        <w:tc>
          <w:tcPr>
            <w:tcW w:w="12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1,455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2016</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9"/>
              </w:rPr>
              <w:t>66</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1,449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carrying amount</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9"/>
              </w:rPr>
              <w:t>62</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2015</w:t>
            </w:r>
          </w:p>
        </w:tc>
        <w:tc>
          <w:tcPr>
            <w:tcW w:w="240" w:type="dxa"/>
            <w:vAlign w:val="bottom"/>
          </w:tcPr>
          <w:p>
            <w:pPr>
              <w:spacing w:after="0"/>
              <w:rPr>
                <w:sz w:val="17"/>
                <w:szCs w:val="17"/>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00" w:type="dxa"/>
            <w:vAlign w:val="bottom"/>
          </w:tcPr>
          <w:p>
            <w:pPr>
              <w:spacing w:after="0"/>
              <w:rPr>
                <w:sz w:val="17"/>
                <w:szCs w:val="17"/>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000" w:type="dxa"/>
            <w:vAlign w:val="bottom"/>
          </w:tcPr>
          <w:p>
            <w:pPr>
              <w:jc w:val="center"/>
              <w:ind w:left="216"/>
              <w:spacing w:after="0"/>
              <w:rPr>
                <w:sz w:val="20"/>
                <w:szCs w:val="20"/>
                <w:color w:val="auto"/>
              </w:rPr>
            </w:pPr>
            <w:r>
              <w:rPr>
                <w:rFonts w:ascii="Times New Roman" w:cs="Times New Roman" w:eastAsia="Times New Roman" w:hAnsi="Times New Roman"/>
                <w:sz w:val="11"/>
                <w:szCs w:val="11"/>
                <w:b w:val="1"/>
                <w:bCs w:val="1"/>
                <w:color w:val="auto"/>
              </w:rPr>
              <w:t>Customer</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Customer Contracts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Emission</w:t>
            </w: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Development</w:t>
            </w:r>
          </w:p>
        </w:tc>
        <w:tc>
          <w:tcPr>
            <w:tcW w:w="200" w:type="dxa"/>
            <w:vAlign w:val="bottom"/>
          </w:tcPr>
          <w:p>
            <w:pPr>
              <w:spacing w:after="0"/>
              <w:rPr>
                <w:sz w:val="17"/>
                <w:szCs w:val="17"/>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Pr>
          <w:p>
            <w:pPr>
              <w:spacing w:after="0"/>
              <w:rPr>
                <w:sz w:val="17"/>
                <w:szCs w:val="17"/>
                <w:color w:val="auto"/>
              </w:rPr>
            </w:pPr>
          </w:p>
        </w:tc>
        <w:tc>
          <w:tcPr>
            <w:tcW w:w="68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Relationships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Allowances</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Rights</w:t>
            </w: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1, 2015</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7"/>
                <w:szCs w:val="17"/>
                <w:color w:val="auto"/>
              </w:rPr>
            </w:pPr>
          </w:p>
        </w:tc>
        <w:tc>
          <w:tcPr>
            <w:tcW w:w="1000" w:type="dxa"/>
            <w:vAlign w:val="bottom"/>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66</w:t>
            </w:r>
          </w:p>
        </w:tc>
        <w:tc>
          <w:tcPr>
            <w:tcW w:w="12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1,462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2015</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9"/>
              </w:rPr>
              <w:t>66</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1,455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carrying amount</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9"/>
              </w:rPr>
              <w:t>63</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The Company recorded amortization expense of $70 million, $55 million and $30 million during the years ended December 31, 2016, 2015 and 2014. Of these amounts, $69 million, $54 million and $29 million for the years ended December 31, 2016, 2015 and 2014, respectively, were recorded to contract amortization expense and reduced operating revenues in the consolidated statements of income. The Company estimates the future amortization expense for its intangibles to be $71 million for the next five years through 2021.</w:t>
      </w:r>
    </w:p>
    <w:p>
      <w:pPr>
        <w:spacing w:after="0" w:line="92"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Out-of-market contracts </w:t>
      </w:r>
      <w:r>
        <w:rPr>
          <w:rFonts w:ascii="Times New Roman" w:cs="Times New Roman" w:eastAsia="Times New Roman" w:hAnsi="Times New Roman"/>
          <w:sz w:val="14"/>
          <w:szCs w:val="14"/>
          <w:color w:val="auto"/>
        </w:rPr>
        <w:t>— The out-of-market contract liability represents the out-of-market value of the PPAs for the Blythe solar project and Spring Canyon wind projects and the out-of-market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of the land lease for Alta Wind XI Holding Company, LLC, as of their respective acquisition dates. The Blythe solar project's liability of $4 million is recorded to other non-current liabilities on the consolidated balance sheet and is amortized to revenue in the consolidated statements of income on a units-of-production basis over the twenty-year term of the agreement. Spring Canyon's liability of $3 million is recorded to other non-current liabilities and is amortized to revenue on a straight-line basis over the twenty-five year term of the agreement. The Alta Wind XI Holding Company, LLC's liability of $5 million is recorded to other non-current liabilities and is amortized to cost of operations on a straight-line basis over the term of the land lease. At December 31, 2016, accumulated amortization of out-of-market contracts was $3 million and amortization expense was $1 million for the years ended December 31, 2016 and 2015.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9 — </w:t>
      </w:r>
      <w:r>
        <w:rPr>
          <w:rFonts w:ascii="Times New Roman" w:cs="Times New Roman" w:eastAsia="Times New Roman" w:hAnsi="Times New Roman"/>
          <w:sz w:val="14"/>
          <w:szCs w:val="14"/>
          <w:b w:val="1"/>
          <w:bCs w:val="1"/>
          <w:i w:val="1"/>
          <w:iCs w:val="1"/>
          <w:color w:val="auto"/>
        </w:rPr>
        <w:t>Asset Impairments</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During the fourth quarter of 2016, as the Company updated its estimated cash flows in connection with the preparation and review of the Company's annual budget, the Company determined that the cash flows for the Elbow Creek and Goat Wind projects located in Texas and the Forward project in Pennsylvania were below the carrying value of the related assets, primarily driven by declining merchant power prices in post-contract periods, and that the assets were considered impaired. These projects were acquired in connection with the acquisition of the November 2015 Drop Down Assets and were recorded in the Renewables segment of the Company. The projects were recorded at historical cost at acquisition date as they were related to interests under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1460"/>
          </w:cols>
          <w:pgMar w:left="220" w:top="766" w:right="219" w:bottom="1440" w:gutter="0" w:footer="0" w:header="0"/>
        </w:sectPr>
      </w:pPr>
    </w:p>
    <w:bookmarkStart w:id="90" w:name="page91"/>
    <w:bookmarkEnd w:id="90"/>
    <w:p>
      <w:pPr>
        <w:jc w:val="both"/>
        <w:spacing w:after="0" w:line="267" w:lineRule="auto"/>
        <w:rPr>
          <w:sz w:val="20"/>
          <w:szCs w:val="20"/>
          <w:color w:val="auto"/>
        </w:rPr>
      </w:pPr>
      <w:r>
        <w:rPr>
          <w:rFonts w:ascii="Times New Roman" w:cs="Times New Roman" w:eastAsia="Times New Roman" w:hAnsi="Times New Roman"/>
          <w:sz w:val="14"/>
          <w:szCs w:val="14"/>
          <w:color w:val="auto"/>
        </w:rPr>
        <w:t>common control by NRG.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$117 million, $60 million and $6 million for Elbow Creek, Goat Wind, and Forward,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Long-term Debt</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borrowings, including short term and long term portions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Letters of Credit</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2016</w:t>
            </w:r>
          </w:p>
        </w:tc>
        <w:tc>
          <w:tcPr>
            <w:tcW w:w="120" w:type="dxa"/>
            <w:vAlign w:val="bottom"/>
          </w:tcPr>
          <w:p>
            <w:pPr>
              <w:spacing w:after="0"/>
              <w:rPr>
                <w:sz w:val="10"/>
                <w:szCs w:val="10"/>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2015</w:t>
            </w:r>
          </w:p>
        </w:tc>
        <w:tc>
          <w:tcPr>
            <w:tcW w:w="1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Interest rate % </w:t>
            </w:r>
            <w:r>
              <w:rPr>
                <w:rFonts w:ascii="Times New Roman" w:cs="Times New Roman" w:eastAsia="Times New Roman" w:hAnsi="Times New Roman"/>
                <w:sz w:val="7"/>
                <w:szCs w:val="7"/>
                <w:b w:val="1"/>
                <w:bCs w:val="1"/>
                <w:color w:val="auto"/>
              </w:rPr>
              <w:t>(a)</w:t>
            </w: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Outstanding at December 31,</w:t>
            </w:r>
          </w:p>
        </w:tc>
        <w:tc>
          <w:tcPr>
            <w:tcW w:w="0" w:type="dxa"/>
            <w:vAlign w:val="bottom"/>
          </w:tcPr>
          <w:p>
            <w:pPr>
              <w:spacing w:after="0"/>
              <w:rPr>
                <w:sz w:val="1"/>
                <w:szCs w:val="1"/>
                <w:color w:val="auto"/>
              </w:rPr>
            </w:pPr>
          </w:p>
        </w:tc>
      </w:tr>
      <w:tr>
        <w:trPr>
          <w:trHeight w:val="154"/>
        </w:trPr>
        <w:tc>
          <w:tcPr>
            <w:tcW w:w="22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2016</w:t>
            </w:r>
          </w:p>
        </w:tc>
        <w:tc>
          <w:tcPr>
            <w:tcW w:w="0" w:type="dxa"/>
            <w:vAlign w:val="bottom"/>
          </w:tcPr>
          <w:p>
            <w:pPr>
              <w:spacing w:after="0"/>
              <w:rPr>
                <w:sz w:val="1"/>
                <w:szCs w:val="1"/>
                <w:color w:val="auto"/>
              </w:rPr>
            </w:pPr>
          </w:p>
        </w:tc>
      </w:tr>
      <w:tr>
        <w:trPr>
          <w:trHeight w:val="205"/>
        </w:trPr>
        <w:tc>
          <w:tcPr>
            <w:tcW w:w="22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2026 Senior Notes</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2024 Senior Notes</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500</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5.375</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debt - affiliate, due 2020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281</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Long-term debt - affiliate, due 2019</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337</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NRG Yield LLC and NRG Yield Operating LLC Revolving Credit Facility, due 2019 </w:t>
            </w:r>
            <w:r>
              <w:rPr>
                <w:rFonts w:ascii="Times New Roman" w:cs="Times New Roman" w:eastAsia="Times New Roman" w:hAnsi="Times New Roman"/>
                <w:sz w:val="7"/>
                <w:szCs w:val="7"/>
                <w:color w:val="auto"/>
              </w:rPr>
              <w:t>(b)</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306</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L+2.500</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Project-level debt: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Alpine, due 2022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154</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L+1.750</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Wind I, lease financing arrangement, due 2034</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252</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7.015</w:t>
            </w:r>
          </w:p>
        </w:tc>
        <w:tc>
          <w:tcPr>
            <w:tcW w:w="100" w:type="dxa"/>
            <w:vAlign w:val="bottom"/>
          </w:tcPr>
          <w:p>
            <w:pPr>
              <w:spacing w:after="0"/>
              <w:rPr>
                <w:sz w:val="18"/>
                <w:szCs w:val="18"/>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Wind II, lease financing arrangement, due 2034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198</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Wind III, lease financing arrangement, due 2034</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206</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6.067</w:t>
            </w:r>
          </w:p>
        </w:tc>
        <w:tc>
          <w:tcPr>
            <w:tcW w:w="100" w:type="dxa"/>
            <w:vAlign w:val="bottom"/>
          </w:tcPr>
          <w:p>
            <w:pPr>
              <w:spacing w:after="0"/>
              <w:rPr>
                <w:sz w:val="18"/>
                <w:szCs w:val="18"/>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Wind IV, lease financing arrangement, due 2034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133</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Wind V, lease financing arrangement, due 2035</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213</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6.071</w:t>
            </w:r>
          </w:p>
        </w:tc>
        <w:tc>
          <w:tcPr>
            <w:tcW w:w="100" w:type="dxa"/>
            <w:vAlign w:val="bottom"/>
          </w:tcPr>
          <w:p>
            <w:pPr>
              <w:spacing w:after="0"/>
              <w:rPr>
                <w:sz w:val="18"/>
                <w:szCs w:val="18"/>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Realty Investments, due 2031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33</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Wind Asset Management, due 2031</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w:t>
            </w:r>
          </w:p>
        </w:tc>
        <w:tc>
          <w:tcPr>
            <w:tcW w:w="3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L+2.375</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Avra Valley, due 2031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60</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L+1.750</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Blythe, due 2028</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21</w:t>
            </w:r>
          </w:p>
        </w:tc>
        <w:tc>
          <w:tcPr>
            <w:tcW w:w="3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L+1.625</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Borrego, due 2025 and 2038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72</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L+ 2.500/5.650</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CVSR, due 2037</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793</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2.339 - 3.775</w:t>
            </w:r>
          </w:p>
        </w:tc>
        <w:tc>
          <w:tcPr>
            <w:tcW w:w="100" w:type="dxa"/>
            <w:vAlign w:val="bottom"/>
          </w:tcPr>
          <w:p>
            <w:pPr>
              <w:spacing w:after="0"/>
              <w:rPr>
                <w:sz w:val="18"/>
                <w:szCs w:val="18"/>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CVSR Holdco Notes, due 2037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 Segundo Energy Center, due 2023</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485</w:t>
            </w:r>
          </w:p>
        </w:tc>
        <w:tc>
          <w:tcPr>
            <w:tcW w:w="3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L+1.625 - L+2.250</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Energy Center Minneapolis, due 2017 and 2025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108</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5.950 -7.250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Energy Center Minneapolis Series D Notes, due 2031</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3.550</w:t>
            </w:r>
          </w:p>
        </w:tc>
        <w:tc>
          <w:tcPr>
            <w:tcW w:w="100" w:type="dxa"/>
            <w:vAlign w:val="bottom"/>
          </w:tcPr>
          <w:p>
            <w:pPr>
              <w:spacing w:after="0"/>
              <w:rPr>
                <w:sz w:val="18"/>
                <w:szCs w:val="18"/>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Kansas South, due 2031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33</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L+2.000</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Laredo Ridge, due 2028</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104</w:t>
            </w:r>
          </w:p>
        </w:tc>
        <w:tc>
          <w:tcPr>
            <w:tcW w:w="3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L+1.875</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Marsh Landing, due 2017 and 2023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418</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L+1.750 - L+1.875</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PFMG and related subsidiaries financing agreement, due 2030</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29</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100" w:type="dxa"/>
            <w:vAlign w:val="bottom"/>
          </w:tcPr>
          <w:p>
            <w:pPr>
              <w:spacing w:after="0"/>
              <w:rPr>
                <w:sz w:val="18"/>
                <w:szCs w:val="18"/>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Roadrunner, due 2031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40</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L+1.625</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 Trent Wind, due 2020</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62</w:t>
            </w:r>
          </w:p>
        </w:tc>
        <w:tc>
          <w:tcPr>
            <w:tcW w:w="3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L+1.625</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 High Desert, due 2020 and 2032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52</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L+2.500/5.150</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Tapestry, due 2021</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181</w:t>
            </w:r>
          </w:p>
        </w:tc>
        <w:tc>
          <w:tcPr>
            <w:tcW w:w="3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L+1.625</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Viento, due 2023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189</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L+2.750</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Walnut Creek, due 2023</w:t>
            </w:r>
          </w:p>
        </w:tc>
        <w:tc>
          <w:tcPr>
            <w:tcW w:w="14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351</w:t>
            </w:r>
          </w:p>
        </w:tc>
        <w:tc>
          <w:tcPr>
            <w:tcW w:w="3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L+1.625</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WCEP Holdings, due 2023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46</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L+3.000</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w:t>
            </w:r>
          </w:p>
        </w:tc>
        <w:tc>
          <w:tcPr>
            <w:tcW w:w="3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various</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4"/>
        </w:trPr>
        <w:tc>
          <w:tcPr>
            <w:tcW w:w="55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Subtotal project-level debt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4,314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4,254</w:t>
            </w:r>
          </w:p>
        </w:tc>
        <w:tc>
          <w:tcPr>
            <w:tcW w:w="3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Total debt</w:t>
            </w:r>
          </w:p>
        </w:tc>
        <w:tc>
          <w:tcPr>
            <w:tcW w:w="140" w:type="dxa"/>
            <w:vAlign w:val="bottom"/>
          </w:tcPr>
          <w:p>
            <w:pPr>
              <w:spacing w:after="0"/>
              <w:rPr>
                <w:sz w:val="16"/>
                <w:szCs w:val="16"/>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5,782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5,678</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current maturities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264</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Less deferred financing costs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54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53</w:t>
            </w:r>
          </w:p>
        </w:tc>
        <w:tc>
          <w:tcPr>
            <w:tcW w:w="3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long-term debt</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5,446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5,361</w:t>
            </w: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20" w:type="dxa"/>
            <w:vAlign w:val="bottom"/>
            <w:tcBorders>
              <w:bottom w:val="single" w:sz="8" w:color="auto"/>
            </w:tcBorders>
          </w:tcPr>
          <w:p>
            <w:pPr>
              <w:spacing w:after="0"/>
              <w:rPr>
                <w:sz w:val="15"/>
                <w:szCs w:val="15"/>
                <w:color w:val="auto"/>
              </w:rPr>
            </w:pPr>
          </w:p>
        </w:tc>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1460"/>
          </w:cols>
          <w:pgMar w:left="220" w:top="768" w:right="219" w:bottom="1440" w:gutter="0" w:footer="0" w:header="0"/>
        </w:sectPr>
      </w:pPr>
    </w:p>
    <w:bookmarkStart w:id="91" w:name="page92"/>
    <w:bookmarkEnd w:id="91"/>
    <w:p>
      <w:pPr>
        <w:ind w:left="140" w:hanging="134"/>
        <w:spacing w:after="0" w:line="224" w:lineRule="auto"/>
        <w:tabs>
          <w:tab w:leader="none" w:pos="119" w:val="left"/>
        </w:tabs>
        <w:numPr>
          <w:ilvl w:val="0"/>
          <w:numId w:val="3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As of December 31, 2016, L+ equals 3 month LIBOR plus x%, except for the Alpine term loan, Marsh Landing term loan, Walnut Creek term loan, and NRG Yield LLC and NRG Yield Operating LLC Revolving Credit Facility, where L+ equals 1 month LIBOR plus x% and Kansas South and Viento, where L+ equals 6 month LIBOR plus x%.</w:t>
      </w:r>
    </w:p>
    <w:p>
      <w:pPr>
        <w:ind w:left="120" w:hanging="114"/>
        <w:spacing w:after="0"/>
        <w:tabs>
          <w:tab w:leader="none" w:pos="120" w:val="left"/>
        </w:tabs>
        <w:numPr>
          <w:ilvl w:val="0"/>
          <w:numId w:val="3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Applicable rate is determined by the Borrower Leverage Ratio, as defined in the credit agreement.</w:t>
      </w:r>
    </w:p>
    <w:p>
      <w:pPr>
        <w:spacing w:after="0" w:line="121"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the arrangement. As of December 31, 2016, the Company was in compliance with all of the required covenants.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NRG Yield Operating LLC 2026 Senior Notes</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231F20"/>
        </w:rPr>
        <w:t xml:space="preserve">On August 18, 2016, Yield Operating LLC issued $350 million of senior unsecured notes, or the 2026 Senior Notes. The 2026 Senior Notes bear interest at 5.00% and </w:t>
      </w:r>
      <w:r>
        <w:rPr>
          <w:rFonts w:ascii="Times New Roman" w:cs="Times New Roman" w:eastAsia="Times New Roman" w:hAnsi="Times New Roman"/>
          <w:sz w:val="14"/>
          <w:szCs w:val="14"/>
          <w:color w:val="000000"/>
        </w:rPr>
        <w:t>mature on September 15,</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2026. Interest on the notes is payable semi-annually on March 15 and September 15 of each year, and interest payments will commence on March 15, 2017. The 2026 Senior Notes are senior unsecured obligations of Yield Operating LLC and are guaranteed by the Company, and by certain of Yield Operating LLC's wholly owned current and future subsidiaries. A portion of the proceeds of the 2026 Senior Notes were used to repay the Company's revolving credit facility, as described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NRG Yield Operating LLC 2024 Senior Notes</w:t>
      </w:r>
    </w:p>
    <w:p>
      <w:pPr>
        <w:spacing w:after="0" w:line="14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On August 5, 2014, Yield Operating LLC issued $500 million of senior unsecured notes, or the 2024 Senior Notes. The 2024 Senior Notes bear interest at 5.375% and mature in August 2024. Interest on the notes is payable semi-annually on February 15 and August 15 of each year. The 2024 Senior Notes are senior unsecured obligations of Yield Operating LLC and are guaranteed by the Company, and by certain of Yield Operating LLC’s wholly owned current and future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Yield, Inc. 2020 Convertible Senior Notes and Related Intercompany Note</w:t>
      </w:r>
    </w:p>
    <w:p>
      <w:pPr>
        <w:spacing w:after="0" w:line="143"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4"/>
          <w:szCs w:val="14"/>
          <w:color w:val="auto"/>
        </w:rPr>
        <w:t>On June 29, 2015, Yield, Inc. closed on its offering of $287.5 million aggregate principal amount of 3.25% Convertible Senior Notes due 2020, or the 2020 Convertible Notes. The 2020 Convertible Notes are convertible, under certain circumstances, into Yield, Inc.'s Class C common stock, cash or a combination thereof at an initial conversion price of $27.50 per Class C common share, which is equivalent to a conversion rate of approximately 36.3636 shares of Class C common stock per $1,000 principal amount of 2020 Convertible Notes. The Company and Yield Operating LLC provided a guarantee to Yield, Inc. with respect to the 2020 Convertible Notes. In addition, Yield Operating LLC and Yield, Inc. entered into an intercompany borrowing arrangement, under which Yield Operating LLC received $281 million of the proceeds of the 2020 Convertible Notes. The intercompany note bears interest at a rate of 3.325% and matures in 2020.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Yield, Inc. 2019 Convertible Senior Notes and Related Intercompany Note</w:t>
      </w:r>
    </w:p>
    <w:p>
      <w:pPr>
        <w:spacing w:after="0" w:line="14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color w:val="auto"/>
        </w:rPr>
        <w:t>During the first quarter of 2014, Yield, Inc. closed on its offering of $345 million aggregate principal amount of 3.50% Convertible Senior Notes due 2019, or the 2019 Convertible Notes. The 2019 Convertible Notes were convertible, under certain circumstances, into Yield, Inc.’s Class A common stock, cash or a combination thereof at an initial conversion price of $46.55 per Class A common share, which is equivalent to a conversion rate of approximately 42.9644 shares of Class A common stock per $1,000 principal amount of 2019 Convertible Notes in accordance with the terms of the related indenture. The Company and Yield Operating LLC provided a guarantee to Yield, Inc. with respect to the 2019 Convertible Notes. In addition, Yield Operating and Yield, Inc. entered into an intercompany borrowing arrangement, under which Yield Operating borrowed $337 million of the proceeds of the 2019 Convertible Notes. The intercompany note bears interest at a rate of 3.580% and matures in 2019.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NRG Yield LLC and NRG Yield Operating LLC Revolving Credit Facility</w:t>
      </w:r>
    </w:p>
    <w:p>
      <w:pPr>
        <w:spacing w:after="0" w:line="141" w:lineRule="exact"/>
        <w:rPr>
          <w:sz w:val="20"/>
          <w:szCs w:val="20"/>
          <w:color w:val="auto"/>
        </w:rPr>
      </w:pPr>
    </w:p>
    <w:p>
      <w:pPr>
        <w:jc w:val="both"/>
        <w:ind w:firstLine="321"/>
        <w:spacing w:after="0" w:line="275" w:lineRule="auto"/>
        <w:rPr>
          <w:sz w:val="20"/>
          <w:szCs w:val="20"/>
          <w:color w:val="auto"/>
        </w:rPr>
      </w:pPr>
      <w:r>
        <w:rPr>
          <w:rFonts w:ascii="Times New Roman" w:cs="Times New Roman" w:eastAsia="Times New Roman" w:hAnsi="Times New Roman"/>
          <w:sz w:val="14"/>
          <w:szCs w:val="14"/>
          <w:color w:val="auto"/>
        </w:rPr>
        <w:t xml:space="preserve">In connection with the Yield, Inc. initial public offering in July 2013, as further described in Note 1, </w:t>
      </w:r>
      <w:r>
        <w:rPr>
          <w:rFonts w:ascii="Times New Roman" w:cs="Times New Roman" w:eastAsia="Times New Roman" w:hAnsi="Times New Roman"/>
          <w:sz w:val="14"/>
          <w:szCs w:val="14"/>
          <w:i w:val="1"/>
          <w:iCs w:val="1"/>
          <w:color w:val="auto"/>
        </w:rPr>
        <w:t>Nature of Business</w:t>
      </w:r>
      <w:r>
        <w:rPr>
          <w:rFonts w:ascii="Times New Roman" w:cs="Times New Roman" w:eastAsia="Times New Roman" w:hAnsi="Times New Roman"/>
          <w:sz w:val="14"/>
          <w:szCs w:val="14"/>
          <w:color w:val="auto"/>
        </w:rPr>
        <w:t xml:space="preserve">, the Company and Yield Operating LLC entered into a senior secured revolving credit facility, or the Yield Credit Facility, which was amended </w:t>
      </w:r>
      <w:r>
        <w:rPr>
          <w:rFonts w:ascii="Times New Roman" w:cs="Times New Roman" w:eastAsia="Times New Roman" w:hAnsi="Times New Roman"/>
          <w:sz w:val="14"/>
          <w:szCs w:val="14"/>
          <w:color w:val="231F20"/>
        </w:rPr>
        <w:t>on June 26, 2015, to, among other things, increase the availability to $495 million.</w:t>
      </w:r>
      <w:r>
        <w:rPr>
          <w:rFonts w:ascii="Times New Roman" w:cs="Times New Roman" w:eastAsia="Times New Roman" w:hAnsi="Times New Roman"/>
          <w:sz w:val="14"/>
          <w:szCs w:val="14"/>
          <w:color w:val="auto"/>
        </w:rPr>
        <w:t xml:space="preserve"> The Company's revolving credit facility can be used for cash or for the issuance of letters of credit.</w:t>
      </w:r>
    </w:p>
    <w:p>
      <w:pPr>
        <w:spacing w:after="0" w:line="90" w:lineRule="exact"/>
        <w:rPr>
          <w:sz w:val="20"/>
          <w:szCs w:val="20"/>
          <w:color w:val="auto"/>
        </w:rPr>
      </w:pPr>
    </w:p>
    <w:p>
      <w:pPr>
        <w:jc w:val="both"/>
        <w:ind w:firstLine="321"/>
        <w:spacing w:after="0" w:line="294" w:lineRule="auto"/>
        <w:rPr>
          <w:sz w:val="20"/>
          <w:szCs w:val="20"/>
          <w:color w:val="auto"/>
        </w:rPr>
      </w:pPr>
      <w:r>
        <w:rPr>
          <w:rFonts w:ascii="Times New Roman" w:cs="Times New Roman" w:eastAsia="Times New Roman" w:hAnsi="Times New Roman"/>
          <w:sz w:val="14"/>
          <w:szCs w:val="14"/>
          <w:color w:val="231F20"/>
        </w:rPr>
        <w:t xml:space="preserve">During 2015, the Company borrowed $254 million from the revolving credit facility to finance the acquisition of the November 2015 Drop Down Assets as discussed in </w:t>
      </w:r>
      <w:r>
        <w:rPr>
          <w:rFonts w:ascii="Times New Roman" w:cs="Times New Roman" w:eastAsia="Times New Roman" w:hAnsi="Times New Roman"/>
          <w:sz w:val="14"/>
          <w:szCs w:val="14"/>
          <w:color w:val="000000"/>
        </w:rPr>
        <w:t>Note 3,</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Business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Acquisitions</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as well as fund dividend payments and tax equity contributions.</w:t>
      </w:r>
    </w:p>
    <w:p>
      <w:pPr>
        <w:spacing w:after="0" w:line="79" w:lineRule="exact"/>
        <w:rPr>
          <w:sz w:val="20"/>
          <w:szCs w:val="20"/>
          <w:color w:val="auto"/>
        </w:rPr>
      </w:pPr>
    </w:p>
    <w:p>
      <w:pPr>
        <w:jc w:val="both"/>
        <w:ind w:right="360" w:firstLine="321"/>
        <w:spacing w:after="0" w:line="273" w:lineRule="auto"/>
        <w:rPr>
          <w:sz w:val="20"/>
          <w:szCs w:val="20"/>
          <w:color w:val="auto"/>
        </w:rPr>
      </w:pPr>
      <w:r>
        <w:rPr>
          <w:rFonts w:ascii="Times New Roman" w:cs="Times New Roman" w:eastAsia="Times New Roman" w:hAnsi="Times New Roman"/>
          <w:sz w:val="14"/>
          <w:szCs w:val="14"/>
          <w:color w:val="231F20"/>
        </w:rPr>
        <w:t xml:space="preserve">The Company borrowed $60 million from the revolving credit facility and repaid $366 million during the </w:t>
      </w:r>
      <w:r>
        <w:rPr>
          <w:rFonts w:ascii="Times New Roman" w:cs="Times New Roman" w:eastAsia="Times New Roman" w:hAnsi="Times New Roman"/>
          <w:sz w:val="14"/>
          <w:szCs w:val="14"/>
          <w:color w:val="000000"/>
        </w:rPr>
        <w:t>year ended</w:t>
      </w:r>
      <w:r>
        <w:rPr>
          <w:rFonts w:ascii="Times New Roman" w:cs="Times New Roman" w:eastAsia="Times New Roman" w:hAnsi="Times New Roman"/>
          <w:sz w:val="14"/>
          <w:szCs w:val="14"/>
          <w:color w:val="231F20"/>
        </w:rPr>
        <w:t xml:space="preserve"> December 31, 2016. The Company used its pro rata proceeds of </w:t>
      </w:r>
      <w:r>
        <w:rPr>
          <w:rFonts w:ascii="Times New Roman" w:cs="Times New Roman" w:eastAsia="Times New Roman" w:hAnsi="Times New Roman"/>
          <w:sz w:val="14"/>
          <w:szCs w:val="14"/>
          <w:color w:val="000000"/>
        </w:rPr>
        <w:t>$97.5</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million </w:t>
      </w:r>
      <w:r>
        <w:rPr>
          <w:rFonts w:ascii="Times New Roman" w:cs="Times New Roman" w:eastAsia="Times New Roman" w:hAnsi="Times New Roman"/>
          <w:sz w:val="14"/>
          <w:szCs w:val="14"/>
          <w:color w:val="231F20"/>
        </w:rPr>
        <w:t>from the CVSR Holdco Financing Arrangement in July 2016, a portion of its proceeds from the issuance of the 2026 Senior Notes in August 2015, as well as its cash on hand to repay the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outstanding borrowings under the revolving credit facility.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1460"/>
          </w:cols>
          <w:pgMar w:left="220" w:top="754" w:right="219" w:bottom="1440" w:gutter="0" w:footer="0" w:header="0"/>
        </w:sectPr>
      </w:pPr>
    </w:p>
    <w:bookmarkStart w:id="92" w:name="page93"/>
    <w:bookmarkEnd w:id="92"/>
    <w:p>
      <w:pPr>
        <w:ind w:left="320"/>
        <w:spacing w:after="0"/>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2016</w:t>
      </w:r>
      <w:r>
        <w:rPr>
          <w:rFonts w:ascii="Times New Roman" w:cs="Times New Roman" w:eastAsia="Times New Roman" w:hAnsi="Times New Roman"/>
          <w:sz w:val="14"/>
          <w:szCs w:val="14"/>
          <w:color w:val="231F20"/>
        </w:rPr>
        <w:t>, there were no outstanding borrowings and the Company had $60 million of letters of credit outstanding under the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Project - level Debt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Energy Center Minneapolis LLC Series D Notes</w:t>
      </w:r>
    </w:p>
    <w:p>
      <w:pPr>
        <w:spacing w:after="0" w:line="143"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4"/>
          <w:szCs w:val="14"/>
          <w:color w:val="231F20"/>
        </w:rPr>
        <w:t>On October 31, 2016, NRG Energy Center Minneapolis LLC, a subsidiary of the Company, received proceeds of $125 million from the issuance of 3.55% Series D notes due October 31, 2031, or the Series D Notes, and entered into a shelf facility for the anticipated issuance of an additional $70 million of notes at a 4.80% fixed rate. The Series D Notes will be secured by substantially all of the assets of NRG Energy Center Minneapolis LLC. NRG Thermal LLC has guaranteed the indebtedness and its guarantee is secured by a pledge of the equity interests in all of NRG Thermal LLC’s subsidiaries. NRG Energy Center Minneapolis LLC distributed the proceeds of the Series D Notes to NRG Thermal LLC, which in turn distributed the proceeds to NRG Yield Operating LLC to be utilized for general corporate purposes, including potential acquisitions.</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CVSR Holdco Notes, due 2037</w:t>
      </w:r>
    </w:p>
    <w:p>
      <w:pPr>
        <w:spacing w:after="0" w:line="14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231F20"/>
        </w:rPr>
        <w:t xml:space="preserve">On July 15, 2016, CVSR Holdco, the indirect owner of the CVSR solar facility, issued $200 million of senior secured notes under the CVSR Holdco Financing Agreement, or 2037 CVSR Holdco Notes, that bear interest at 4.68% and mature on March 31, 2037. Net proceeds were distributed to the Company and NRG based on their respective ownership as of July 15, 2016, and, accordingly, the Company received net proceeds of </w:t>
      </w:r>
      <w:r>
        <w:rPr>
          <w:rFonts w:ascii="Times New Roman" w:cs="Times New Roman" w:eastAsia="Times New Roman" w:hAnsi="Times New Roman"/>
          <w:sz w:val="14"/>
          <w:szCs w:val="14"/>
          <w:color w:val="000000"/>
        </w:rPr>
        <w:t>$97.5 million</w:t>
      </w:r>
      <w:r>
        <w:rPr>
          <w:rFonts w:ascii="Times New Roman" w:cs="Times New Roman" w:eastAsia="Times New Roman" w:hAnsi="Times New Roman"/>
          <w:sz w:val="14"/>
          <w:szCs w:val="14"/>
          <w:color w:val="231F20"/>
        </w:rPr>
        <w:t>.</w:t>
      </w:r>
    </w:p>
    <w:p>
      <w:pPr>
        <w:spacing w:after="0" w:line="92" w:lineRule="exact"/>
        <w:rPr>
          <w:sz w:val="20"/>
          <w:szCs w:val="20"/>
          <w:color w:val="auto"/>
        </w:rPr>
      </w:pPr>
    </w:p>
    <w:p>
      <w:pPr>
        <w:jc w:val="both"/>
        <w:ind w:firstLine="321"/>
        <w:spacing w:after="0" w:line="275" w:lineRule="auto"/>
        <w:rPr>
          <w:sz w:val="20"/>
          <w:szCs w:val="20"/>
          <w:color w:val="auto"/>
        </w:rPr>
      </w:pPr>
      <w:r>
        <w:rPr>
          <w:rFonts w:ascii="Times New Roman" w:cs="Times New Roman" w:eastAsia="Times New Roman" w:hAnsi="Times New Roman"/>
          <w:sz w:val="14"/>
          <w:szCs w:val="14"/>
          <w:color w:val="231F20"/>
        </w:rPr>
        <w:t xml:space="preserve">As described in </w:t>
      </w:r>
      <w:r>
        <w:rPr>
          <w:rFonts w:ascii="Times New Roman" w:cs="Times New Roman" w:eastAsia="Times New Roman" w:hAnsi="Times New Roman"/>
          <w:sz w:val="14"/>
          <w:szCs w:val="14"/>
          <w:color w:val="000000"/>
        </w:rPr>
        <w:t>Note 3,</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Business Acquisitions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xml:space="preserve"> on September 1, 2016, the Company acquired the remaining </w:t>
      </w:r>
      <w:r>
        <w:rPr>
          <w:rFonts w:ascii="Times New Roman" w:cs="Times New Roman" w:eastAsia="Times New Roman" w:hAnsi="Times New Roman"/>
          <w:sz w:val="14"/>
          <w:szCs w:val="14"/>
          <w:color w:val="000000"/>
        </w:rPr>
        <w:t>51.05%</w:t>
      </w:r>
      <w:r>
        <w:rPr>
          <w:rFonts w:ascii="Times New Roman" w:cs="Times New Roman" w:eastAsia="Times New Roman" w:hAnsi="Times New Roman"/>
          <w:sz w:val="14"/>
          <w:szCs w:val="14"/>
          <w:color w:val="231F20"/>
        </w:rPr>
        <w:t xml:space="preserve"> of CVSR, and assumed </w:t>
      </w:r>
      <w:r>
        <w:rPr>
          <w:rFonts w:ascii="Times New Roman" w:cs="Times New Roman" w:eastAsia="Times New Roman" w:hAnsi="Times New Roman"/>
          <w:sz w:val="14"/>
          <w:szCs w:val="14"/>
          <w:color w:val="000000"/>
        </w:rPr>
        <w:t>additional debt of $496 million, which represents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51.05% of the CVSR project level debt and 51.05% of the 2037 CVSR Holdco Notes. In connection with the retrospective adjustment of prior periods, as described in Note 1, </w:t>
      </w:r>
      <w:r>
        <w:rPr>
          <w:rFonts w:ascii="Times New Roman" w:cs="Times New Roman" w:eastAsia="Times New Roman" w:hAnsi="Times New Roman"/>
          <w:sz w:val="14"/>
          <w:szCs w:val="14"/>
          <w:i w:val="1"/>
          <w:iCs w:val="1"/>
          <w:color w:val="000000"/>
        </w:rPr>
        <w:t>Nature of Business</w:t>
      </w:r>
      <w:r>
        <w:rPr>
          <w:rFonts w:ascii="Times New Roman" w:cs="Times New Roman" w:eastAsia="Times New Roman" w:hAnsi="Times New Roman"/>
          <w:sz w:val="14"/>
          <w:szCs w:val="14"/>
          <w:color w:val="000000"/>
        </w:rPr>
        <w:t>, the Company now consolidates CVSR and 100% of its debt, consisting of $771 million of project level debt and $200 million of 2037 CVSR Holdco Notes as of September 1, 2016.</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Avenal</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On March 18, 2015, Avenal, one of the Company's equity method investments, amended its credit agreement to increase its borrowings by $43 million and to reduce the related interest rate from 6 month LIBOR plus an applicable margin of 2.25% to 6 month LIBOR plus 1.75% from March 18, 2015, through March 17, 2022, 6 month LIBOR plus 2.00% from March 18, 2022, through March 17, 2027, and 6 month LIBOR plus 2.25% from March 18, 2027, through the maturity date. As a result of the credit agreement amendment, the Company received net proceeds of $20 million after fees from its 49.95% ownership in Avenal. Effective September 30, 2015, the Company increased its ownership to 50% by acquiring an additional 0.05% membership interest in Avenal.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financing arrangements</w:t>
      </w:r>
    </w:p>
    <w:p>
      <w:pPr>
        <w:spacing w:after="0" w:line="111" w:lineRule="exact"/>
        <w:rPr>
          <w:sz w:val="20"/>
          <w:szCs w:val="20"/>
          <w:color w:val="auto"/>
        </w:rPr>
      </w:pPr>
    </w:p>
    <w:p>
      <w:pPr>
        <w:jc w:val="both"/>
        <w:ind w:firstLine="321"/>
        <w:spacing w:after="0" w:line="261" w:lineRule="auto"/>
        <w:rPr>
          <w:sz w:val="20"/>
          <w:szCs w:val="20"/>
          <w:color w:val="auto"/>
        </w:rPr>
      </w:pPr>
      <w:r>
        <w:rPr>
          <w:rFonts w:ascii="Times New Roman" w:cs="Times New Roman" w:eastAsia="Times New Roman" w:hAnsi="Times New Roman"/>
          <w:sz w:val="14"/>
          <w:szCs w:val="14"/>
          <w:color w:val="auto"/>
        </w:rPr>
        <w:t>Alta Wind Holdings (Alta Wind II - V) and Alta I (operating entities) have finance lease obligations issued under lease transactions whereby the respective operating entities sold and leased back undivided interests in specific assets of the project. The sale and related lease transactions are accounted for as financing arrangements as the operating entities have continued involvement with the property. The terms and conditions of each facility lease are substantially similar. Each operating entity makes rental payments as stipulated in the facility lease agreements on a semiannual basis every June 30 and December 30 through the final maturity dates. In addition, the operating entities have a credit agreement with a group of lenders that provides for the issuance of letters of credit to support certain operating and debt service obligations. Certain operations and maintenance, as well as rent reserve requirements are satisfied by letters of credit issued under the Yield Operating agreement. As of December 31, 2016, $965 million was outstanding under the finance lease obligations, and $119 million of letters of credit were issued under the credit agreement and $23 million were issued under the Yield Credit Facility.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Interest Rate Swaps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Project Financings</w:t>
      </w:r>
    </w:p>
    <w:p>
      <w:pPr>
        <w:spacing w:after="0" w:line="111"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color w:val="auto"/>
        </w:rPr>
        <w:t xml:space="preserve">Many of the Company's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 In connection with the acquisition of the Alta Wind Portfolio in 2015, as described in Note 3,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 xml:space="preserve">, the Company acquired thirty-one additional interest rate swaps, thirty of which were settled during 2015. During 2015, the Company acquired thirty-two additional interest rate swaps in connection with the January 2015 and November 2015 Drop Downs, as described in Note 3, </w:t>
      </w:r>
      <w:r>
        <w:rPr>
          <w:rFonts w:ascii="Times New Roman" w:cs="Times New Roman" w:eastAsia="Times New Roman" w:hAnsi="Times New Roman"/>
          <w:sz w:val="14"/>
          <w:szCs w:val="14"/>
          <w:i w:val="1"/>
          <w:iCs w:val="1"/>
          <w:color w:val="auto"/>
        </w:rPr>
        <w:t>Business Acquisitions.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1460"/>
          </w:cols>
          <w:pgMar w:left="220" w:top="768" w:right="219" w:bottom="1440" w:gutter="0" w:footer="0" w:header="0"/>
        </w:sectPr>
      </w:pPr>
    </w:p>
    <w:bookmarkStart w:id="93" w:name="page94"/>
    <w:bookmarkEnd w:id="93"/>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swaps, some of which are forward starting as indicated, related to the Company's project level debt as of December 31, 2016:</w:t>
      </w:r>
    </w:p>
    <w:p>
      <w:pPr>
        <w:spacing w:after="0" w:line="126"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Fixed Interest</w:t>
            </w: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Notional Amount at</w:t>
            </w: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 of Principal</w:t>
            </w:r>
          </w:p>
        </w:tc>
        <w:tc>
          <w:tcPr>
            <w:tcW w:w="120" w:type="dxa"/>
            <w:vAlign w:val="bottom"/>
            <w:vMerge w:val="restart"/>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8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Floating Interest Rate</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ind w:right="23"/>
              <w:spacing w:after="0" w:line="118" w:lineRule="exact"/>
              <w:rPr>
                <w:sz w:val="20"/>
                <w:szCs w:val="20"/>
                <w:color w:val="auto"/>
              </w:rPr>
            </w:pPr>
            <w:r>
              <w:rPr>
                <w:rFonts w:ascii="Times New Roman" w:cs="Times New Roman" w:eastAsia="Times New Roman" w:hAnsi="Times New Roman"/>
                <w:sz w:val="11"/>
                <w:szCs w:val="11"/>
                <w:b w:val="1"/>
                <w:bCs w:val="1"/>
                <w:color w:val="auto"/>
              </w:rPr>
              <w:t>December 31, 2016</w:t>
            </w:r>
          </w:p>
        </w:tc>
        <w:tc>
          <w:tcPr>
            <w:tcW w:w="100" w:type="dxa"/>
            <w:vAlign w:val="bottom"/>
          </w:tcPr>
          <w:p>
            <w:pPr>
              <w:spacing w:after="0"/>
              <w:rPr>
                <w:sz w:val="10"/>
                <w:szCs w:val="10"/>
                <w:color w:val="auto"/>
              </w:rPr>
            </w:pPr>
          </w:p>
        </w:tc>
        <w:tc>
          <w:tcPr>
            <w:tcW w:w="158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0" w:type="dxa"/>
            <w:vAlign w:val="bottom"/>
            <w:vMerge w:val="restart"/>
          </w:tcPr>
          <w:p>
            <w:pPr>
              <w:spacing w:after="0"/>
              <w:rPr>
                <w:sz w:val="10"/>
                <w:szCs w:val="10"/>
                <w:color w:val="auto"/>
              </w:rPr>
            </w:pP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0" w:type="dxa"/>
            <w:vAlign w:val="bottom"/>
          </w:tcPr>
          <w:p>
            <w:pPr>
              <w:spacing w:after="0"/>
              <w:rPr>
                <w:sz w:val="1"/>
                <w:szCs w:val="1"/>
                <w:color w:val="auto"/>
              </w:rPr>
            </w:pPr>
          </w:p>
        </w:tc>
      </w:tr>
      <w:tr>
        <w:trPr>
          <w:trHeight w:val="154"/>
        </w:trPr>
        <w:tc>
          <w:tcPr>
            <w:tcW w:w="31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8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Rate</w:t>
            </w:r>
          </w:p>
        </w:tc>
        <w:tc>
          <w:tcPr>
            <w:tcW w:w="12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Alpine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2.744%</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31, 2029</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Alpine</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2.421%</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24, 2014</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June 30, 2025</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Avra Valley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2.333%</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30, 2012</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30, 2030</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AWAM</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May 22, 2013</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May 15, 2031</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Blythe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3.563%</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25, 2010</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25, 2028</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Borrego</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April 3, 2013</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June 30, 2020</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 Segundo</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2.417%</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30, 2011</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31, 2023</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Kansas South</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6-Month LIBOR</w:t>
            </w:r>
          </w:p>
        </w:tc>
        <w:tc>
          <w:tcPr>
            <w:tcW w:w="8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28, 2013</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December 31, 2030</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Laredo Ridge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March 31, 2011</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March 31, 2026</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Marsh Landing</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3.244%</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342</w:t>
            </w: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28, 2013</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June 30, 2023</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Roadrunner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4.313%</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September 30, 2011</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31, 2029</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 Trent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3.265%</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15, 2010</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June 14, 2020</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 Trent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30, 2020</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14, 2028</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Tapestry</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30, 2011</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December 21, 2021</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Tapestry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21, 2021</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21, 2029</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Viento Funding II</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various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6-mo. LIBOR</w:t>
            </w:r>
          </w:p>
        </w:tc>
        <w:tc>
          <w:tcPr>
            <w:tcW w:w="8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Viento Funding II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4.985%</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6-mo. LIBOR</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11, 2023</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30, 2028</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Walnut Creek Energy</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various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28, 2013</w:t>
            </w:r>
          </w:p>
        </w:tc>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May 31, 2023</w:t>
            </w:r>
          </w:p>
        </w:tc>
        <w:tc>
          <w:tcPr>
            <w:tcW w:w="0" w:type="dxa"/>
            <w:vAlign w:val="bottom"/>
          </w:tcPr>
          <w:p>
            <w:pPr>
              <w:spacing w:after="0"/>
              <w:rPr>
                <w:sz w:val="1"/>
                <w:szCs w:val="1"/>
                <w:color w:val="auto"/>
              </w:rPr>
            </w:pPr>
          </w:p>
        </w:tc>
      </w:tr>
      <w:tr>
        <w:trPr>
          <w:trHeight w:val="214"/>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WCEP Holdings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4.003%</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3-Month LIBOR</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28, 2013</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31, 2023</w:t>
            </w:r>
          </w:p>
        </w:tc>
        <w:tc>
          <w:tcPr>
            <w:tcW w:w="0" w:type="dxa"/>
            <w:vAlign w:val="bottom"/>
          </w:tcPr>
          <w:p>
            <w:pPr>
              <w:spacing w:after="0"/>
              <w:rPr>
                <w:sz w:val="1"/>
                <w:szCs w:val="1"/>
                <w:color w:val="auto"/>
              </w:rPr>
            </w:pPr>
          </w:p>
        </w:tc>
      </w:tr>
      <w:tr>
        <w:trPr>
          <w:trHeight w:val="18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1,839</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Annual Maturities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Annual payments based on the maturities of the Company's debt, for the years ending after December 31, 2016,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40" w:type="dxa"/>
            <w:vAlign w:val="bottom"/>
            <w:tcBorders>
              <w:bottom w:val="single" w:sz="8" w:color="CCEEFF"/>
            </w:tcBorders>
          </w:tcPr>
          <w:p>
            <w:pPr>
              <w:spacing w:after="0"/>
              <w:rPr>
                <w:sz w:val="13"/>
                <w:szCs w:val="13"/>
                <w:color w:val="auto"/>
              </w:rPr>
            </w:pPr>
          </w:p>
        </w:tc>
        <w:tc>
          <w:tcPr>
            <w:tcW w:w="66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89"/>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w:t>
            </w:r>
          </w:p>
        </w:tc>
        <w:tc>
          <w:tcPr>
            <w:tcW w:w="6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282</w:t>
            </w:r>
          </w:p>
        </w:tc>
      </w:tr>
      <w:tr>
        <w:trPr>
          <w:trHeight w:val="192"/>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292</w:t>
            </w:r>
          </w:p>
        </w:tc>
      </w:tr>
      <w:tr>
        <w:trPr>
          <w:trHeight w:val="22"/>
        </w:trPr>
        <w:tc>
          <w:tcPr>
            <w:tcW w:w="3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4"/>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6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643</w:t>
            </w:r>
          </w:p>
        </w:tc>
      </w:tr>
      <w:tr>
        <w:trPr>
          <w:trHeight w:val="192"/>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634</w:t>
            </w:r>
          </w:p>
        </w:tc>
      </w:tr>
      <w:tr>
        <w:trPr>
          <w:trHeight w:val="22"/>
        </w:trPr>
        <w:tc>
          <w:tcPr>
            <w:tcW w:w="3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4"/>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6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439</w:t>
            </w:r>
          </w:p>
        </w:tc>
      </w:tr>
      <w:tr>
        <w:trPr>
          <w:trHeight w:val="192"/>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3,492</w:t>
            </w:r>
          </w:p>
        </w:tc>
      </w:tr>
      <w:tr>
        <w:trPr>
          <w:trHeight w:val="22"/>
        </w:trPr>
        <w:tc>
          <w:tcPr>
            <w:tcW w:w="314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5,782</w:t>
            </w:r>
          </w:p>
        </w:tc>
      </w:tr>
      <w:tr>
        <w:trPr>
          <w:trHeight w:val="783"/>
        </w:trPr>
        <w:tc>
          <w:tcPr>
            <w:tcW w:w="3140" w:type="dxa"/>
            <w:vAlign w:val="bottom"/>
          </w:tcPr>
          <w:p>
            <w:pPr>
              <w:spacing w:after="0"/>
              <w:rPr>
                <w:sz w:val="24"/>
                <w:szCs w:val="24"/>
                <w:color w:val="auto"/>
              </w:rPr>
            </w:pPr>
          </w:p>
        </w:tc>
        <w:tc>
          <w:tcPr>
            <w:tcW w:w="6660" w:type="dxa"/>
            <w:vAlign w:val="bottom"/>
          </w:tcPr>
          <w:p>
            <w:pPr>
              <w:jc w:val="right"/>
              <w:ind w:right="3929"/>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20" w:top="768" w:right="2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color w:val="auto"/>
        </w:rPr>
        <w:t xml:space="preserve">Note 11 — </w:t>
      </w:r>
      <w:r>
        <w:rPr>
          <w:rFonts w:ascii="Times New Roman" w:cs="Times New Roman" w:eastAsia="Times New Roman" w:hAnsi="Times New Roman"/>
          <w:sz w:val="14"/>
          <w:szCs w:val="14"/>
          <w:b w:val="1"/>
          <w:bCs w:val="1"/>
          <w:i w:val="1"/>
          <w:iCs w:val="1"/>
          <w:color w:val="auto"/>
        </w:rPr>
        <w:t>Members' Equity</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distributions paid on the Company's Class A, Class B, Class C and Class D units during the year ended December 31,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2016</w:t>
            </w:r>
          </w:p>
        </w:tc>
        <w:tc>
          <w:tcPr>
            <w:tcW w:w="16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Third Quarter 2016</w:t>
            </w: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2016</w:t>
            </w:r>
          </w:p>
        </w:tc>
        <w:tc>
          <w:tcPr>
            <w:tcW w:w="140" w:type="dxa"/>
            <w:vAlign w:val="bottom"/>
          </w:tcPr>
          <w:p>
            <w:pPr>
              <w:spacing w:after="0"/>
              <w:rPr>
                <w:sz w:val="13"/>
                <w:szCs w:val="13"/>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First Quarter 2016</w:t>
            </w:r>
          </w:p>
        </w:tc>
      </w:tr>
      <w:tr>
        <w:trPr>
          <w:trHeight w:val="189"/>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0.225</w:t>
            </w:r>
          </w:p>
        </w:tc>
      </w:tr>
      <w:tr>
        <w:trPr>
          <w:trHeight w:val="192"/>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0.225</w:t>
            </w:r>
          </w:p>
        </w:tc>
      </w:tr>
    </w:tbl>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February 15, 2017, the Company declared a quarterly distribution on its Class A, Class B, Class C and Class D units of $0.26 per share payable on March 15, 2017.</w:t>
      </w:r>
    </w:p>
    <w:p>
      <w:pPr>
        <w:spacing w:after="0" w:line="137"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color w:val="auto"/>
        </w:rPr>
        <w:t xml:space="preserve">During 2016, 2015, and 2014, the Company acquired the Drop Down Assets from NRG, as described in Note 3,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 The difference between the cash paid and historical value of the CVSR Drop Down of $112 million was recorded as a distribution to NRG and reduced the balance of its contributed capital in 2016. The difference between the cash paid and historical value of the January 2015 and November 2015 Drop Down Assets of $109 million was recorded as a contribution from NRG and increased the balance of its contributed capital in 2015. The difference between the cash paid and historical value of the June 2014 Drop Down Assets of $113 million was recorded as a distribution to NRG and reduced the balance of its contributed capital in 2014. Prior to the date of acquisition, certain of the projects made distributions to NRG and NRG made contributions into certain projects. These amounts are reflected within the Company’s statement of stockholders’ equity as changes in the contributed capital balance. In addition, NRG maintained a 25% ownership interest in the Class B interests of NRG Wind TE Holdco. This 25% interest is also reflected within the Company’s noncontrolling interest balance.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Segment Reporting</w:t>
      </w:r>
    </w:p>
    <w:p>
      <w:pPr>
        <w:spacing w:after="0" w:line="141"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generated more than 10% of its revenues from the following customers for the years ended December 31, 2016, 2015 and 2014:</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340" w:type="dxa"/>
            <w:vAlign w:val="bottom"/>
          </w:tcPr>
          <w:p>
            <w:pPr>
              <w:spacing w:after="0"/>
              <w:rPr>
                <w:sz w:val="13"/>
                <w:szCs w:val="13"/>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2016</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2015</w:t>
            </w: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143"/>
              <w:spacing w:after="0"/>
              <w:rPr>
                <w:sz w:val="20"/>
                <w:szCs w:val="20"/>
                <w:color w:val="auto"/>
              </w:rPr>
            </w:pPr>
            <w:r>
              <w:rPr>
                <w:rFonts w:ascii="Times New Roman" w:cs="Times New Roman" w:eastAsia="Times New Roman" w:hAnsi="Times New Roman"/>
                <w:sz w:val="11"/>
                <w:szCs w:val="11"/>
                <w:b w:val="1"/>
                <w:bCs w:val="1"/>
                <w:color w:val="auto"/>
              </w:rPr>
              <w:t>2014</w:t>
            </w:r>
          </w:p>
        </w:tc>
      </w:tr>
      <w:tr>
        <w:trPr>
          <w:trHeight w:val="20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Conventional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Renewables (%)</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Conventional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Renewables (%)</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1"/>
                <w:szCs w:val="11"/>
                <w:b w:val="1"/>
                <w:bCs w:val="1"/>
                <w:color w:val="auto"/>
              </w:rPr>
              <w:t>Conventional (%)</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Renewables (%)</w:t>
            </w:r>
          </w:p>
        </w:tc>
      </w:tr>
      <w:tr>
        <w:trPr>
          <w:trHeight w:val="179"/>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ind w:right="58"/>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ind w:right="58"/>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center"/>
              <w:ind w:left="78"/>
              <w:spacing w:after="0"/>
              <w:rPr>
                <w:sz w:val="20"/>
                <w:szCs w:val="20"/>
                <w:color w:val="auto"/>
              </w:rPr>
            </w:pPr>
            <w:r>
              <w:rPr>
                <w:rFonts w:ascii="Times New Roman" w:cs="Times New Roman" w:eastAsia="Times New Roman" w:hAnsi="Times New Roman"/>
                <w:sz w:val="13"/>
                <w:szCs w:val="13"/>
                <w:color w:val="auto"/>
              </w:rPr>
              <w:t>24%</w:t>
            </w:r>
          </w:p>
        </w:tc>
        <w:tc>
          <w:tcPr>
            <w:tcW w:w="1480" w:type="dxa"/>
            <w:vAlign w:val="bottom"/>
            <w:tcBorders>
              <w:bottom w:val="single" w:sz="8" w:color="CCEEFF"/>
            </w:tcBorders>
            <w:gridSpan w:val="3"/>
            <w:shd w:val="clear" w:color="auto" w:fill="CCEEFF"/>
          </w:tcPr>
          <w:p>
            <w:pPr>
              <w:jc w:val="right"/>
              <w:ind w:right="483"/>
              <w:spacing w:after="0"/>
              <w:rPr>
                <w:sz w:val="20"/>
                <w:szCs w:val="20"/>
                <w:color w:val="auto"/>
              </w:rPr>
            </w:pPr>
            <w:r>
              <w:rPr>
                <w:rFonts w:ascii="Times New Roman" w:cs="Times New Roman" w:eastAsia="Times New Roman" w:hAnsi="Times New Roman"/>
                <w:sz w:val="13"/>
                <w:szCs w:val="13"/>
                <w:color w:val="auto"/>
              </w:rPr>
              <w:t>7%</w:t>
            </w:r>
          </w:p>
        </w:tc>
      </w:tr>
      <w:tr>
        <w:trPr>
          <w:trHeight w:val="188"/>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PG&amp;E</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8"/>
              <w:spacing w:after="0"/>
              <w:rPr>
                <w:sz w:val="20"/>
                <w:szCs w:val="20"/>
                <w:color w:val="auto"/>
              </w:rPr>
            </w:pPr>
            <w:r>
              <w:rPr>
                <w:rFonts w:ascii="Times New Roman" w:cs="Times New Roman" w:eastAsia="Times New Roman" w:hAnsi="Times New Roman"/>
                <w:sz w:val="13"/>
                <w:szCs w:val="13"/>
                <w:color w:val="auto"/>
                <w:w w:val="92"/>
              </w:rPr>
              <w:t>11%</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6"/>
                <w:szCs w:val="16"/>
                <w:color w:val="auto"/>
              </w:rPr>
            </w:pPr>
          </w:p>
        </w:tc>
        <w:tc>
          <w:tcPr>
            <w:tcW w:w="1140" w:type="dxa"/>
            <w:vAlign w:val="bottom"/>
          </w:tcPr>
          <w:p>
            <w:pPr>
              <w:jc w:val="center"/>
              <w:ind w:left="78"/>
              <w:spacing w:after="0"/>
              <w:rPr>
                <w:sz w:val="20"/>
                <w:szCs w:val="20"/>
                <w:color w:val="auto"/>
              </w:rPr>
            </w:pPr>
            <w:r>
              <w:rPr>
                <w:rFonts w:ascii="Times New Roman" w:cs="Times New Roman" w:eastAsia="Times New Roman" w:hAnsi="Times New Roman"/>
                <w:sz w:val="13"/>
                <w:szCs w:val="13"/>
                <w:color w:val="auto"/>
              </w:rPr>
              <w:t>15%</w:t>
            </w:r>
          </w:p>
        </w:tc>
        <w:tc>
          <w:tcPr>
            <w:tcW w:w="1480" w:type="dxa"/>
            <w:vAlign w:val="bottom"/>
            <w:gridSpan w:val="3"/>
          </w:tcPr>
          <w:p>
            <w:pPr>
              <w:jc w:val="right"/>
              <w:ind w:right="443"/>
              <w:spacing w:after="0"/>
              <w:rPr>
                <w:sz w:val="20"/>
                <w:szCs w:val="20"/>
                <w:color w:val="auto"/>
              </w:rPr>
            </w:pPr>
            <w:r>
              <w:rPr>
                <w:rFonts w:ascii="Times New Roman" w:cs="Times New Roman" w:eastAsia="Times New Roman" w:hAnsi="Times New Roman"/>
                <w:sz w:val="13"/>
                <w:szCs w:val="13"/>
                <w:color w:val="auto"/>
              </w:rPr>
              <w:t>13%</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460"/>
          </w:cols>
          <w:pgMar w:left="220" w:top="764"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54"/>
        </w:trPr>
        <w:tc>
          <w:tcPr>
            <w:tcW w:w="22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Year ended December 31, 2016</w:t>
            </w: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200" w:type="dxa"/>
            <w:vAlign w:val="bottom"/>
          </w:tcPr>
          <w:p>
            <w:pPr>
              <w:spacing w:after="0"/>
              <w:rPr>
                <w:sz w:val="10"/>
                <w:szCs w:val="10"/>
                <w:color w:val="auto"/>
              </w:rPr>
            </w:pPr>
          </w:p>
        </w:tc>
        <w:tc>
          <w:tcPr>
            <w:tcW w:w="96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5260" w:type="dxa"/>
            <w:vAlign w:val="bottom"/>
            <w:tcBorders>
              <w:bottom w:val="single" w:sz="8" w:color="CCEEFF"/>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518</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1,021</w:t>
            </w:r>
          </w:p>
        </w:tc>
        <w:tc>
          <w:tcPr>
            <w:tcW w:w="0" w:type="dxa"/>
            <w:vAlign w:val="bottom"/>
          </w:tcPr>
          <w:p>
            <w:pPr>
              <w:spacing w:after="0"/>
              <w:rPr>
                <w:sz w:val="1"/>
                <w:szCs w:val="1"/>
                <w:color w:val="auto"/>
              </w:rPr>
            </w:pPr>
          </w:p>
        </w:tc>
      </w:tr>
      <w:tr>
        <w:trPr>
          <w:trHeight w:val="18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operations</w:t>
            </w:r>
          </w:p>
        </w:tc>
        <w:tc>
          <w:tcPr>
            <w:tcW w:w="18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297</w:t>
            </w:r>
          </w:p>
        </w:tc>
        <w:tc>
          <w:tcPr>
            <w:tcW w:w="0" w:type="dxa"/>
            <w:vAlign w:val="bottom"/>
          </w:tcPr>
          <w:p>
            <w:pPr>
              <w:spacing w:after="0"/>
              <w:rPr>
                <w:sz w:val="1"/>
                <w:szCs w:val="1"/>
                <w:color w:val="auto"/>
              </w:rPr>
            </w:pPr>
          </w:p>
        </w:tc>
      </w:tr>
      <w:tr>
        <w:trPr>
          <w:trHeight w:val="18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Impairment losses</w:t>
            </w: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Acquisition-related transaction and integration costs</w:t>
            </w: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22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8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8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26"/>
        </w:trPr>
        <w:tc>
          <w:tcPr>
            <w:tcW w:w="22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 in affiliates</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604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710</w:t>
            </w:r>
          </w:p>
        </w:tc>
        <w:tc>
          <w:tcPr>
            <w:tcW w:w="0" w:type="dxa"/>
            <w:vAlign w:val="bottom"/>
          </w:tcPr>
          <w:p>
            <w:pPr>
              <w:spacing w:after="0"/>
              <w:rPr>
                <w:sz w:val="1"/>
                <w:szCs w:val="1"/>
                <w:color w:val="auto"/>
              </w:rPr>
            </w:pPr>
          </w:p>
        </w:tc>
      </w:tr>
      <w:tr>
        <w:trPr>
          <w:trHeight w:val="21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7"/>
                <w:szCs w:val="17"/>
                <w:color w:val="auto"/>
                <w:vertAlign w:val="superscript"/>
              </w:rPr>
              <w:t>(a)</w:t>
            </w:r>
          </w:p>
        </w:tc>
        <w:tc>
          <w:tcPr>
            <w:tcW w:w="1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9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1,993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5,535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8,167</w:t>
            </w:r>
          </w:p>
        </w:tc>
        <w:tc>
          <w:tcPr>
            <w:tcW w:w="0" w:type="dxa"/>
            <w:vAlign w:val="bottom"/>
          </w:tcPr>
          <w:p>
            <w:pPr>
              <w:spacing w:after="0"/>
              <w:rPr>
                <w:sz w:val="1"/>
                <w:szCs w:val="1"/>
                <w:color w:val="auto"/>
              </w:rPr>
            </w:pPr>
          </w:p>
        </w:tc>
      </w:tr>
      <w:tr>
        <w:trPr>
          <w:trHeight w:val="204"/>
        </w:trPr>
        <w:tc>
          <w:tcPr>
            <w:tcW w:w="2200" w:type="dxa"/>
            <w:vAlign w:val="bottom"/>
            <w:tcBorders>
              <w:bottom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26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 xml:space="preserve">(a) </w:t>
            </w:r>
            <w:r>
              <w:rPr>
                <w:rFonts w:ascii="Times New Roman" w:cs="Times New Roman" w:eastAsia="Times New Roman" w:hAnsi="Times New Roman"/>
                <w:sz w:val="11"/>
                <w:szCs w:val="11"/>
                <w:color w:val="auto"/>
              </w:rPr>
              <w:t>Includes accruals.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2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Year ended December 31, 2015</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200" w:type="dxa"/>
            <w:vAlign w:val="bottom"/>
          </w:tcPr>
          <w:p>
            <w:pPr>
              <w:spacing w:after="0"/>
              <w:rPr>
                <w:sz w:val="10"/>
                <w:szCs w:val="10"/>
                <w:color w:val="auto"/>
              </w:rPr>
            </w:pPr>
          </w:p>
        </w:tc>
        <w:tc>
          <w:tcPr>
            <w:tcW w:w="96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5260" w:type="dxa"/>
            <w:vAlign w:val="bottom"/>
            <w:tcBorders>
              <w:bottom w:val="single" w:sz="8" w:color="CCEEFF"/>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443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953</w:t>
            </w:r>
          </w:p>
        </w:tc>
        <w:tc>
          <w:tcPr>
            <w:tcW w:w="0" w:type="dxa"/>
            <w:vAlign w:val="bottom"/>
          </w:tcPr>
          <w:p>
            <w:pPr>
              <w:spacing w:after="0"/>
              <w:rPr>
                <w:sz w:val="1"/>
                <w:szCs w:val="1"/>
                <w:color w:val="auto"/>
              </w:rPr>
            </w:pPr>
          </w:p>
        </w:tc>
      </w:tr>
      <w:tr>
        <w:trPr>
          <w:trHeight w:val="18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operations</w:t>
            </w:r>
          </w:p>
        </w:tc>
        <w:tc>
          <w:tcPr>
            <w:tcW w:w="18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321</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297</w:t>
            </w:r>
          </w:p>
        </w:tc>
        <w:tc>
          <w:tcPr>
            <w:tcW w:w="0" w:type="dxa"/>
            <w:vAlign w:val="bottom"/>
          </w:tcPr>
          <w:p>
            <w:pPr>
              <w:spacing w:after="0"/>
              <w:rPr>
                <w:sz w:val="1"/>
                <w:szCs w:val="1"/>
                <w:color w:val="auto"/>
              </w:rPr>
            </w:pPr>
          </w:p>
        </w:tc>
      </w:tr>
      <w:tr>
        <w:trPr>
          <w:trHeight w:val="18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Acquisition-related transaction and integration costs</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8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8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26"/>
        </w:trPr>
        <w:tc>
          <w:tcPr>
            <w:tcW w:w="52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587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697</w:t>
            </w:r>
          </w:p>
        </w:tc>
        <w:tc>
          <w:tcPr>
            <w:tcW w:w="0" w:type="dxa"/>
            <w:vAlign w:val="bottom"/>
          </w:tcPr>
          <w:p>
            <w:pPr>
              <w:spacing w:after="0"/>
              <w:rPr>
                <w:sz w:val="1"/>
                <w:szCs w:val="1"/>
                <w:color w:val="auto"/>
              </w:rPr>
            </w:pPr>
          </w:p>
        </w:tc>
      </w:tr>
      <w:tr>
        <w:trPr>
          <w:trHeight w:val="21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7"/>
                <w:szCs w:val="17"/>
                <w:color w:val="auto"/>
                <w:vertAlign w:val="superscript"/>
              </w:rPr>
              <w:t>(a)</w:t>
            </w:r>
          </w:p>
        </w:tc>
        <w:tc>
          <w:tcPr>
            <w:tcW w:w="1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88"/>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2,102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5,970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8,522</w:t>
            </w:r>
          </w:p>
        </w:tc>
        <w:tc>
          <w:tcPr>
            <w:tcW w:w="0" w:type="dxa"/>
            <w:vAlign w:val="bottom"/>
          </w:tcPr>
          <w:p>
            <w:pPr>
              <w:spacing w:after="0"/>
              <w:rPr>
                <w:sz w:val="1"/>
                <w:szCs w:val="1"/>
                <w:color w:val="auto"/>
              </w:rPr>
            </w:pPr>
          </w:p>
        </w:tc>
      </w:tr>
      <w:tr>
        <w:trPr>
          <w:trHeight w:val="26"/>
        </w:trPr>
        <w:tc>
          <w:tcPr>
            <w:tcW w:w="220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3881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(a) </w:t>
      </w:r>
      <w:r>
        <w:rPr>
          <w:rFonts w:ascii="Times New Roman" w:cs="Times New Roman" w:eastAsia="Times New Roman" w:hAnsi="Times New Roman"/>
          <w:sz w:val="11"/>
          <w:szCs w:val="11"/>
          <w:color w:val="auto"/>
        </w:rPr>
        <w:t>Includes accruals.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1440"/>
          </w:cols>
          <w:pgMar w:left="220" w:top="945"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Year ended December 31, 2014</w:t>
            </w: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0"/>
                <w:szCs w:val="10"/>
                <w:color w:val="auto"/>
              </w:rPr>
            </w:pPr>
          </w:p>
        </w:tc>
        <w:tc>
          <w:tcPr>
            <w:tcW w:w="110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200" w:type="dxa"/>
            <w:vAlign w:val="bottom"/>
          </w:tcPr>
          <w:p>
            <w:pPr>
              <w:spacing w:after="0"/>
              <w:rPr>
                <w:sz w:val="10"/>
                <w:szCs w:val="10"/>
                <w:color w:val="auto"/>
              </w:rPr>
            </w:pPr>
          </w:p>
        </w:tc>
        <w:tc>
          <w:tcPr>
            <w:tcW w:w="96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52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828</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operations</w:t>
            </w:r>
          </w:p>
        </w:tc>
        <w:tc>
          <w:tcPr>
            <w:tcW w:w="18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Acquisition-related transaction and integration costs</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26"/>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1440"/>
          </w:cols>
          <w:pgMar w:left="220" w:top="945"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color w:val="auto"/>
        </w:rPr>
        <w:t>Note 13 — Related Party Transactions</w:t>
      </w:r>
    </w:p>
    <w:p>
      <w:pPr>
        <w:spacing w:after="0" w:line="141"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NRG provide services to the Company's project entities. Amounts due to NRG subsidiaries are recorded as accounts payable — affiliate and amounts due to the Company from NRG subsidiaries are recorded as accounts receivable — affiliate in the Company's balance sheet. The disclosures below summarize the Company's material related party transactions with NRG and its subsidiaries that are included in the Company's operating revenues, operating costs and other income and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Power Hedge Contracts by and between Renewable Entities and NRG Texas Power LLC</w:t>
      </w:r>
    </w:p>
    <w:p>
      <w:pPr>
        <w:spacing w:after="0" w:line="143"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4"/>
          <w:szCs w:val="14"/>
          <w:color w:val="auto"/>
        </w:rPr>
        <w:t>Certain NRG Wind TE Holdco entities, which are subsidiaries in the Renewables segment, entered into power hedge contracts with NRG Texas Power LLC, a subsidiary of NRG, and generated $16 million and $12 million of revenues during the years ended December 31, 2015 and 2014, respectively. Included in the revenues for the years ended December 31, 2015 and 2014 are unrealized losses and gains, respectively, on forward contracts with NRG Texas Power LLC hedging the sale of power from Elbow Creek, extending through the end of 2015, as further described in Note 7</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Accounting for Derivative Instruments and Hedging Activities</w:t>
      </w:r>
      <w:r>
        <w:rPr>
          <w:rFonts w:ascii="Times New Roman" w:cs="Times New Roman" w:eastAsia="Times New Roman" w:hAnsi="Times New Roman"/>
          <w:sz w:val="14"/>
          <w:szCs w:val="14"/>
          <w:color w:val="auto"/>
        </w:rPr>
        <w:t>. Effective October 2015, Elbow Creek entered into a PPA with NRG Power Marketing LLC, or NRG Power Marketing, a wholly-owned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subsidiary of NRG, as further described below, and the hedge agreement between Elbow Creek and NRG Texas Power LLC was terminated.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PPA by and between Elbow Creek and NRG</w:t>
      </w:r>
    </w:p>
    <w:p>
      <w:pPr>
        <w:spacing w:after="0" w:line="143"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In October 2015, Elbow Creek, the Company's subsidiary in the Renewables segment, entered into a PPA with NRG Power Marketing for the sale of energy and environmental attributes with the effective date of November 1, 2015, and an expiration date of October 31, 2022. Elbow Creek generated $8 million of revenue during the year ended December 31, 2016.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PPA by and between NRG Energy Center Dover LLC and NRG</w:t>
      </w:r>
    </w:p>
    <w:p>
      <w:pPr>
        <w:spacing w:after="0" w:line="14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In February 2016, NRG Energy Center Dover LLC, or NRG Dover, a subsidiary of the Company, entered into a PPA with NRG Power Marketing for the sale of energy and environmental attributes with an effective date of February 1, 2016 and expiration date of December 31, 2018. NRG Dover generated $5 million of revenue during the year ended December 31, 2016. The agreement in place is in addition to the existing Power Sales and Services Agreement described further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Power Sales and Services Agreement by and between NRG Energy Center Dover LLC and NRG</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NRG Dover is party to a Power Sales and Services Agreement with NRG Power Marketing. The agreement is automatically renewed on a month-to-month basis unless terminated by either party upon at least 30 day written notice. Under the agreement, NRG Power Marketing has the exclusive right to (i) manage, market and sell power, (ii) procure fuel and fuel transportation for operation of the Dover generating facility, to include for purposes other than generating power, (iii) procure transmission services required for the sale of power and (iv) procure and market emissions credits for operation of the Dover generating facility.</w:t>
      </w:r>
    </w:p>
    <w:p>
      <w:pPr>
        <w:spacing w:after="0" w:line="98"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In addition, NRG Power Marketing has the exclusive right and obligation to direct the output from the generating facility, in accordance with and to meet the terms of any power sales contracts executed against the power generation of the Dover facility. Under the agreement, NRG Power Marketing pays NRG Dover gross receipts generated through sales, less costs incurred by NRG Power Marketing related to providing such services as transmission and delivery costs, as well as fuel costs. For the years ended December 31, 2016, 2015 and 2014, NRG Dover purchased approximately $1 million, $5 million and $10 million, respectively, of natural gas from NRG Power Marketing under the Power Sales and Services Agreement.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 Marketing Services Agreement by and between NRG Energy Center Minneapolis LLC and NRG</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NRG Energy Center Minneapolis LLC, or NRG Minneapolis, a subsidiary of the Company is party to an Energy Marketing Services Agreement with NRG Power Marketing. The agreement commenced in August 2014 and is automatically renewed annually unless terminated by either party upon at least 90 day written notice prior to the end of any term. Under the agreement, NRG Power Marketing will procure fuel and fuel transportation for the operation of the Minneapolis generating facility. For the years ended December 31, 2016, 2015 and 2014, NRG Minneapolis purchased approximately $7 million, $8 million and $2 million, respectively, of natural gas from NRG Power Marketing.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1460"/>
          </w:cols>
          <w:pgMar w:left="220" w:top="766" w:right="2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(O&amp;M) Services Agreements by and between Thermal Entities and NRG</w:t>
      </w:r>
    </w:p>
    <w:p>
      <w:pPr>
        <w:spacing w:after="0" w:line="143" w:lineRule="exact"/>
        <w:rPr>
          <w:sz w:val="20"/>
          <w:szCs w:val="20"/>
          <w:color w:val="auto"/>
        </w:rPr>
      </w:pPr>
    </w:p>
    <w:p>
      <w:pPr>
        <w:jc w:val="both"/>
        <w:ind w:firstLine="321"/>
        <w:spacing w:after="0" w:line="261" w:lineRule="auto"/>
        <w:rPr>
          <w:sz w:val="20"/>
          <w:szCs w:val="20"/>
          <w:color w:val="auto"/>
        </w:rPr>
      </w:pPr>
      <w:r>
        <w:rPr>
          <w:rFonts w:ascii="Times New Roman" w:cs="Times New Roman" w:eastAsia="Times New Roman" w:hAnsi="Times New Roman"/>
          <w:sz w:val="14"/>
          <w:szCs w:val="14"/>
          <w:color w:val="auto"/>
        </w:rPr>
        <w:t>On October 1, 2014, NRG entered into Plant O&amp;M Services Agreements with certain wholly-owned subsidiaries of the Company. NRG provides necessary and appropriate services to operate and maintain the subsidiaries' plant operations, businesses and thermal facilities. NRG is to be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Prior to October 1, 2014, NRG provided the same services to Thermal entities on an informal basis. For each of the years ended December 31, 2016 and 2015, total fees incurred under the agreements were $29 million. For the year ended December 31, 2014, total fees incurred were $27 million. There was a balance of $20 million and $29 million due to NRG in accounts payable — affiliate as of December 31, 2016, and 2015, respectively. As of December 31, 2016, $11 million of the balance was recorded in the current liabilities of the consolidated balance sheet and $9 million was recorded in non-current liabilities of the consolidated balance sheet.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GenConn and NRG</w:t>
      </w:r>
    </w:p>
    <w:p>
      <w:pPr>
        <w:spacing w:after="0" w:line="143"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GenConn incurs fees under two O&amp;M agreements with wholly-owned subsidiaries of NRG. The fees incurred under the agreements were $5 million, $4 million and $6 million for the years ended December 31, 2016, 2015 and 2014,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El Segundo and NRG El Segundo Operations</w:t>
      </w:r>
    </w:p>
    <w:p>
      <w:pPr>
        <w:spacing w:after="0" w:line="14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El Segundo incurs fees under an O&amp;M agreement with NRG El Segundo Operations, Inc., a wholly-owned subsidiary of NRG. Under the O&amp;M agreement, NRG El Segundo Operations, Inc. manages, operates and maintains the El Segundo facility for an initial term of ten years following the commercial operations date. For each of the years ended December 31, 2016, 2015 and 2014, the costs incurred under the agreement were approximately $4 million. There was a balance of $1 million due to NRG El Segundo in accounts payable — affiliate as of December 31, 2016 and 2015.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 by and between Marsh Landing and GenOn Energy Services, LLC and related Assignment and Assumption Agreement</w:t>
      </w:r>
    </w:p>
    <w:p>
      <w:pPr>
        <w:spacing w:after="0" w:line="143"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4"/>
          <w:szCs w:val="14"/>
          <w:color w:val="auto"/>
        </w:rPr>
        <w:t>Marsh Landing was a party to an administrative services agreement with GenOn Energy Services, LLC, a wholly owned subsidiary of NRG, through December 18, 2016. Under the agreement, GenOn Energy Services, LLC provided processing and invoice payment services on behalf of Marsh Landing. Marsh Landing reimbursed GenOn Energy Services, LLC for the amounts it paid. The Company reimbursed costs under this agreement of approximately $14 million for the year ended December 31, 2016, and $13 million for the years ended December 31, 2015 and 2014, respectively. For the year ended December 31, 2014, $2 million was capitalized. There was a balance of $1 million and $6 million due to GenOn Energy Services, LLC in accounts payable — affiliate as of December 31, 2016 and 2015, respectively.</w:t>
      </w:r>
    </w:p>
    <w:p>
      <w:pPr>
        <w:spacing w:after="0" w:line="101"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Marsh Landing had the right to terminate the agreement for convenience upon thirty days prior written notice. In lieu of a termination of the agreement, Marsh Landing requested that GenOn Energy Services LLC enter into an assignment and assumption agreement with NRG West Coast LLC, a wholly owned subsidiary of NRG. The administrative services agreement was assigned to NRG West Coast LLC on December 19, 2016.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 by and between CVSR and NRG</w:t>
      </w:r>
    </w:p>
    <w:p>
      <w:pPr>
        <w:spacing w:after="0" w:line="14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CVSR was a party to an administrative services agreement with NRG Energy Services, a wholly-owned subsidiary of NRG, which was subsequently assigned to NRG Renew Operations &amp; Maintenance LLC, or RENOM on July 15, 2015. The Company reimbursed a total of $4 million and $7 million to NRG Energy Services for the expenses incurred for the years ended December 31, 2015 and 2014, respectively. See below for further discussions of the costs incurred by CVSR under the administrative services agreement with RENOM in 2016.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 by and between the Company and NRG Renew Operations &amp; Maintenance LLC</w:t>
      </w:r>
    </w:p>
    <w:p>
      <w:pPr>
        <w:spacing w:after="0" w:line="14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Various wholly-owned subsidiaries of the Company in the Renewables segment are party to an administrative services agreement with RENOM, a wholly-owned subsidiary of NRG, which provides O&amp;M services on behalf of these entities. The Company incurred total expenses for these services in the amount of $13 million and $7 million for the years ended December 31, 2016 and 2015, respectively. There was a balance of $5 million and $1 million due to RENOM as of December 31, 2016 and 2015, respectively.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1460"/>
          </w:cols>
          <w:pgMar w:left="220" w:top="764" w:right="2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Walnut Creek and NRG</w:t>
      </w:r>
    </w:p>
    <w:p>
      <w:pPr>
        <w:spacing w:after="0" w:line="14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Walnut Creek incurs fees under an O&amp;M agreement with NRG Energy Services LLC, a wholly-owned subsidiary of NRG. Under the O&amp;M agreement, NRG Energy Services LLC manages, operates and maintains the Walnut Creek facility and is reimbursed for the services provided. The Company incurred total expenses for these services in the amount of $3 million for each of the years ended December 31, 2016 and 2015 and $2 million for the year ended December 31, 2014.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Services Agreement by and between the Company and NRG</w:t>
      </w:r>
    </w:p>
    <w:p>
      <w:pPr>
        <w:spacing w:after="0" w:line="143" w:lineRule="exact"/>
        <w:rPr>
          <w:sz w:val="20"/>
          <w:szCs w:val="20"/>
          <w:color w:val="auto"/>
        </w:rPr>
      </w:pPr>
    </w:p>
    <w:p>
      <w:pPr>
        <w:jc w:val="both"/>
        <w:ind w:firstLine="321"/>
        <w:spacing w:after="0" w:line="261" w:lineRule="auto"/>
        <w:rPr>
          <w:sz w:val="20"/>
          <w:szCs w:val="20"/>
          <w:color w:val="auto"/>
        </w:rPr>
      </w:pPr>
      <w:r>
        <w:rPr>
          <w:rFonts w:ascii="Times New Roman" w:cs="Times New Roman" w:eastAsia="Times New Roman" w:hAnsi="Times New Roman"/>
          <w:sz w:val="14"/>
          <w:szCs w:val="14"/>
          <w:color w:val="auto"/>
        </w:rPr>
        <w:t>NRG provides the Company with various operational, management, and administrative services, which include human resources, accounting, tax, legal, information systems, treasury, and risk management, as set forth in the Management Services Agreement. As of December 31, 2016, the base management fee was approximately $7.5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year ended December 31, 2016, the fee was increased by approximately $0.5 million per year, primarily due to the acquisition of the CVSR Drop Down. In addition to the base management fee, the Company is also responsible for any expenses that are directly incurred and paid for by NRG on behalf of the Company. Costs incurred under this agreement were approximately $10 million, $8 million and $6 million for the years ended December 31, 2016, 2015 and 2014, respectively. There was a balance of $3 million in accounts payable — affiliate due to NRG as of December 31, 2016.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Wind TE Holdco LLC and NRG</w:t>
      </w:r>
    </w:p>
    <w:p>
      <w:pPr>
        <w:spacing w:after="0" w:line="14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NRG Asset Services LLC, a wholly-owned subsidiary of NRG, provides support services to NRG Wind TE Holdco LLC project entities pursuant to various support services agreements. The agreements provide for administrative and support services and reimbursements of certain insurance, consultant and credit costs. For the years ended December 31, 2016, 2015 and 2014, the costs incurred under the agreements were $2 million, $3 million and $1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Payable to NRG Repowering Holdings LLC</w:t>
      </w:r>
    </w:p>
    <w:p>
      <w:pPr>
        <w:spacing w:after="0" w:line="14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color w:val="auto"/>
        </w:rPr>
        <w:t>During 2013, NRG Repowering Holdings, LLC, a wholly-owned subsidiary of NRG, made payments to BA Leasing BSC, LLC, or BA Leasing, of $18 million, which were expected to be repaid with the proceeds of the cash grant received by BA Leasing with respect to the PFMG DG Solar Projects, in connection with a sale-leaseback arrangement between the PFMG DG Solar Projects and BA Leasing. As of December 31, 2014, PFMG DG Solar Projects had a corresponding receivable for the reimbursement of the cash grant from BA Leasing and related payable to NRG Repowering Holdings, LLC. In the first quarter of 2014, the PFMG DG Solar Projects received $11 million from BA Leasing and reduced the remaining receivable with an offset to the deferred liability recorded in connection with the sale - leaseback arrangement. The PFMG DG Solar Projects utilized the $11 million to repay NRG Repowering Holdings LLC. There was a balance of $7 million in accounts payable — affiliate as of December 31, 2015 which was settled in October 2016 with an offset to contributed capital in the equity section of the consolidated balance sheet.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EPC Agreement by and between NECP and NRG</w:t>
      </w:r>
    </w:p>
    <w:p>
      <w:pPr>
        <w:spacing w:after="0" w:line="14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color w:val="auto"/>
        </w:rPr>
        <w:t>On October 31, 2016, 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Pursuant to the terms of the EPC agreement, NECP agreed to pay NRG Business Services LLC $79 million, subject to adjustment based upon certain conditions in the EPC agreement, upon substantial completion of the project. The project is expected to reach COD in the first quarter of 2018. On January 5, 2017, the parties amended the EPC Agreement, based on a customer change order, to increase the capacity of the district energy system from 73 MWt to 80 MWt, which also increased the payment from $79 million to $87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Commitments and Contingencies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 Commitments</w:t>
      </w:r>
    </w:p>
    <w:p>
      <w:pPr>
        <w:spacing w:after="0" w:line="143"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4"/>
          <w:szCs w:val="14"/>
          <w:color w:val="auto"/>
        </w:rPr>
        <w:t>The Company leases certain facilities and equipment under operating leases, some of which include escalation clauses, expiring on various dates through 2048. The effects of these scheduled rent increases, leasehold incentives, and rent concessions are recognized on a straight-line basis over the lease term unless another systematic and rational allocation basis is more representative of the time pattern in which the leased property is physically employed. Lease expense under operating leases was $15 million, $10 million and $9 million for the years ended December 31, 2016, 2015 and 2014, respectively.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1460"/>
          </w:cols>
          <w:pgMar w:left="220" w:top="764" w:right="219" w:bottom="1440" w:gutter="0" w:footer="0" w:header="0"/>
        </w:sectPr>
      </w:pPr>
    </w:p>
    <w:bookmarkStart w:id="100" w:name="page101"/>
    <w:bookmarkEnd w:id="100"/>
    <w:p>
      <w:pPr>
        <w:ind w:left="320"/>
        <w:spacing w:after="0"/>
        <w:rPr>
          <w:sz w:val="20"/>
          <w:szCs w:val="20"/>
          <w:color w:val="auto"/>
        </w:rPr>
      </w:pPr>
      <w:r>
        <w:rPr>
          <w:rFonts w:ascii="Times New Roman" w:cs="Times New Roman" w:eastAsia="Times New Roman" w:hAnsi="Times New Roman"/>
          <w:sz w:val="14"/>
          <w:szCs w:val="14"/>
          <w:color w:val="auto"/>
        </w:rPr>
        <w:t>Future minimum lease commitments under operating leases for the years ending after December 31, 2016,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340" w:type="dxa"/>
            <w:vAlign w:val="bottom"/>
          </w:tcPr>
          <w:p>
            <w:pPr>
              <w:spacing w:after="0"/>
              <w:rPr>
                <w:sz w:val="11"/>
                <w:szCs w:val="11"/>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9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7"/>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w:t>
            </w:r>
          </w:p>
        </w:tc>
        <w:tc>
          <w:tcPr>
            <w:tcW w:w="93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r>
      <w:tr>
        <w:trPr>
          <w:trHeight w:val="192"/>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9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r>
      <w:tr>
        <w:trPr>
          <w:trHeight w:val="22"/>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4"/>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93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w:t>
            </w:r>
          </w:p>
        </w:tc>
      </w:tr>
      <w:tr>
        <w:trPr>
          <w:trHeight w:val="192"/>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9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r>
      <w:tr>
        <w:trPr>
          <w:trHeight w:val="22"/>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4"/>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93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r>
      <w:tr>
        <w:trPr>
          <w:trHeight w:val="192"/>
        </w:trPr>
        <w:tc>
          <w:tcPr>
            <w:tcW w:w="20" w:type="dxa"/>
            <w:vAlign w:val="bottom"/>
          </w:tcPr>
          <w:p>
            <w:pPr>
              <w:spacing w:after="0"/>
              <w:rPr>
                <w:sz w:val="16"/>
                <w:szCs w:val="16"/>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Pr>
          <w:p>
            <w:pPr>
              <w:spacing w:after="0"/>
              <w:rPr>
                <w:sz w:val="16"/>
                <w:szCs w:val="16"/>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198</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Gas and Transportation Commitments</w:t>
      </w:r>
    </w:p>
    <w:p>
      <w:pPr>
        <w:spacing w:after="0" w:line="14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 xml:space="preserve">The Company has entered into contractual arrangements to procure power, fuel and associated transportation services. For the years ended December 31, 2016, 2015 and 2014, the Company purchased $32 million, $40 million and $55 million, respectively, under such arrangements. As further described in Note 13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these balances include intercompany purchases in the amount of $8 million, $13 million, and $12 million, respectively.</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2016, the Company's commitments under such outstanding agreements are estimated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340" w:type="dxa"/>
            <w:vAlign w:val="bottom"/>
          </w:tcPr>
          <w:p>
            <w:pPr>
              <w:spacing w:after="0"/>
              <w:rPr>
                <w:sz w:val="11"/>
                <w:szCs w:val="11"/>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9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7"/>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w:t>
            </w:r>
          </w:p>
        </w:tc>
        <w:tc>
          <w:tcPr>
            <w:tcW w:w="93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w:t>
            </w:r>
          </w:p>
        </w:tc>
      </w:tr>
      <w:tr>
        <w:trPr>
          <w:trHeight w:val="192"/>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9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w:t>
            </w:r>
          </w:p>
        </w:tc>
      </w:tr>
      <w:tr>
        <w:trPr>
          <w:trHeight w:val="22"/>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4"/>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93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r>
      <w:tr>
        <w:trPr>
          <w:trHeight w:val="192"/>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9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4"/>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93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r>
      <w:tr>
        <w:trPr>
          <w:trHeight w:val="192"/>
        </w:trPr>
        <w:tc>
          <w:tcPr>
            <w:tcW w:w="20" w:type="dxa"/>
            <w:vAlign w:val="bottom"/>
          </w:tcPr>
          <w:p>
            <w:pPr>
              <w:spacing w:after="0"/>
              <w:rPr>
                <w:sz w:val="16"/>
                <w:szCs w:val="16"/>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Pr>
          <w:p>
            <w:pPr>
              <w:spacing w:after="0"/>
              <w:rPr>
                <w:sz w:val="16"/>
                <w:szCs w:val="16"/>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Contingencies</w:t>
      </w:r>
    </w:p>
    <w:p>
      <w:pPr>
        <w:spacing w:after="0" w:line="141" w:lineRule="exact"/>
        <w:rPr>
          <w:sz w:val="20"/>
          <w:szCs w:val="20"/>
          <w:color w:val="auto"/>
        </w:rPr>
      </w:pPr>
    </w:p>
    <w:p>
      <w:pPr>
        <w:jc w:val="both"/>
        <w:ind w:firstLine="321"/>
        <w:spacing w:after="0" w:line="261" w:lineRule="auto"/>
        <w:rPr>
          <w:sz w:val="20"/>
          <w:szCs w:val="20"/>
          <w:color w:val="auto"/>
        </w:rPr>
      </w:pPr>
      <w:r>
        <w:rPr>
          <w:rFonts w:ascii="Times New Roman" w:cs="Times New Roman" w:eastAsia="Times New Roman" w:hAnsi="Times New Roman"/>
          <w:sz w:val="14"/>
          <w:szCs w:val="14"/>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03" w:lineRule="exact"/>
        <w:rPr>
          <w:sz w:val="20"/>
          <w:szCs w:val="20"/>
          <w:color w:val="auto"/>
        </w:rPr>
      </w:pPr>
    </w:p>
    <w:p>
      <w:pPr>
        <w:jc w:val="both"/>
        <w:ind w:firstLine="321"/>
        <w:spacing w:after="0" w:line="291" w:lineRule="auto"/>
        <w:rPr>
          <w:sz w:val="20"/>
          <w:szCs w:val="20"/>
          <w:color w:val="auto"/>
        </w:rPr>
      </w:pPr>
      <w:r>
        <w:rPr>
          <w:rFonts w:ascii="Times New Roman" w:cs="Times New Roman" w:eastAsia="Times New Roman" w:hAnsi="Times New Roman"/>
          <w:sz w:val="14"/>
          <w:szCs w:val="14"/>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79"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Braun v. NRG Yield, Inc. </w:t>
      </w:r>
      <w:r>
        <w:rPr>
          <w:rFonts w:ascii="Times New Roman" w:cs="Times New Roman" w:eastAsia="Times New Roman" w:hAnsi="Times New Roman"/>
          <w:sz w:val="14"/>
          <w:szCs w:val="14"/>
          <w:color w:val="auto"/>
        </w:rPr>
        <w:t>— On April 19, 2016, plaintiffs filed a putative class action lawsuit against NRG Yield, Inc., the current and former members of its board of directors individually,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parties in California 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On August 3, 2016, the court approved a stipulation entered into by the parties. The stipulation provided that the plaintiffs would file an amended complaint by August 19, 2016, which they did on August 18, 2016. The defendants filed demurrers and a motion challenging jurisdiction on October 18, 2016. On February 24, 2017, the court approved the parties' stipulation which provides the plaintiffs' opposition is due on June 15, 2017 and defendants' reply is due on August 14, 2017.</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1460"/>
          </w:cols>
          <w:pgMar w:left="220" w:top="768" w:right="219" w:bottom="1440" w:gutter="0" w:footer="0" w:header="0"/>
        </w:sectPr>
      </w:pPr>
    </w:p>
    <w:bookmarkStart w:id="101" w:name="page102"/>
    <w:bookmarkEnd w:id="101"/>
    <w:p>
      <w:pPr>
        <w:jc w:val="both"/>
        <w:ind w:firstLine="321"/>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Ahmed v. NRG Energy, Inc. and the NRG Yield Board of Directors </w:t>
      </w:r>
      <w:r>
        <w:rPr>
          <w:rFonts w:ascii="Times New Roman" w:cs="Times New Roman" w:eastAsia="Times New Roman" w:hAnsi="Times New Roman"/>
          <w:sz w:val="14"/>
          <w:szCs w:val="14"/>
          <w:color w:val="auto"/>
        </w:rPr>
        <w:t>— On September 15, 2016, plaintiffs filed a putative class action lawsuit against NRG Energy, Inc., the directors of NRG Yield,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 and other parties in the 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a motion to dismiss the lawsuit on December 21, 2016. Plaintiffs filed their objection to the motion to dismiss on February 15, 2017. Oral argument is scheduled for June 20, 2017.</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1460"/>
          </w:cols>
          <w:pgMar w:left="220" w:top="766" w:right="2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color w:val="auto"/>
        </w:rPr>
        <w:t>Note 15 — Unaudited Quarterly Data</w:t>
      </w:r>
    </w:p>
    <w:p>
      <w:pPr>
        <w:spacing w:after="0" w:line="139" w:lineRule="exact"/>
        <w:rPr>
          <w:sz w:val="20"/>
          <w:szCs w:val="20"/>
          <w:color w:val="auto"/>
        </w:rPr>
      </w:pPr>
    </w:p>
    <w:p>
      <w:pPr>
        <w:ind w:firstLine="343"/>
        <w:spacing w:after="0" w:line="294" w:lineRule="auto"/>
        <w:rPr>
          <w:sz w:val="20"/>
          <w:szCs w:val="20"/>
          <w:color w:val="auto"/>
        </w:rPr>
      </w:pPr>
      <w:r>
        <w:rPr>
          <w:rFonts w:ascii="Times New Roman" w:cs="Times New Roman" w:eastAsia="Times New Roman" w:hAnsi="Times New Roman"/>
          <w:sz w:val="14"/>
          <w:szCs w:val="14"/>
          <w:color w:val="auto"/>
        </w:rPr>
        <w:t xml:space="preserve">Refer to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and Note 3,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 xml:space="preserve"> for a description of the effect of unusual or infrequently occurring events during the quarterly periods. Summarized unaudited quarterly financial data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center"/>
              <w:ind w:left="757"/>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205"/>
        </w:trPr>
        <w:tc>
          <w:tcPr>
            <w:tcW w:w="518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 xml:space="preserve">June 30, </w:t>
            </w:r>
            <w:r>
              <w:rPr>
                <w:rFonts w:ascii="Times New Roman" w:cs="Times New Roman" w:eastAsia="Times New Roman" w:hAnsi="Times New Roman"/>
                <w:sz w:val="7"/>
                <w:szCs w:val="7"/>
                <w:b w:val="1"/>
                <w:bCs w:val="1"/>
                <w:color w:val="auto"/>
              </w:rPr>
              <w:t>(a)</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 xml:space="preserve">March 31, </w:t>
            </w:r>
            <w:r>
              <w:rPr>
                <w:rFonts w:ascii="Times New Roman" w:cs="Times New Roman" w:eastAsia="Times New Roman" w:hAnsi="Times New Roman"/>
                <w:sz w:val="7"/>
                <w:szCs w:val="7"/>
                <w:b w:val="1"/>
                <w:bCs w:val="1"/>
                <w:color w:val="auto"/>
              </w:rPr>
              <w:t>(a)</w:t>
            </w:r>
          </w:p>
        </w:tc>
      </w:tr>
      <w:tr>
        <w:trPr>
          <w:trHeight w:val="151"/>
        </w:trPr>
        <w:tc>
          <w:tcPr>
            <w:tcW w:w="51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w w:val="99"/>
              </w:rPr>
              <w:t>2016</w:t>
            </w: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94"/>
        </w:trPr>
        <w:tc>
          <w:tcPr>
            <w:tcW w:w="5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4"/>
          </w:tcPr>
          <w:p>
            <w:pPr>
              <w:jc w:val="center"/>
              <w:ind w:left="737"/>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9"/>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10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600" w:type="dxa"/>
            <w:vAlign w:val="bottom"/>
            <w:tcBorders>
              <w:bottom w:val="single" w:sz="8" w:color="CCEEFF"/>
            </w:tcBorders>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283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234</w:t>
            </w:r>
          </w:p>
        </w:tc>
      </w:tr>
      <w:tr>
        <w:trPr>
          <w:trHeight w:val="18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(As previously reported)</w:t>
            </w: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220</w:t>
            </w: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w:t>
            </w:r>
          </w:p>
        </w:tc>
        <w:tc>
          <w:tcPr>
            <w:tcW w:w="1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14</w:t>
            </w:r>
          </w:p>
        </w:tc>
      </w:tr>
      <w:tr>
        <w:trPr>
          <w:trHeight w:val="26"/>
        </w:trPr>
        <w:tc>
          <w:tcPr>
            <w:tcW w:w="5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6"/>
        </w:trPr>
        <w:tc>
          <w:tcPr>
            <w:tcW w:w="5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 Income</w:t>
            </w:r>
          </w:p>
        </w:tc>
        <w:tc>
          <w:tcPr>
            <w:tcW w:w="1100" w:type="dxa"/>
            <w:vAlign w:val="bottom"/>
          </w:tcPr>
          <w:p>
            <w:pPr>
              <w:spacing w:after="0"/>
              <w:rPr>
                <w:sz w:val="16"/>
                <w:szCs w:val="16"/>
                <w:color w:val="auto"/>
              </w:rPr>
            </w:pP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73</w:t>
            </w:r>
          </w:p>
        </w:tc>
      </w:tr>
      <w:tr>
        <w:trPr>
          <w:trHeight w:val="26"/>
        </w:trPr>
        <w:tc>
          <w:tcPr>
            <w:tcW w:w="5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(As previously reported)</w:t>
            </w:r>
          </w:p>
        </w:tc>
        <w:tc>
          <w:tcPr>
            <w:tcW w:w="1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8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100" w:type="dxa"/>
            <w:vAlign w:val="bottom"/>
          </w:tcPr>
          <w:p>
            <w:pPr>
              <w:spacing w:after="0"/>
              <w:rPr>
                <w:sz w:val="16"/>
                <w:szCs w:val="16"/>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69</w:t>
            </w:r>
          </w:p>
        </w:tc>
      </w:tr>
      <w:tr>
        <w:trPr>
          <w:trHeight w:val="26"/>
        </w:trPr>
        <w:tc>
          <w:tcPr>
            <w:tcW w:w="5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w:t>
            </w:r>
          </w:p>
        </w:tc>
        <w:tc>
          <w:tcPr>
            <w:tcW w:w="1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r>
      <w:tr>
        <w:trPr>
          <w:trHeight w:val="248"/>
        </w:trPr>
        <w:tc>
          <w:tcPr>
            <w:tcW w:w="51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19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1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r>
      <w:tr>
        <w:trPr>
          <w:trHeight w:val="18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(As previously reported)</w:t>
            </w: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w:t>
            </w:r>
          </w:p>
        </w:tc>
        <w:tc>
          <w:tcPr>
            <w:tcW w:w="1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6"/>
        </w:trPr>
        <w:tc>
          <w:tcPr>
            <w:tcW w:w="5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41541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9" w:lineRule="exact"/>
        <w:rPr>
          <w:sz w:val="20"/>
          <w:szCs w:val="20"/>
          <w:color w:val="auto"/>
        </w:rPr>
      </w:pPr>
    </w:p>
    <w:p>
      <w:pPr>
        <w:ind w:left="100" w:hanging="94"/>
        <w:spacing w:after="0"/>
        <w:tabs>
          <w:tab w:leader="none" w:pos="100" w:val="left"/>
        </w:tabs>
        <w:numPr>
          <w:ilvl w:val="0"/>
          <w:numId w:val="3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Company's unaudited quarterly financial data was recast for the effect of the CVSR Drop Down.</w:t>
      </w: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5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jc w:val="center"/>
              <w:ind w:left="852"/>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205"/>
        </w:trPr>
        <w:tc>
          <w:tcPr>
            <w:tcW w:w="5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December 31, </w:t>
            </w:r>
            <w:r>
              <w:rPr>
                <w:rFonts w:ascii="Times New Roman" w:cs="Times New Roman" w:eastAsia="Times New Roman" w:hAnsi="Times New Roman"/>
                <w:sz w:val="7"/>
                <w:szCs w:val="7"/>
                <w:b w:val="1"/>
                <w:bCs w:val="1"/>
                <w:color w:val="auto"/>
              </w:rPr>
              <w:t>(a)</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 xml:space="preserve">September 30, </w:t>
            </w:r>
            <w:r>
              <w:rPr>
                <w:rFonts w:ascii="Times New Roman" w:cs="Times New Roman" w:eastAsia="Times New Roman" w:hAnsi="Times New Roman"/>
                <w:sz w:val="7"/>
                <w:szCs w:val="7"/>
                <w:b w:val="1"/>
                <w:bCs w:val="1"/>
                <w:color w:val="auto"/>
              </w:rPr>
              <w:t>(a)</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 xml:space="preserve">June 30, </w:t>
            </w:r>
            <w:r>
              <w:rPr>
                <w:rFonts w:ascii="Times New Roman" w:cs="Times New Roman" w:eastAsia="Times New Roman" w:hAnsi="Times New Roman"/>
                <w:sz w:val="7"/>
                <w:szCs w:val="7"/>
                <w:b w:val="1"/>
                <w:bCs w:val="1"/>
                <w:color w:val="auto"/>
              </w:rPr>
              <w:t>(a)</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 xml:space="preserve">March 31, </w:t>
            </w:r>
            <w:r>
              <w:rPr>
                <w:rFonts w:ascii="Times New Roman" w:cs="Times New Roman" w:eastAsia="Times New Roman" w:hAnsi="Times New Roman"/>
                <w:sz w:val="7"/>
                <w:szCs w:val="7"/>
                <w:b w:val="1"/>
                <w:bCs w:val="1"/>
                <w:color w:val="auto"/>
              </w:rPr>
              <w:t>(a)</w:t>
            </w:r>
          </w:p>
        </w:tc>
      </w:tr>
      <w:tr>
        <w:trPr>
          <w:trHeight w:val="151"/>
        </w:trPr>
        <w:tc>
          <w:tcPr>
            <w:tcW w:w="5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center"/>
              <w:ind w:right="269"/>
              <w:spacing w:after="0"/>
              <w:rPr>
                <w:sz w:val="20"/>
                <w:szCs w:val="20"/>
                <w:color w:val="auto"/>
              </w:rPr>
            </w:pPr>
            <w:r>
              <w:rPr>
                <w:rFonts w:ascii="Times New Roman" w:cs="Times New Roman" w:eastAsia="Times New Roman" w:hAnsi="Times New Roman"/>
                <w:sz w:val="11"/>
                <w:szCs w:val="11"/>
                <w:b w:val="1"/>
                <w:bCs w:val="1"/>
                <w:color w:val="auto"/>
                <w:w w:val="99"/>
              </w:rPr>
              <w:t>2015</w:t>
            </w: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94"/>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4"/>
          </w:tcPr>
          <w:p>
            <w:pPr>
              <w:jc w:val="center"/>
              <w:ind w:left="872"/>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9"/>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600" w:type="dxa"/>
            <w:vAlign w:val="bottom"/>
            <w:tcBorders>
              <w:bottom w:val="single" w:sz="8" w:color="CCEEFF"/>
            </w:tcBorders>
            <w:gridSpan w:val="3"/>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214</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(As previously reported)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200</w:t>
            </w:r>
          </w:p>
        </w:tc>
      </w:tr>
      <w:tr>
        <w:trPr>
          <w:trHeight w:val="201"/>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Change</w:t>
            </w: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14</w:t>
            </w:r>
          </w:p>
        </w:tc>
      </w:tr>
      <w:tr>
        <w:trPr>
          <w:trHeight w:val="220"/>
        </w:trPr>
        <w:tc>
          <w:tcPr>
            <w:tcW w:w="5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92"/>
        </w:trPr>
        <w:tc>
          <w:tcPr>
            <w:tcW w:w="5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50</w:t>
            </w:r>
          </w:p>
        </w:tc>
      </w:tr>
      <w:tr>
        <w:trPr>
          <w:trHeight w:val="22"/>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(As previously reported)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2"/>
        </w:trPr>
        <w:tc>
          <w:tcPr>
            <w:tcW w:w="5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46</w:t>
            </w:r>
          </w:p>
        </w:tc>
      </w:tr>
      <w:tr>
        <w:trPr>
          <w:trHeight w:val="22"/>
        </w:trPr>
        <w:tc>
          <w:tcPr>
            <w:tcW w:w="5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Change</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r>
      <w:tr>
        <w:trPr>
          <w:trHeight w:val="231"/>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4"/>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(As previously reported)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1"/>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Change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41541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9" w:lineRule="exact"/>
        <w:rPr>
          <w:sz w:val="20"/>
          <w:szCs w:val="20"/>
          <w:color w:val="auto"/>
        </w:rPr>
      </w:pPr>
    </w:p>
    <w:p>
      <w:pPr>
        <w:ind w:left="100" w:hanging="94"/>
        <w:spacing w:after="0"/>
        <w:tabs>
          <w:tab w:leader="none" w:pos="100" w:val="left"/>
        </w:tabs>
        <w:numPr>
          <w:ilvl w:val="0"/>
          <w:numId w:val="3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Company's unaudited quarterly financial data was recast for the effect of the CVSR Drop Down.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1460"/>
          </w:cols>
          <w:pgMar w:left="220" w:top="766" w:right="2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color w:val="auto"/>
        </w:rPr>
        <w:t>Note 16 — Condensed Consolidating Financial Information</w:t>
      </w:r>
    </w:p>
    <w:p>
      <w:pPr>
        <w:spacing w:after="0" w:line="184"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 xml:space="preserve">As of December 31, 2016, Yield Operating LLC had outstanding $500 million of the 2024 Senior Notes and $350 million of the 2026 Senior Notes, collectively Senior Notes, as described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These Senior Notes are guaranteed by the Company, as well as certain of the Company's subsidiaries, or guarantor subsidiaries. These guarantees are both joint and several. The non-guarantor subsidiaries include the rest of the Company's subsidiaries, including the ones that are subject to project financing.</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Unless otherwise noted below, each of the following guarantor subsidiaries fully and unconditionally guaranteed the Senior Notes as of December 31, 2016:</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NRG Yield LLC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Alta Wind 1-5 Holding Company, LLC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Alta Wind Company, LLC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NRG Energy Center Omaha Holdings LLC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NRG Energy Center Omaha LLC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NYLD Fuel Cell Holdings LLC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UB Fuel Cell, LLC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NRG South Trent Holdings LLC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NRG Yield DGPV Holding LLC</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NRG Yield RPV Holding LLC</w:t>
      </w:r>
    </w:p>
    <w:p>
      <w:pPr>
        <w:spacing w:after="0" w:line="20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Yield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94"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4"/>
          <w:szCs w:val="14"/>
          <w:color w:val="auto"/>
        </w:rPr>
        <w:t>The following condensed consolidating financial information presents the financial information of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9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4"/>
          <w:szCs w:val="14"/>
          <w:color w:val="auto"/>
        </w:rPr>
        <w:t xml:space="preserve">In this presentation, Yield LLC consists of parent company operations. Guarantor subsidiaries and non-guarantor subsidiaries of Yield LLC are reported on an equity basis. For companies acquired, the fair values of the assets and liabilities acquired have been presented on a push-down accounting basis. As described in Note 3,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 the Company completed the acquisition of the CVSR Drop Down and November 2015 Drop Down Assets from NRG on September 1, 2016 and November 3, 2015, respectively.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 The Company has recorded all minority interests in NRG Wind TE Holdco as noncontrolling interest in the Consolidated Financial Statements for all periods presented.</w:t>
      </w:r>
    </w:p>
    <w:p>
      <w:pPr>
        <w:spacing w:after="0" w:line="103" w:lineRule="exact"/>
        <w:rPr>
          <w:sz w:val="20"/>
          <w:szCs w:val="20"/>
          <w:color w:val="auto"/>
        </w:rPr>
      </w:pPr>
    </w:p>
    <w:p>
      <w:pPr>
        <w:jc w:val="both"/>
        <w:ind w:firstLine="343"/>
        <w:spacing w:after="0" w:line="267" w:lineRule="auto"/>
        <w:rPr>
          <w:sz w:val="20"/>
          <w:szCs w:val="20"/>
          <w:color w:val="auto"/>
        </w:rPr>
      </w:pPr>
      <w:r>
        <w:rPr>
          <w:rFonts w:ascii="Times New Roman" w:cs="Times New Roman" w:eastAsia="Times New Roman" w:hAnsi="Times New Roman"/>
          <w:sz w:val="14"/>
          <w:szCs w:val="14"/>
          <w:color w:val="auto"/>
        </w:rPr>
        <w:t xml:space="preserve">In addition, the condensed parent company financial statements are provided in accordance with Rule 12-04, Schedule I of Regulation S-X, as the restricted net assets of Yield LLC’s subsidiaries exceed 25 percent of the consolidated net assets of Yield LLC. These statements should be read in conjunction with the consolidated statements and notes thereto of NRG Yield LLC. For a discussion of Yield LLC's long-term debt,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a discussion of Yield LLC's commitments and contingencies, see Note 14,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For a discussion of Yield LLC's distributions to Yield, Inc. and NRG Energy, see Note 11, </w:t>
      </w:r>
      <w:r>
        <w:rPr>
          <w:rFonts w:ascii="Times New Roman" w:cs="Times New Roman" w:eastAsia="Times New Roman" w:hAnsi="Times New Roman"/>
          <w:sz w:val="14"/>
          <w:szCs w:val="14"/>
          <w:i w:val="1"/>
          <w:iCs w:val="1"/>
          <w:color w:val="auto"/>
        </w:rPr>
        <w:t>Members' Equity</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1460"/>
          </w:cols>
          <w:pgMar w:left="220" w:top="766" w:right="219" w:bottom="1440" w:gutter="0" w:footer="0" w:header="0"/>
        </w:sectPr>
      </w:pPr>
    </w:p>
    <w:bookmarkStart w:id="104" w:name="page105"/>
    <w:bookmarkEnd w:id="104"/>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CONDENSED CONSOLIDATING STATEMENTS OF OPERATIONS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 the Year Ended December 31,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NRG Yield LLC </w:t>
            </w:r>
            <w:r>
              <w:rPr>
                <w:rFonts w:ascii="Times New Roman" w:cs="Times New Roman" w:eastAsia="Times New Roman" w:hAnsi="Times New Roman"/>
                <w:sz w:val="7"/>
                <w:szCs w:val="7"/>
                <w:b w:val="1"/>
                <w:bCs w:val="1"/>
                <w:color w:val="auto"/>
              </w:rPr>
              <w:t>(a)</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Other Guarantor</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Non-Guarantor</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NRG Yield Operating</w:t>
            </w:r>
          </w:p>
        </w:tc>
        <w:tc>
          <w:tcPr>
            <w:tcW w:w="18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Eliminations</w:t>
            </w:r>
            <w:r>
              <w:rPr>
                <w:rFonts w:ascii="Times New Roman" w:cs="Times New Roman" w:eastAsia="Times New Roman" w:hAnsi="Times New Roman"/>
                <w:sz w:val="7"/>
                <w:szCs w:val="7"/>
                <w:b w:val="1"/>
                <w:bCs w:val="1"/>
                <w:color w:val="auto"/>
              </w:rPr>
              <w:t>(b)</w:t>
            </w:r>
          </w:p>
        </w:tc>
        <w:tc>
          <w:tcPr>
            <w:tcW w:w="180" w:type="dxa"/>
            <w:vAlign w:val="bottom"/>
          </w:tcPr>
          <w:p>
            <w:pPr>
              <w:spacing w:after="0"/>
              <w:rPr>
                <w:sz w:val="11"/>
                <w:szCs w:val="11"/>
                <w:color w:val="auto"/>
              </w:rPr>
            </w:pPr>
          </w:p>
        </w:tc>
        <w:tc>
          <w:tcPr>
            <w:tcW w:w="1040" w:type="dxa"/>
            <w:vAlign w:val="bottom"/>
            <w:vMerge w:val="restart"/>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LLC (Note Issuer)</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22"/>
        </w:trPr>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operations</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92"/>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losses</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2"/>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Acquisition-related transaction and integration costs</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
        </w:trPr>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2"/>
        </w:trPr>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 earnings of consolidated affiliates</w:t>
            </w:r>
          </w:p>
        </w:tc>
        <w:tc>
          <w:tcPr>
            <w:tcW w:w="12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2"/>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83"/>
        </w:trPr>
        <w:tc>
          <w:tcPr>
            <w:tcW w:w="3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2"/>
        </w:trPr>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Net loss attributable to noncontrolling interests</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2"/>
        </w:trPr>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NRG Yield LLC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41541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9" w:lineRule="exact"/>
        <w:rPr>
          <w:sz w:val="20"/>
          <w:szCs w:val="20"/>
          <w:color w:val="auto"/>
        </w:rPr>
      </w:pPr>
    </w:p>
    <w:p>
      <w:pPr>
        <w:ind w:left="160" w:hanging="111"/>
        <w:spacing w:after="0"/>
        <w:tabs>
          <w:tab w:leader="none" w:pos="160" w:val="left"/>
        </w:tabs>
        <w:numPr>
          <w:ilvl w:val="1"/>
          <w:numId w:val="4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7"/>
          <w:szCs w:val="7"/>
          <w:color w:val="auto"/>
        </w:rPr>
      </w:pPr>
    </w:p>
    <w:p>
      <w:pPr>
        <w:ind w:left="100" w:hanging="94"/>
        <w:spacing w:after="0"/>
        <w:tabs>
          <w:tab w:leader="none" w:pos="100" w:val="left"/>
        </w:tabs>
        <w:numPr>
          <w:ilvl w:val="0"/>
          <w:numId w:val="4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All significant intercompany transactions have been eliminated in consolidation.</w:t>
      </w:r>
    </w:p>
    <w:p>
      <w:pPr>
        <w:spacing w:after="0" w:line="1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1260"/>
          </w:cols>
          <w:pgMar w:left="220" w:top="766" w:right="419" w:bottom="1440" w:gutter="0" w:footer="0" w:header="0"/>
        </w:sectPr>
      </w:pPr>
    </w:p>
    <w:bookmarkStart w:id="105" w:name="page106"/>
    <w:bookmarkEnd w:id="105"/>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CONDENSED CONSOLIDATING STATEMENTS OF COMPREHENSIVE INCOME</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 the Year Ended December 31,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Non-Guarantor</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NRG Yield Operating</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 xml:space="preserve">NRG Yield LLC </w:t>
            </w:r>
            <w:r>
              <w:rPr>
                <w:rFonts w:ascii="Times New Roman" w:cs="Times New Roman" w:eastAsia="Times New Roman" w:hAnsi="Times New Roman"/>
                <w:sz w:val="7"/>
                <w:szCs w:val="7"/>
                <w:b w:val="1"/>
                <w:bCs w:val="1"/>
                <w:color w:val="auto"/>
              </w:rPr>
              <w:t>(a)</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Guarantor Subsidiaries</w:t>
            </w: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1"/>
                <w:szCs w:val="11"/>
                <w:b w:val="1"/>
                <w:bCs w:val="1"/>
                <w:color w:val="auto"/>
              </w:rPr>
              <w:t>LLC</w:t>
            </w:r>
          </w:p>
        </w:tc>
        <w:tc>
          <w:tcPr>
            <w:tcW w:w="200" w:type="dxa"/>
            <w:vAlign w:val="bottom"/>
          </w:tcPr>
          <w:p>
            <w:pPr>
              <w:spacing w:after="0"/>
              <w:rPr>
                <w:sz w:val="10"/>
                <w:szCs w:val="10"/>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Eliminations</w:t>
            </w:r>
            <w:r>
              <w:rPr>
                <w:rFonts w:ascii="Times New Roman" w:cs="Times New Roman" w:eastAsia="Times New Roman" w:hAnsi="Times New Roman"/>
                <w:sz w:val="7"/>
                <w:szCs w:val="7"/>
                <w:b w:val="1"/>
                <w:bCs w:val="1"/>
                <w:color w:val="auto"/>
              </w:rPr>
              <w:t>(b)</w:t>
            </w:r>
          </w:p>
        </w:tc>
        <w:tc>
          <w:tcPr>
            <w:tcW w:w="180" w:type="dxa"/>
            <w:vAlign w:val="bottom"/>
          </w:tcPr>
          <w:p>
            <w:pPr>
              <w:spacing w:after="0"/>
              <w:rPr>
                <w:sz w:val="10"/>
                <w:szCs w:val="10"/>
                <w:color w:val="auto"/>
              </w:rPr>
            </w:pPr>
          </w:p>
        </w:tc>
        <w:tc>
          <w:tcPr>
            <w:tcW w:w="1040" w:type="dxa"/>
            <w:vAlign w:val="bottom"/>
            <w:vMerge w:val="restart"/>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(Note Issuer)</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7"/>
                <w:szCs w:val="17"/>
                <w:color w:val="auto"/>
              </w:rPr>
            </w:pPr>
          </w:p>
        </w:tc>
        <w:tc>
          <w:tcPr>
            <w:tcW w:w="5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7"/>
                <w:szCs w:val="17"/>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Unrealized gain on derivatives</w:t>
            </w:r>
          </w:p>
        </w:tc>
        <w:tc>
          <w:tcPr>
            <w:tcW w:w="120" w:type="dxa"/>
            <w:vAlign w:val="bottom"/>
          </w:tcPr>
          <w:p>
            <w:pPr>
              <w:spacing w:after="0"/>
              <w:rPr>
                <w:sz w:val="16"/>
                <w:szCs w:val="16"/>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
        </w:trPr>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
        </w:trPr>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32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Less: Comprehensive loss attributable to noncontrolling</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56"/>
        </w:trPr>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Comprehensive Income Attributable to NRG Yield</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3"/>
                <w:szCs w:val="13"/>
                <w:color w:val="auto"/>
              </w:rPr>
            </w:pPr>
          </w:p>
        </w:tc>
        <w:tc>
          <w:tcPr>
            <w:tcW w:w="54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LLC</w:t>
            </w:r>
          </w:p>
        </w:tc>
        <w:tc>
          <w:tcPr>
            <w:tcW w:w="1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41541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9" w:lineRule="exact"/>
        <w:rPr>
          <w:sz w:val="20"/>
          <w:szCs w:val="20"/>
          <w:color w:val="auto"/>
        </w:rPr>
      </w:pPr>
    </w:p>
    <w:p>
      <w:pPr>
        <w:ind w:left="140" w:hanging="91"/>
        <w:spacing w:after="0"/>
        <w:tabs>
          <w:tab w:leader="none" w:pos="140" w:val="left"/>
        </w:tabs>
        <w:numPr>
          <w:ilvl w:val="1"/>
          <w:numId w:val="4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7"/>
          <w:szCs w:val="7"/>
          <w:color w:val="auto"/>
        </w:rPr>
      </w:pPr>
    </w:p>
    <w:p>
      <w:pPr>
        <w:ind w:left="100" w:hanging="94"/>
        <w:spacing w:after="0"/>
        <w:tabs>
          <w:tab w:leader="none" w:pos="100" w:val="left"/>
        </w:tabs>
        <w:numPr>
          <w:ilvl w:val="0"/>
          <w:numId w:val="4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All significant intercompany transactions have been eliminated in consolidation.</w:t>
      </w:r>
    </w:p>
    <w:p>
      <w:pPr>
        <w:spacing w:after="0" w:line="1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1260"/>
          </w:cols>
          <w:pgMar w:left="220" w:top="766" w:right="419" w:bottom="1440" w:gutter="0" w:footer="0" w:header="0"/>
        </w:sectPr>
      </w:pPr>
    </w:p>
    <w:bookmarkStart w:id="106" w:name="page107"/>
    <w:bookmarkEnd w:id="106"/>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SHEETS</w:t>
      </w:r>
    </w:p>
    <w:p>
      <w:pPr>
        <w:spacing w:after="0" w:line="9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December 31, 2016</w:t>
      </w:r>
    </w:p>
    <w:p>
      <w:pPr>
        <w:spacing w:after="0" w:line="299" w:lineRule="exact"/>
        <w:rPr>
          <w:sz w:val="20"/>
          <w:szCs w:val="20"/>
          <w:color w:val="auto"/>
        </w:rPr>
      </w:pPr>
    </w:p>
    <w:tbl>
      <w:tblPr>
        <w:tblLayout w:type="fixed"/>
        <w:tblInd w:w="31" w:type="dxa"/>
        <w:tblCellMar>
          <w:top w:w="0" w:type="dxa"/>
          <w:left w:w="0" w:type="dxa"/>
          <w:bottom w:w="0" w:type="dxa"/>
          <w:right w:w="0" w:type="dxa"/>
        </w:tblCellMar>
      </w:tblPr>
      <w:tr>
        <w:trPr>
          <w:trHeight w:val="126"/>
        </w:trPr>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Other Guarantor</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Non-Guarantor</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NRG Yield Operating</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NRG Yield LLC </w:t>
            </w:r>
            <w:r>
              <w:rPr>
                <w:rFonts w:ascii="Times New Roman" w:cs="Times New Roman" w:eastAsia="Times New Roman" w:hAnsi="Times New Roman"/>
                <w:sz w:val="7"/>
                <w:szCs w:val="7"/>
                <w:b w:val="1"/>
                <w:bCs w:val="1"/>
                <w:color w:val="auto"/>
              </w:rPr>
              <w:t>(a)</w:t>
            </w: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1"/>
                <w:szCs w:val="11"/>
                <w:b w:val="1"/>
                <w:bCs w:val="1"/>
                <w:color w:val="auto"/>
              </w:rPr>
              <w:t>LLC</w:t>
            </w:r>
          </w:p>
        </w:tc>
        <w:tc>
          <w:tcPr>
            <w:tcW w:w="16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Eliminations</w:t>
            </w:r>
            <w:r>
              <w:rPr>
                <w:rFonts w:ascii="Times New Roman" w:cs="Times New Roman" w:eastAsia="Times New Roman" w:hAnsi="Times New Roman"/>
                <w:sz w:val="7"/>
                <w:szCs w:val="7"/>
                <w:b w:val="1"/>
                <w:bCs w:val="1"/>
                <w:color w:val="auto"/>
              </w:rPr>
              <w:t>(b)</w:t>
            </w:r>
          </w:p>
        </w:tc>
        <w:tc>
          <w:tcPr>
            <w:tcW w:w="160" w:type="dxa"/>
            <w:vAlign w:val="bottom"/>
          </w:tcPr>
          <w:p>
            <w:pPr>
              <w:spacing w:after="0"/>
              <w:rPr>
                <w:sz w:val="10"/>
                <w:szCs w:val="10"/>
                <w:color w:val="auto"/>
              </w:rPr>
            </w:pPr>
          </w:p>
        </w:tc>
        <w:tc>
          <w:tcPr>
            <w:tcW w:w="94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(Note Issuer)</w:t>
            </w: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860" w:type="dxa"/>
            <w:vAlign w:val="bottom"/>
          </w:tcPr>
          <w:p>
            <w:pPr>
              <w:ind w:left="16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5"/>
          </w:tcPr>
          <w:p>
            <w:pPr>
              <w:ind w:left="7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211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316</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88"/>
        </w:trPr>
        <w:tc>
          <w:tcPr>
            <w:tcW w:w="3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1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 affiliates</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8"/>
        </w:trPr>
        <w:tc>
          <w:tcPr>
            <w:tcW w:w="3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Inventory</w:t>
            </w:r>
          </w:p>
        </w:tc>
        <w:tc>
          <w:tcPr>
            <w:tcW w:w="1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8"/>
        </w:trPr>
        <w:tc>
          <w:tcPr>
            <w:tcW w:w="3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Notes receivable — current</w:t>
            </w:r>
          </w:p>
        </w:tc>
        <w:tc>
          <w:tcPr>
            <w:tcW w:w="1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3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211</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429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645</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5,460</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 in consolidated subsidiaries</w:t>
            </w:r>
          </w:p>
        </w:tc>
        <w:tc>
          <w:tcPr>
            <w:tcW w:w="10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1,611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2,971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453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710</w:t>
            </w:r>
          </w:p>
        </w:tc>
        <w:tc>
          <w:tcPr>
            <w:tcW w:w="0" w:type="dxa"/>
            <w:vAlign w:val="bottom"/>
          </w:tcPr>
          <w:p>
            <w:pPr>
              <w:spacing w:after="0"/>
              <w:rPr>
                <w:sz w:val="1"/>
                <w:szCs w:val="1"/>
                <w:color w:val="auto"/>
              </w:rPr>
            </w:pPr>
          </w:p>
        </w:tc>
      </w:tr>
      <w:tr>
        <w:trPr>
          <w:trHeight w:val="188"/>
        </w:trPr>
        <w:tc>
          <w:tcPr>
            <w:tcW w:w="3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Notes receivable — non-current</w:t>
            </w:r>
          </w:p>
        </w:tc>
        <w:tc>
          <w:tcPr>
            <w:tcW w:w="1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Intangible assets, net</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1,230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1,286</w:t>
            </w:r>
          </w:p>
        </w:tc>
        <w:tc>
          <w:tcPr>
            <w:tcW w:w="0" w:type="dxa"/>
            <w:vAlign w:val="bottom"/>
          </w:tcPr>
          <w:p>
            <w:pPr>
              <w:spacing w:after="0"/>
              <w:rPr>
                <w:sz w:val="1"/>
                <w:szCs w:val="1"/>
                <w:color w:val="auto"/>
              </w:rPr>
            </w:pPr>
          </w:p>
        </w:tc>
      </w:tr>
      <w:tr>
        <w:trPr>
          <w:trHeight w:val="188"/>
        </w:trPr>
        <w:tc>
          <w:tcPr>
            <w:tcW w:w="3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1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8"/>
        </w:trPr>
        <w:tc>
          <w:tcPr>
            <w:tcW w:w="3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1,611</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682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1,453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3,425</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2,062</w:t>
            </w:r>
          </w:p>
        </w:tc>
        <w:tc>
          <w:tcPr>
            <w:tcW w:w="0" w:type="dxa"/>
            <w:vAlign w:val="bottom"/>
          </w:tcPr>
          <w:p>
            <w:pPr>
              <w:spacing w:after="0"/>
              <w:rPr>
                <w:sz w:val="1"/>
                <w:szCs w:val="1"/>
                <w:color w:val="auto"/>
              </w:rPr>
            </w:pPr>
          </w:p>
        </w:tc>
      </w:tr>
      <w:tr>
        <w:trPr>
          <w:trHeight w:val="26"/>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1,822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745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7,283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3,426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8,167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156210</wp:posOffset>
            </wp:positionV>
            <wp:extent cx="141541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52" w:lineRule="exact"/>
        <w:rPr>
          <w:sz w:val="20"/>
          <w:szCs w:val="20"/>
          <w:color w:val="auto"/>
        </w:rPr>
      </w:pPr>
    </w:p>
    <w:p>
      <w:pPr>
        <w:ind w:left="91" w:hanging="91"/>
        <w:spacing w:after="0"/>
        <w:tabs>
          <w:tab w:leader="none" w:pos="91" w:val="left"/>
        </w:tabs>
        <w:numPr>
          <w:ilvl w:val="0"/>
          <w:numId w:val="4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7"/>
          <w:szCs w:val="7"/>
          <w:color w:val="auto"/>
        </w:rPr>
      </w:pPr>
    </w:p>
    <w:p>
      <w:pPr>
        <w:ind w:left="91" w:hanging="91"/>
        <w:spacing w:after="0"/>
        <w:tabs>
          <w:tab w:leader="none" w:pos="91" w:val="left"/>
        </w:tabs>
        <w:numPr>
          <w:ilvl w:val="0"/>
          <w:numId w:val="4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All significant intercompany transactions have been eliminated in consolidation.</w:t>
      </w:r>
    </w:p>
    <w:p>
      <w:pPr>
        <w:spacing w:after="0" w:line="3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1351"/>
          </w:cols>
          <w:pgMar w:left="269" w:top="894" w:right="279" w:bottom="1440" w:gutter="0" w:footer="0" w:header="0"/>
        </w:sectPr>
      </w:pPr>
    </w:p>
    <w:bookmarkStart w:id="107" w:name="page108"/>
    <w:bookmarkEnd w:id="107"/>
    <w:p>
      <w:pPr>
        <w:ind w:left="4480"/>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Other Guarantor</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Non-Guarantor</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NRG Yield Operating</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020" w:type="dxa"/>
            <w:vAlign w:val="bottom"/>
          </w:tcPr>
          <w:p>
            <w:pPr>
              <w:spacing w:after="0"/>
              <w:rPr>
                <w:sz w:val="10"/>
                <w:szCs w:val="10"/>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 xml:space="preserve">NRG Yield LLC </w:t>
            </w:r>
            <w:r>
              <w:rPr>
                <w:rFonts w:ascii="Times New Roman" w:cs="Times New Roman" w:eastAsia="Times New Roman" w:hAnsi="Times New Roman"/>
                <w:sz w:val="7"/>
                <w:szCs w:val="7"/>
                <w:b w:val="1"/>
                <w:bCs w:val="1"/>
                <w:color w:val="auto"/>
              </w:rPr>
              <w:t>(a)</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1"/>
                <w:szCs w:val="11"/>
                <w:b w:val="1"/>
                <w:bCs w:val="1"/>
                <w:color w:val="auto"/>
              </w:rPr>
              <w:t>LLC</w:t>
            </w:r>
          </w:p>
        </w:tc>
        <w:tc>
          <w:tcPr>
            <w:tcW w:w="18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Eliminations</w:t>
            </w:r>
            <w:r>
              <w:rPr>
                <w:rFonts w:ascii="Times New Roman" w:cs="Times New Roman" w:eastAsia="Times New Roman" w:hAnsi="Times New Roman"/>
                <w:sz w:val="7"/>
                <w:szCs w:val="7"/>
                <w:b w:val="1"/>
                <w:bCs w:val="1"/>
                <w:color w:val="auto"/>
              </w:rPr>
              <w:t>(b)</w:t>
            </w:r>
          </w:p>
        </w:tc>
        <w:tc>
          <w:tcPr>
            <w:tcW w:w="160" w:type="dxa"/>
            <w:vAlign w:val="bottom"/>
          </w:tcPr>
          <w:p>
            <w:pPr>
              <w:spacing w:after="0"/>
              <w:rPr>
                <w:sz w:val="10"/>
                <w:szCs w:val="10"/>
                <w:color w:val="auto"/>
              </w:rPr>
            </w:pPr>
          </w:p>
        </w:tc>
        <w:tc>
          <w:tcPr>
            <w:tcW w:w="9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50"/>
        </w:trPr>
        <w:tc>
          <w:tcPr>
            <w:tcW w:w="4020" w:type="dxa"/>
            <w:vAlign w:val="bottom"/>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(Note Issuer)</w:t>
            </w: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LIABILITIES AND MEMBERS' EQUITY</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5"/>
          </w:tcPr>
          <w:p>
            <w:pPr>
              <w:ind w:left="8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 — external</w:t>
            </w: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tcPr>
          <w:p>
            <w:pPr>
              <w:spacing w:after="0"/>
              <w:rPr>
                <w:sz w:val="16"/>
                <w:szCs w:val="16"/>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 — trade</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88"/>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 affiliate</w:t>
            </w:r>
          </w:p>
        </w:tc>
        <w:tc>
          <w:tcPr>
            <w:tcW w:w="3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88"/>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458</w:t>
            </w:r>
          </w:p>
        </w:tc>
        <w:tc>
          <w:tcPr>
            <w:tcW w:w="0" w:type="dxa"/>
            <w:vAlign w:val="bottom"/>
          </w:tcPr>
          <w:p>
            <w:pPr>
              <w:spacing w:after="0"/>
              <w:rPr>
                <w:sz w:val="1"/>
                <w:szCs w:val="1"/>
                <w:color w:val="auto"/>
              </w:rPr>
            </w:pPr>
          </w:p>
        </w:tc>
      </w:tr>
      <w:tr>
        <w:trPr>
          <w:trHeight w:val="179"/>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3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Long-term debt — external</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3,989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839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4,828</w:t>
            </w:r>
          </w:p>
        </w:tc>
        <w:tc>
          <w:tcPr>
            <w:tcW w:w="0" w:type="dxa"/>
            <w:vAlign w:val="bottom"/>
          </w:tcPr>
          <w:p>
            <w:pPr>
              <w:spacing w:after="0"/>
              <w:rPr>
                <w:sz w:val="1"/>
                <w:szCs w:val="1"/>
                <w:color w:val="auto"/>
              </w:rPr>
            </w:pPr>
          </w:p>
        </w:tc>
      </w:tr>
      <w:tr>
        <w:trPr>
          <w:trHeight w:val="188"/>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debt — affiliate</w:t>
            </w:r>
          </w:p>
        </w:tc>
        <w:tc>
          <w:tcPr>
            <w:tcW w:w="3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618</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 — affiliate</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8"/>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3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3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8"/>
        </w:trPr>
        <w:tc>
          <w:tcPr>
            <w:tcW w:w="4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non-current liabilities</w:t>
            </w:r>
          </w:p>
        </w:tc>
        <w:tc>
          <w:tcPr>
            <w:tcW w:w="3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4,117</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1,457</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5,574</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4,520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1,502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6,032</w:t>
            </w:r>
          </w:p>
        </w:tc>
        <w:tc>
          <w:tcPr>
            <w:tcW w:w="0" w:type="dxa"/>
            <w:vAlign w:val="bottom"/>
          </w:tcPr>
          <w:p>
            <w:pPr>
              <w:spacing w:after="0"/>
              <w:rPr>
                <w:sz w:val="1"/>
                <w:szCs w:val="1"/>
                <w:color w:val="auto"/>
              </w:rPr>
            </w:pPr>
          </w:p>
        </w:tc>
      </w:tr>
      <w:tr>
        <w:trPr>
          <w:trHeight w:val="179"/>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3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Contributed capital</w:t>
            </w:r>
          </w:p>
        </w:tc>
        <w:tc>
          <w:tcPr>
            <w:tcW w:w="360" w:type="dxa"/>
            <w:vAlign w:val="bottom"/>
          </w:tcPr>
          <w:p>
            <w:pPr>
              <w:spacing w:after="0"/>
              <w:rPr>
                <w:sz w:val="16"/>
                <w:szCs w:val="16"/>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1,826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1,850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88"/>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60" w:type="dxa"/>
            <w:vAlign w:val="bottom"/>
          </w:tcPr>
          <w:p>
            <w:pPr>
              <w:spacing w:after="0"/>
              <w:rPr>
                <w:sz w:val="16"/>
                <w:szCs w:val="16"/>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Noncontrolling interest</w:t>
            </w:r>
          </w:p>
        </w:tc>
        <w:tc>
          <w:tcPr>
            <w:tcW w:w="3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3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1,822</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735</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2,763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1,924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2,135</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6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1,822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745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7,283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3,426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8,167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156210</wp:posOffset>
            </wp:positionV>
            <wp:extent cx="141541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45" w:lineRule="exact"/>
        <w:rPr>
          <w:sz w:val="20"/>
          <w:szCs w:val="20"/>
          <w:color w:val="auto"/>
        </w:rPr>
      </w:pPr>
    </w:p>
    <w:p>
      <w:pPr>
        <w:ind w:left="120" w:hanging="114"/>
        <w:spacing w:after="0"/>
        <w:tabs>
          <w:tab w:leader="none" w:pos="120" w:val="left"/>
        </w:tabs>
        <w:numPr>
          <w:ilvl w:val="0"/>
          <w:numId w:val="4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ind w:left="120" w:hanging="114"/>
        <w:spacing w:after="0"/>
        <w:tabs>
          <w:tab w:leader="none" w:pos="120" w:val="left"/>
        </w:tabs>
        <w:numPr>
          <w:ilvl w:val="0"/>
          <w:numId w:val="4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All significant intercompany transactions have been eliminated in consolidation.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1460"/>
          </w:cols>
          <w:pgMar w:left="220" w:top="937" w:right="21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CONSOLIDATING STATEMENTS OF CASH FLOWS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Year Ended December 31,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60" w:type="dxa"/>
            <w:vAlign w:val="bottom"/>
          </w:tcPr>
          <w:p>
            <w:pPr>
              <w:spacing w:after="0"/>
              <w:rPr>
                <w:sz w:val="11"/>
                <w:szCs w:val="11"/>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 xml:space="preserve">NRG Yield LLC </w:t>
            </w:r>
            <w:r>
              <w:rPr>
                <w:rFonts w:ascii="Times New Roman" w:cs="Times New Roman" w:eastAsia="Times New Roman" w:hAnsi="Times New Roman"/>
                <w:sz w:val="7"/>
                <w:szCs w:val="7"/>
                <w:b w:val="1"/>
                <w:bCs w:val="1"/>
                <w:color w:val="auto"/>
              </w:rPr>
              <w:t>(a)</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Other Guarantor</w:t>
            </w:r>
          </w:p>
        </w:tc>
        <w:tc>
          <w:tcPr>
            <w:tcW w:w="200" w:type="dxa"/>
            <w:vAlign w:val="bottom"/>
          </w:tcPr>
          <w:p>
            <w:pPr>
              <w:spacing w:after="0"/>
              <w:rPr>
                <w:sz w:val="11"/>
                <w:szCs w:val="11"/>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Non-Guarantor</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2C2C2C"/>
              </w:rPr>
              <w:t>NRG Yield Operating</w:t>
            </w:r>
          </w:p>
        </w:tc>
        <w:tc>
          <w:tcPr>
            <w:tcW w:w="160" w:type="dxa"/>
            <w:vAlign w:val="bottom"/>
          </w:tcPr>
          <w:p>
            <w:pPr>
              <w:spacing w:after="0"/>
              <w:rPr>
                <w:sz w:val="11"/>
                <w:szCs w:val="11"/>
                <w:color w:val="auto"/>
              </w:rPr>
            </w:pPr>
          </w:p>
        </w:tc>
        <w:tc>
          <w:tcPr>
            <w:tcW w:w="9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54"/>
        </w:trPr>
        <w:tc>
          <w:tcPr>
            <w:tcW w:w="516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2C2C2C"/>
              </w:rPr>
              <w:t>LLC (Note Issuer)</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537</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560</w:t>
            </w:r>
          </w:p>
        </w:tc>
        <w:tc>
          <w:tcPr>
            <w:tcW w:w="0" w:type="dxa"/>
            <w:vAlign w:val="bottom"/>
          </w:tcPr>
          <w:p>
            <w:pPr>
              <w:spacing w:after="0"/>
              <w:rPr>
                <w:sz w:val="1"/>
                <w:szCs w:val="1"/>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investments in consolidated subsidiaries</w:t>
            </w:r>
          </w:p>
        </w:tc>
        <w:tc>
          <w:tcPr>
            <w:tcW w:w="380" w:type="dxa"/>
            <w:vAlign w:val="bottom"/>
          </w:tcPr>
          <w:p>
            <w:pPr>
              <w:spacing w:after="0"/>
              <w:rPr>
                <w:sz w:val="16"/>
                <w:szCs w:val="16"/>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 of Drop Down Assets, net of cash acquired</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88"/>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38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in restricted cash</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88"/>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receipts from notes receivable</w:t>
            </w:r>
          </w:p>
        </w:tc>
        <w:tc>
          <w:tcPr>
            <w:tcW w:w="38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Return of investment from unconsolidated affiliates</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88"/>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investments in unconsolidated affiliates</w:t>
            </w:r>
          </w:p>
        </w:tc>
        <w:tc>
          <w:tcPr>
            <w:tcW w:w="38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325</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(64)</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Contributions from tax equity investors, net of distributions</w:t>
            </w:r>
          </w:p>
        </w:tc>
        <w:tc>
          <w:tcPr>
            <w:tcW w:w="38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and return of capital to NRG prior to the acquisition of Drop Down Assets</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88"/>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Transfer of funds under intercompany cash management arrangement</w:t>
            </w:r>
          </w:p>
        </w:tc>
        <w:tc>
          <w:tcPr>
            <w:tcW w:w="380" w:type="dxa"/>
            <w:vAlign w:val="bottom"/>
          </w:tcPr>
          <w:p>
            <w:pPr>
              <w:spacing w:after="0"/>
              <w:rPr>
                <w:sz w:val="16"/>
                <w:szCs w:val="16"/>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proceeds from distributions</w:t>
            </w:r>
          </w:p>
        </w:tc>
        <w:tc>
          <w:tcPr>
            <w:tcW w:w="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420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r>
        <w:trPr>
          <w:trHeight w:val="188"/>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revolving credit facility</w:t>
            </w:r>
          </w:p>
        </w:tc>
        <w:tc>
          <w:tcPr>
            <w:tcW w:w="38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for the revolving credit facility</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0" w:type="dxa"/>
            <w:vAlign w:val="bottom"/>
          </w:tcPr>
          <w:p>
            <w:pPr>
              <w:spacing w:after="0"/>
              <w:rPr>
                <w:sz w:val="1"/>
                <w:szCs w:val="1"/>
                <w:color w:val="auto"/>
              </w:rPr>
            </w:pPr>
          </w:p>
        </w:tc>
      </w:tr>
      <w:tr>
        <w:trPr>
          <w:trHeight w:val="188"/>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long-term debt</w:t>
            </w:r>
          </w:p>
        </w:tc>
        <w:tc>
          <w:tcPr>
            <w:tcW w:w="38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675</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8"/>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for long-term debt</w:t>
            </w:r>
          </w:p>
        </w:tc>
        <w:tc>
          <w:tcPr>
            <w:tcW w:w="38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0" w:type="dxa"/>
            <w:vAlign w:val="bottom"/>
          </w:tcPr>
          <w:p>
            <w:pPr>
              <w:spacing w:after="0"/>
              <w:rPr>
                <w:sz w:val="1"/>
                <w:szCs w:val="1"/>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408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68"/>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and Cash Equivalents</w:t>
            </w: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3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87"/>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38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211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36779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67790" cy="6985"/>
                    </a:xfrm>
                    <a:prstGeom prst="rect">
                      <a:avLst/>
                    </a:prstGeom>
                    <a:noFill/>
                  </pic:spPr>
                </pic:pic>
              </a:graphicData>
            </a:graphic>
          </wp:anchor>
        </w:drawing>
      </w:r>
    </w:p>
    <w:p>
      <w:pPr>
        <w:spacing w:after="0" w:line="252" w:lineRule="exact"/>
        <w:rPr>
          <w:sz w:val="20"/>
          <w:szCs w:val="20"/>
          <w:color w:val="auto"/>
        </w:rPr>
      </w:pPr>
    </w:p>
    <w:p>
      <w:pPr>
        <w:ind w:left="140" w:hanging="91"/>
        <w:spacing w:after="0"/>
        <w:tabs>
          <w:tab w:leader="none" w:pos="140" w:val="left"/>
        </w:tabs>
        <w:numPr>
          <w:ilvl w:val="0"/>
          <w:numId w:val="4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1440"/>
          </w:cols>
          <w:pgMar w:left="220" w:top="766" w:right="2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CONSOLIDATING STATEMENTS OF OPERATIONS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NRG Yield Operating</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1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0"/>
                <w:szCs w:val="10"/>
                <w:b w:val="1"/>
                <w:bCs w:val="1"/>
                <w:color w:val="auto"/>
              </w:rPr>
              <w:t xml:space="preserve">NRG Yield LLC </w:t>
            </w:r>
            <w:r>
              <w:rPr>
                <w:rFonts w:ascii="Times New Roman" w:cs="Times New Roman" w:eastAsia="Times New Roman" w:hAnsi="Times New Roman"/>
                <w:sz w:val="15"/>
                <w:szCs w:val="15"/>
                <w:b w:val="1"/>
                <w:bCs w:val="1"/>
                <w:color w:val="auto"/>
                <w:vertAlign w:val="superscript"/>
              </w:rPr>
              <w:t>(a)</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Other Guarantor</w:t>
            </w:r>
          </w:p>
        </w:tc>
        <w:tc>
          <w:tcPr>
            <w:tcW w:w="180" w:type="dxa"/>
            <w:vAlign w:val="bottom"/>
          </w:tcPr>
          <w:p>
            <w:pPr>
              <w:spacing w:after="0"/>
              <w:rPr>
                <w:sz w:val="11"/>
                <w:szCs w:val="1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Non-Guarantor</w:t>
            </w:r>
          </w:p>
        </w:tc>
        <w:tc>
          <w:tcPr>
            <w:tcW w:w="120" w:type="dxa"/>
            <w:vAlign w:val="bottom"/>
          </w:tcPr>
          <w:p>
            <w:pPr>
              <w:spacing w:after="0"/>
              <w:rPr>
                <w:sz w:val="11"/>
                <w:szCs w:val="11"/>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LLC</w:t>
            </w:r>
          </w:p>
        </w:tc>
        <w:tc>
          <w:tcPr>
            <w:tcW w:w="18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Eliminations</w:t>
            </w:r>
            <w:r>
              <w:rPr>
                <w:rFonts w:ascii="Times New Roman" w:cs="Times New Roman" w:eastAsia="Times New Roman" w:hAnsi="Times New Roman"/>
                <w:sz w:val="17"/>
                <w:szCs w:val="17"/>
                <w:b w:val="1"/>
                <w:bCs w:val="1"/>
                <w:color w:val="auto"/>
                <w:vertAlign w:val="superscript"/>
              </w:rPr>
              <w:t>(b) (c)</w:t>
            </w:r>
          </w:p>
        </w:tc>
        <w:tc>
          <w:tcPr>
            <w:tcW w:w="180" w:type="dxa"/>
            <w:vAlign w:val="bottom"/>
          </w:tcPr>
          <w:p>
            <w:pPr>
              <w:spacing w:after="0"/>
              <w:rPr>
                <w:sz w:val="11"/>
                <w:szCs w:val="11"/>
                <w:color w:val="auto"/>
              </w:rPr>
            </w:pPr>
          </w:p>
        </w:tc>
        <w:tc>
          <w:tcPr>
            <w:tcW w:w="940" w:type="dxa"/>
            <w:vAlign w:val="bottom"/>
            <w:vMerge w:val="restart"/>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39"/>
        </w:trPr>
        <w:tc>
          <w:tcPr>
            <w:tcW w:w="36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9"/>
                <w:szCs w:val="9"/>
                <w:b w:val="1"/>
                <w:bCs w:val="1"/>
                <w:color w:val="auto"/>
                <w:w w:val="99"/>
              </w:rPr>
              <w:t>(c)</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00"/>
              <w:spacing w:after="0" w:line="139" w:lineRule="exact"/>
              <w:rPr>
                <w:sz w:val="20"/>
                <w:szCs w:val="20"/>
                <w:color w:val="auto"/>
              </w:rPr>
            </w:pPr>
            <w:r>
              <w:rPr>
                <w:rFonts w:ascii="Times New Roman" w:cs="Times New Roman" w:eastAsia="Times New Roman" w:hAnsi="Times New Roman"/>
                <w:sz w:val="10"/>
                <w:szCs w:val="10"/>
                <w:b w:val="1"/>
                <w:bCs w:val="1"/>
                <w:color w:val="auto"/>
              </w:rPr>
              <w:t xml:space="preserve">Subsidiaries </w:t>
            </w:r>
            <w:r>
              <w:rPr>
                <w:rFonts w:ascii="Times New Roman" w:cs="Times New Roman" w:eastAsia="Times New Roman" w:hAnsi="Times New Roman"/>
                <w:sz w:val="16"/>
                <w:szCs w:val="16"/>
                <w:b w:val="1"/>
                <w:bCs w:val="1"/>
                <w:color w:val="auto"/>
                <w:vertAlign w:val="superscript"/>
              </w:rPr>
              <w:t>(c)</w:t>
            </w: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right="220"/>
              <w:spacing w:after="0" w:line="139" w:lineRule="exact"/>
              <w:rPr>
                <w:sz w:val="20"/>
                <w:szCs w:val="20"/>
                <w:color w:val="auto"/>
              </w:rPr>
            </w:pPr>
            <w:r>
              <w:rPr>
                <w:rFonts w:ascii="Times New Roman" w:cs="Times New Roman" w:eastAsia="Times New Roman" w:hAnsi="Times New Roman"/>
                <w:sz w:val="10"/>
                <w:szCs w:val="10"/>
                <w:b w:val="1"/>
                <w:bCs w:val="1"/>
                <w:color w:val="auto"/>
              </w:rPr>
              <w:t xml:space="preserve">(Note Issuer) </w:t>
            </w:r>
            <w:r>
              <w:rPr>
                <w:rFonts w:ascii="Times New Roman" w:cs="Times New Roman" w:eastAsia="Times New Roman" w:hAnsi="Times New Roman"/>
                <w:sz w:val="16"/>
                <w:szCs w:val="16"/>
                <w:b w:val="1"/>
                <w:bCs w:val="1"/>
                <w:color w:val="auto"/>
                <w:vertAlign w:val="superscript"/>
              </w:rPr>
              <w:t>(c)</w:t>
            </w: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922</w:t>
            </w:r>
          </w:p>
        </w:tc>
        <w:tc>
          <w:tcPr>
            <w:tcW w:w="120" w:type="dxa"/>
            <w:vAlign w:val="bottom"/>
          </w:tcPr>
          <w:p>
            <w:pPr>
              <w:spacing w:after="0"/>
              <w:rPr>
                <w:sz w:val="16"/>
                <w:szCs w:val="16"/>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operations</w:t>
            </w:r>
          </w:p>
        </w:tc>
        <w:tc>
          <w:tcPr>
            <w:tcW w:w="2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9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Acquisition-related transaction and integration costs</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3"/>
        </w:trPr>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in earnings (losses) of consolidated affiliates</w:t>
            </w:r>
          </w:p>
        </w:tc>
        <w:tc>
          <w:tcPr>
            <w:tcW w:w="2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in (losses) earnings of unconsolidated affiliates</w:t>
            </w:r>
          </w:p>
        </w:tc>
        <w:tc>
          <w:tcPr>
            <w:tcW w:w="2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2"/>
        </w:trPr>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83"/>
        </w:trPr>
        <w:tc>
          <w:tcPr>
            <w:tcW w:w="3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NRG Yield LLC</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41541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9" w:lineRule="exact"/>
        <w:rPr>
          <w:sz w:val="20"/>
          <w:szCs w:val="20"/>
          <w:color w:val="auto"/>
        </w:rPr>
      </w:pPr>
    </w:p>
    <w:p>
      <w:pPr>
        <w:ind w:left="140" w:hanging="91"/>
        <w:spacing w:after="0"/>
        <w:tabs>
          <w:tab w:leader="none" w:pos="140" w:val="left"/>
        </w:tabs>
        <w:numPr>
          <w:ilvl w:val="1"/>
          <w:numId w:val="4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7"/>
          <w:szCs w:val="7"/>
          <w:color w:val="auto"/>
        </w:rPr>
      </w:pPr>
    </w:p>
    <w:p>
      <w:pPr>
        <w:ind w:left="100" w:hanging="94"/>
        <w:spacing w:after="0" w:line="223" w:lineRule="auto"/>
        <w:tabs>
          <w:tab w:leader="none" w:pos="100" w:val="left"/>
        </w:tabs>
        <w:numPr>
          <w:ilvl w:val="0"/>
          <w:numId w:val="4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All significant intercompany transactions have been eliminated in consolidation.</w:t>
      </w:r>
    </w:p>
    <w:p>
      <w:pPr>
        <w:ind w:left="100" w:hanging="94"/>
        <w:spacing w:after="0"/>
        <w:tabs>
          <w:tab w:leader="none" w:pos="100" w:val="left"/>
        </w:tabs>
        <w:numPr>
          <w:ilvl w:val="0"/>
          <w:numId w:val="4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1460"/>
          </w:cols>
          <w:pgMar w:left="220" w:top="766" w:right="21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CONSOLIDATING STATEMENTS OF COMPREHENSIVE INCOME (LOSS)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Year Ended December 31, 2015</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NRG Yield Operating</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Other Guarantor</w:t>
            </w:r>
          </w:p>
        </w:tc>
        <w:tc>
          <w:tcPr>
            <w:tcW w:w="160" w:type="dxa"/>
            <w:vAlign w:val="bottom"/>
          </w:tcPr>
          <w:p>
            <w:pPr>
              <w:spacing w:after="0"/>
              <w:rPr>
                <w:sz w:val="9"/>
                <w:szCs w:val="9"/>
                <w:color w:val="auto"/>
              </w:rPr>
            </w:pPr>
          </w:p>
        </w:tc>
        <w:tc>
          <w:tcPr>
            <w:tcW w:w="112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Non-Guarantor</w:t>
            </w:r>
          </w:p>
        </w:tc>
        <w:tc>
          <w:tcPr>
            <w:tcW w:w="120" w:type="dxa"/>
            <w:vAlign w:val="bottom"/>
          </w:tcPr>
          <w:p>
            <w:pPr>
              <w:spacing w:after="0"/>
              <w:rPr>
                <w:sz w:val="9"/>
                <w:szCs w:val="9"/>
                <w:color w:val="auto"/>
              </w:rPr>
            </w:pPr>
          </w:p>
        </w:tc>
        <w:tc>
          <w:tcPr>
            <w:tcW w:w="12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w w:val="97"/>
              </w:rPr>
              <w:t>LLC</w:t>
            </w: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260" w:type="dxa"/>
            <w:vAlign w:val="bottom"/>
            <w:tcBorders>
              <w:bottom w:val="single" w:sz="8" w:color="auto"/>
            </w:tcBorders>
            <w:gridSpan w:val="3"/>
          </w:tcPr>
          <w:p>
            <w:pPr>
              <w:ind w:left="8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NRG Yield LLC </w:t>
            </w:r>
            <w:r>
              <w:rPr>
                <w:rFonts w:ascii="Times New Roman" w:cs="Times New Roman" w:eastAsia="Times New Roman" w:hAnsi="Times New Roman"/>
                <w:sz w:val="17"/>
                <w:szCs w:val="17"/>
                <w:b w:val="1"/>
                <w:bCs w:val="1"/>
                <w:color w:val="auto"/>
                <w:vertAlign w:val="superscript"/>
              </w:rPr>
              <w:t>(a) (c)</w:t>
            </w: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8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Subsidiaries </w:t>
            </w:r>
            <w:r>
              <w:rPr>
                <w:rFonts w:ascii="Times New Roman" w:cs="Times New Roman" w:eastAsia="Times New Roman" w:hAnsi="Times New Roman"/>
                <w:sz w:val="17"/>
                <w:szCs w:val="17"/>
                <w:b w:val="1"/>
                <w:bCs w:val="1"/>
                <w:color w:val="auto"/>
                <w:vertAlign w:val="superscript"/>
              </w:rPr>
              <w:t>(c)</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line="156" w:lineRule="exact"/>
              <w:rPr>
                <w:sz w:val="20"/>
                <w:szCs w:val="20"/>
                <w:color w:val="auto"/>
              </w:rPr>
            </w:pPr>
            <w:r>
              <w:rPr>
                <w:rFonts w:ascii="Times New Roman" w:cs="Times New Roman" w:eastAsia="Times New Roman" w:hAnsi="Times New Roman"/>
                <w:sz w:val="11"/>
                <w:szCs w:val="11"/>
                <w:b w:val="1"/>
                <w:bCs w:val="1"/>
                <w:color w:val="auto"/>
                <w:w w:val="94"/>
              </w:rPr>
              <w:t xml:space="preserve">(Note Issuer) </w:t>
            </w:r>
            <w:r>
              <w:rPr>
                <w:rFonts w:ascii="Times New Roman" w:cs="Times New Roman" w:eastAsia="Times New Roman" w:hAnsi="Times New Roman"/>
                <w:sz w:val="17"/>
                <w:szCs w:val="17"/>
                <w:b w:val="1"/>
                <w:bCs w:val="1"/>
                <w:color w:val="auto"/>
                <w:w w:val="94"/>
                <w:vertAlign w:val="superscript"/>
              </w:rPr>
              <w:t>(c)</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100"/>
              <w:spacing w:after="0" w:line="156" w:lineRule="exact"/>
              <w:rPr>
                <w:sz w:val="20"/>
                <w:szCs w:val="20"/>
                <w:color w:val="auto"/>
              </w:rPr>
            </w:pPr>
            <w:r>
              <w:rPr>
                <w:rFonts w:ascii="Times New Roman" w:cs="Times New Roman" w:eastAsia="Times New Roman" w:hAnsi="Times New Roman"/>
                <w:sz w:val="11"/>
                <w:szCs w:val="11"/>
                <w:b w:val="1"/>
                <w:bCs w:val="1"/>
                <w:color w:val="auto"/>
              </w:rPr>
              <w:t>Eliminations</w:t>
            </w:r>
            <w:r>
              <w:rPr>
                <w:rFonts w:ascii="Times New Roman" w:cs="Times New Roman" w:eastAsia="Times New Roman" w:hAnsi="Times New Roman"/>
                <w:sz w:val="17"/>
                <w:szCs w:val="17"/>
                <w:b w:val="1"/>
                <w:bCs w:val="1"/>
                <w:color w:val="auto"/>
                <w:vertAlign w:val="superscript"/>
              </w:rPr>
              <w:t>(b) (c)</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44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7"/>
                <w:szCs w:val="17"/>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2"/>
        </w:trPr>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4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Unrealized loss on derivatives</w:t>
            </w:r>
          </w:p>
        </w:tc>
        <w:tc>
          <w:tcPr>
            <w:tcW w:w="44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2"/>
        </w:trPr>
        <w:tc>
          <w:tcPr>
            <w:tcW w:w="3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4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2"/>
        </w:trPr>
        <w:tc>
          <w:tcPr>
            <w:tcW w:w="3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35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Less: Comprehensive loss attributable to noncontrolling</w:t>
            </w: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56"/>
        </w:trPr>
        <w:tc>
          <w:tcPr>
            <w:tcW w:w="35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Comprehensive Income (Loss) Attributable to NRG</w:t>
            </w:r>
          </w:p>
        </w:tc>
        <w:tc>
          <w:tcPr>
            <w:tcW w:w="4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8"/>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Yield LLC</w:t>
            </w:r>
          </w:p>
        </w:tc>
        <w:tc>
          <w:tcPr>
            <w:tcW w:w="4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41541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9" w:lineRule="exact"/>
        <w:rPr>
          <w:sz w:val="20"/>
          <w:szCs w:val="20"/>
          <w:color w:val="auto"/>
        </w:rPr>
      </w:pPr>
    </w:p>
    <w:p>
      <w:pPr>
        <w:ind w:left="140" w:hanging="91"/>
        <w:spacing w:after="0"/>
        <w:tabs>
          <w:tab w:leader="none" w:pos="140" w:val="left"/>
        </w:tabs>
        <w:numPr>
          <w:ilvl w:val="1"/>
          <w:numId w:val="4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7"/>
          <w:szCs w:val="7"/>
          <w:color w:val="auto"/>
        </w:rPr>
      </w:pPr>
    </w:p>
    <w:p>
      <w:pPr>
        <w:ind w:left="100" w:hanging="94"/>
        <w:spacing w:after="0" w:line="223" w:lineRule="auto"/>
        <w:tabs>
          <w:tab w:leader="none" w:pos="100" w:val="left"/>
        </w:tabs>
        <w:numPr>
          <w:ilvl w:val="0"/>
          <w:numId w:val="5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All significant intercompany transactions have been eliminated in consolidation.</w:t>
      </w:r>
    </w:p>
    <w:p>
      <w:pPr>
        <w:ind w:left="100" w:hanging="94"/>
        <w:spacing w:after="0"/>
        <w:tabs>
          <w:tab w:leader="none" w:pos="100" w:val="left"/>
        </w:tabs>
        <w:numPr>
          <w:ilvl w:val="0"/>
          <w:numId w:val="5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1440"/>
          </w:cols>
          <w:pgMar w:left="220" w:top="766" w:right="2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2015</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Other Guarantor</w:t>
            </w:r>
          </w:p>
        </w:tc>
        <w:tc>
          <w:tcPr>
            <w:tcW w:w="140" w:type="dxa"/>
            <w:vAlign w:val="bottom"/>
          </w:tcPr>
          <w:p>
            <w:pPr>
              <w:spacing w:after="0"/>
              <w:rPr>
                <w:sz w:val="11"/>
                <w:szCs w:val="11"/>
                <w:color w:val="auto"/>
              </w:rPr>
            </w:pPr>
          </w:p>
        </w:tc>
        <w:tc>
          <w:tcPr>
            <w:tcW w:w="1020" w:type="dxa"/>
            <w:vAlign w:val="bottom"/>
            <w:vMerge w:val="restart"/>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Non-Guarantor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NRG Yield Operating</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NRG Yield LLC </w:t>
            </w:r>
            <w:r>
              <w:rPr>
                <w:rFonts w:ascii="Times New Roman" w:cs="Times New Roman" w:eastAsia="Times New Roman" w:hAnsi="Times New Roman"/>
                <w:sz w:val="7"/>
                <w:szCs w:val="7"/>
                <w:b w:val="1"/>
                <w:bCs w:val="1"/>
                <w:color w:val="auto"/>
              </w:rPr>
              <w:t>(a)(c)</w:t>
            </w: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LLC</w:t>
            </w:r>
          </w:p>
        </w:tc>
        <w:tc>
          <w:tcPr>
            <w:tcW w:w="220" w:type="dxa"/>
            <w:vAlign w:val="bottom"/>
          </w:tcPr>
          <w:p>
            <w:pPr>
              <w:spacing w:after="0"/>
              <w:rPr>
                <w:sz w:val="10"/>
                <w:szCs w:val="10"/>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Eliminations</w:t>
            </w:r>
            <w:r>
              <w:rPr>
                <w:rFonts w:ascii="Times New Roman" w:cs="Times New Roman" w:eastAsia="Times New Roman" w:hAnsi="Times New Roman"/>
                <w:sz w:val="7"/>
                <w:szCs w:val="7"/>
                <w:b w:val="1"/>
                <w:bCs w:val="1"/>
                <w:color w:val="auto"/>
              </w:rPr>
              <w:t>(b)(c)</w:t>
            </w:r>
          </w:p>
        </w:tc>
        <w:tc>
          <w:tcPr>
            <w:tcW w:w="160" w:type="dxa"/>
            <w:vAlign w:val="bottom"/>
          </w:tcPr>
          <w:p>
            <w:pPr>
              <w:spacing w:after="0"/>
              <w:rPr>
                <w:sz w:val="10"/>
                <w:szCs w:val="10"/>
                <w:color w:val="auto"/>
              </w:rPr>
            </w:pPr>
          </w:p>
        </w:tc>
        <w:tc>
          <w:tcPr>
            <w:tcW w:w="9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50"/>
        </w:trPr>
        <w:tc>
          <w:tcPr>
            <w:tcW w:w="3800" w:type="dxa"/>
            <w:vAlign w:val="bottom"/>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 xml:space="preserve">Subsidiaries </w:t>
            </w:r>
            <w:r>
              <w:rPr>
                <w:rFonts w:ascii="Times New Roman" w:cs="Times New Roman" w:eastAsia="Times New Roman" w:hAnsi="Times New Roman"/>
                <w:sz w:val="7"/>
                <w:szCs w:val="7"/>
                <w:b w:val="1"/>
                <w:bCs w:val="1"/>
                <w:color w:val="auto"/>
              </w:rPr>
              <w:t>(c)</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 xml:space="preserve">(Note Issuer) </w:t>
            </w:r>
            <w:r>
              <w:rPr>
                <w:rFonts w:ascii="Times New Roman" w:cs="Times New Roman" w:eastAsia="Times New Roman" w:hAnsi="Times New Roman"/>
                <w:sz w:val="7"/>
                <w:szCs w:val="7"/>
                <w:b w:val="1"/>
                <w:bCs w:val="1"/>
                <w:color w:val="auto"/>
              </w:rPr>
              <w:t>(c)</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800" w:type="dxa"/>
            <w:vAlign w:val="bottom"/>
          </w:tcPr>
          <w:p>
            <w:pPr>
              <w:ind w:left="16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3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3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receivable — affiliates</w:t>
            </w:r>
          </w:p>
        </w:tc>
        <w:tc>
          <w:tcPr>
            <w:tcW w:w="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Inventory</w:t>
            </w:r>
          </w:p>
        </w:tc>
        <w:tc>
          <w:tcPr>
            <w:tcW w:w="3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Notes receivable — current</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3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8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Total current assets</w:t>
            </w: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214"/>
        </w:trPr>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5,817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5,878</w:t>
            </w:r>
          </w:p>
        </w:tc>
        <w:tc>
          <w:tcPr>
            <w:tcW w:w="0" w:type="dxa"/>
            <w:vAlign w:val="bottom"/>
          </w:tcPr>
          <w:p>
            <w:pPr>
              <w:spacing w:after="0"/>
              <w:rPr>
                <w:sz w:val="1"/>
                <w:szCs w:val="1"/>
                <w:color w:val="auto"/>
              </w:rPr>
            </w:pPr>
          </w:p>
        </w:tc>
      </w:tr>
      <w:tr>
        <w:trPr>
          <w:trHeight w:val="18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 in consolidated subsidiaries</w:t>
            </w:r>
          </w:p>
        </w:tc>
        <w:tc>
          <w:tcPr>
            <w:tcW w:w="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2,010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548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3,535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3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697</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Notes receivable — non-current</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88"/>
        </w:trPr>
        <w:tc>
          <w:tcPr>
            <w:tcW w:w="3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Intangible assets, net</w:t>
            </w:r>
          </w:p>
        </w:tc>
        <w:tc>
          <w:tcPr>
            <w:tcW w:w="3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1,362</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3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68"/>
        </w:trPr>
        <w:tc>
          <w:tcPr>
            <w:tcW w:w="3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other assets</w:t>
            </w:r>
          </w:p>
        </w:tc>
        <w:tc>
          <w:tcPr>
            <w:tcW w:w="3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2,010</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733</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1,645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3,930</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2,225</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7,864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3,943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8,522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41541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52" w:lineRule="exact"/>
        <w:rPr>
          <w:sz w:val="20"/>
          <w:szCs w:val="20"/>
          <w:color w:val="auto"/>
        </w:rPr>
      </w:pPr>
    </w:p>
    <w:p>
      <w:pPr>
        <w:ind w:left="140" w:hanging="91"/>
        <w:spacing w:after="0"/>
        <w:tabs>
          <w:tab w:leader="none" w:pos="140" w:val="left"/>
        </w:tabs>
        <w:numPr>
          <w:ilvl w:val="1"/>
          <w:numId w:val="5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7"/>
          <w:szCs w:val="7"/>
          <w:color w:val="auto"/>
        </w:rPr>
      </w:pPr>
    </w:p>
    <w:p>
      <w:pPr>
        <w:ind w:left="100" w:hanging="94"/>
        <w:spacing w:after="0" w:line="223" w:lineRule="auto"/>
        <w:tabs>
          <w:tab w:leader="none" w:pos="100" w:val="left"/>
        </w:tabs>
        <w:numPr>
          <w:ilvl w:val="0"/>
          <w:numId w:val="5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All significant intercompany transactions have been eliminated in consolidation.</w:t>
      </w:r>
    </w:p>
    <w:p>
      <w:pPr>
        <w:ind w:left="100" w:hanging="94"/>
        <w:spacing w:after="0"/>
        <w:tabs>
          <w:tab w:leader="none" w:pos="100" w:val="left"/>
        </w:tabs>
        <w:numPr>
          <w:ilvl w:val="0"/>
          <w:numId w:val="5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1460"/>
          </w:cols>
          <w:pgMar w:left="220" w:top="766" w:right="219" w:bottom="1440" w:gutter="0" w:footer="0" w:header="0"/>
        </w:sectPr>
      </w:pPr>
    </w:p>
    <w:bookmarkStart w:id="112" w:name="page113"/>
    <w:bookmarkEnd w:id="112"/>
    <w:p>
      <w:pPr>
        <w:ind w:left="4480"/>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3"/>
              </w:rPr>
              <w:t xml:space="preserve">NRG Yield LLC </w:t>
            </w:r>
            <w:r>
              <w:rPr>
                <w:rFonts w:ascii="Times New Roman" w:cs="Times New Roman" w:eastAsia="Times New Roman" w:hAnsi="Times New Roman"/>
                <w:sz w:val="17"/>
                <w:szCs w:val="17"/>
                <w:b w:val="1"/>
                <w:bCs w:val="1"/>
                <w:color w:val="auto"/>
                <w:w w:val="93"/>
                <w:vertAlign w:val="superscript"/>
              </w:rPr>
              <w:t>(a)</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Other Guarantor</w:t>
            </w:r>
          </w:p>
        </w:tc>
        <w:tc>
          <w:tcPr>
            <w:tcW w:w="140" w:type="dxa"/>
            <w:vAlign w:val="bottom"/>
          </w:tcPr>
          <w:p>
            <w:pPr>
              <w:spacing w:after="0"/>
              <w:rPr>
                <w:sz w:val="17"/>
                <w:szCs w:val="17"/>
                <w:color w:val="auto"/>
              </w:rPr>
            </w:pPr>
          </w:p>
        </w:tc>
        <w:tc>
          <w:tcPr>
            <w:tcW w:w="1020" w:type="dxa"/>
            <w:vAlign w:val="bottom"/>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Non-Guarantor</w:t>
            </w:r>
          </w:p>
        </w:tc>
        <w:tc>
          <w:tcPr>
            <w:tcW w:w="10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NRG Yield Operating LLC</w:t>
            </w:r>
          </w:p>
        </w:tc>
        <w:tc>
          <w:tcPr>
            <w:tcW w:w="160" w:type="dxa"/>
            <w:vAlign w:val="bottom"/>
          </w:tcPr>
          <w:p>
            <w:pPr>
              <w:spacing w:after="0"/>
              <w:rPr>
                <w:sz w:val="17"/>
                <w:szCs w:val="17"/>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Eliminations </w:t>
            </w:r>
            <w:r>
              <w:rPr>
                <w:rFonts w:ascii="Times New Roman" w:cs="Times New Roman" w:eastAsia="Times New Roman" w:hAnsi="Times New Roman"/>
                <w:sz w:val="17"/>
                <w:szCs w:val="17"/>
                <w:b w:val="1"/>
                <w:bCs w:val="1"/>
                <w:color w:val="auto"/>
                <w:vertAlign w:val="superscript"/>
              </w:rPr>
              <w:t>(b) (c)</w:t>
            </w:r>
          </w:p>
        </w:tc>
        <w:tc>
          <w:tcPr>
            <w:tcW w:w="180" w:type="dxa"/>
            <w:vAlign w:val="bottom"/>
          </w:tcPr>
          <w:p>
            <w:pPr>
              <w:spacing w:after="0"/>
              <w:rPr>
                <w:sz w:val="17"/>
                <w:szCs w:val="17"/>
                <w:color w:val="auto"/>
              </w:rPr>
            </w:pPr>
          </w:p>
        </w:tc>
        <w:tc>
          <w:tcPr>
            <w:tcW w:w="94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9"/>
                <w:szCs w:val="9"/>
                <w:b w:val="1"/>
                <w:bCs w:val="1"/>
                <w:color w:val="auto"/>
                <w:w w:val="99"/>
              </w:rPr>
              <w:t>(c)</w:t>
            </w: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77"/>
              <w:spacing w:after="0" w:line="144" w:lineRule="exact"/>
              <w:rPr>
                <w:sz w:val="20"/>
                <w:szCs w:val="20"/>
                <w:color w:val="auto"/>
              </w:rPr>
            </w:pPr>
            <w:r>
              <w:rPr>
                <w:rFonts w:ascii="Times New Roman" w:cs="Times New Roman" w:eastAsia="Times New Roman" w:hAnsi="Times New Roman"/>
                <w:sz w:val="10"/>
                <w:szCs w:val="10"/>
                <w:b w:val="1"/>
                <w:bCs w:val="1"/>
                <w:color w:val="auto"/>
              </w:rPr>
              <w:t xml:space="preserve">Subsidiaries </w:t>
            </w:r>
            <w:r>
              <w:rPr>
                <w:rFonts w:ascii="Times New Roman" w:cs="Times New Roman" w:eastAsia="Times New Roman" w:hAnsi="Times New Roman"/>
                <w:sz w:val="16"/>
                <w:szCs w:val="16"/>
                <w:b w:val="1"/>
                <w:bCs w:val="1"/>
                <w:color w:val="auto"/>
                <w:vertAlign w:val="superscript"/>
              </w:rPr>
              <w:t>(c)</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320"/>
              <w:spacing w:after="0" w:line="144" w:lineRule="exact"/>
              <w:rPr>
                <w:sz w:val="20"/>
                <w:szCs w:val="20"/>
                <w:color w:val="auto"/>
              </w:rPr>
            </w:pPr>
            <w:r>
              <w:rPr>
                <w:rFonts w:ascii="Times New Roman" w:cs="Times New Roman" w:eastAsia="Times New Roman" w:hAnsi="Times New Roman"/>
                <w:sz w:val="10"/>
                <w:szCs w:val="10"/>
                <w:b w:val="1"/>
                <w:bCs w:val="1"/>
                <w:color w:val="auto"/>
              </w:rPr>
              <w:t xml:space="preserve">(Note Issuer) </w:t>
            </w:r>
            <w:r>
              <w:rPr>
                <w:rFonts w:ascii="Times New Roman" w:cs="Times New Roman" w:eastAsia="Times New Roman" w:hAnsi="Times New Roman"/>
                <w:sz w:val="16"/>
                <w:szCs w:val="16"/>
                <w:b w:val="1"/>
                <w:bCs w:val="1"/>
                <w:color w:val="auto"/>
                <w:vertAlign w:val="superscript"/>
              </w:rPr>
              <w:t>(c)</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MEMBERS' EQUITY</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 — external</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267</w:t>
            </w:r>
          </w:p>
        </w:tc>
        <w:tc>
          <w:tcPr>
            <w:tcW w:w="32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264</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 — trade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 affiliate</w:t>
            </w:r>
          </w:p>
        </w:tc>
        <w:tc>
          <w:tcPr>
            <w:tcW w:w="2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488</w:t>
            </w:r>
          </w:p>
        </w:tc>
        <w:tc>
          <w:tcPr>
            <w:tcW w:w="0" w:type="dxa"/>
            <w:vAlign w:val="bottom"/>
          </w:tcPr>
          <w:p>
            <w:pPr>
              <w:spacing w:after="0"/>
              <w:rPr>
                <w:sz w:val="1"/>
                <w:szCs w:val="1"/>
                <w:color w:val="auto"/>
              </w:rPr>
            </w:pPr>
          </w:p>
        </w:tc>
      </w:tr>
      <w:tr>
        <w:trPr>
          <w:trHeight w:val="179"/>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Long-term debt — external</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3,943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4,743</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debt — affiliate</w:t>
            </w:r>
          </w:p>
        </w:tc>
        <w:tc>
          <w:tcPr>
            <w:tcW w:w="2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618</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non-current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4,076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1,418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5,494</w:t>
            </w:r>
          </w:p>
        </w:tc>
        <w:tc>
          <w:tcPr>
            <w:tcW w:w="0" w:type="dxa"/>
            <w:vAlign w:val="bottom"/>
          </w:tcPr>
          <w:p>
            <w:pPr>
              <w:spacing w:after="0"/>
              <w:rPr>
                <w:sz w:val="1"/>
                <w:szCs w:val="1"/>
                <w:color w:val="auto"/>
              </w:rPr>
            </w:pPr>
          </w:p>
        </w:tc>
      </w:tr>
      <w:tr>
        <w:trPr>
          <w:trHeight w:val="16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4,504</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1,542</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5,982</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Contributed capital</w:t>
            </w:r>
          </w:p>
        </w:tc>
        <w:tc>
          <w:tcPr>
            <w:tcW w:w="2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2,083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879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3,398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2,015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2,083</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280" w:type="dxa"/>
            <w:vAlign w:val="bottom"/>
          </w:tcPr>
          <w:p>
            <w:pPr>
              <w:spacing w:after="0"/>
              <w:rPr>
                <w:sz w:val="16"/>
                <w:szCs w:val="16"/>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Noncontrolling interest</w:t>
            </w:r>
          </w:p>
        </w:tc>
        <w:tc>
          <w:tcPr>
            <w:tcW w:w="2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460</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2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2,080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791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3,360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2,401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2,540</w:t>
            </w:r>
          </w:p>
        </w:tc>
        <w:tc>
          <w:tcPr>
            <w:tcW w:w="0" w:type="dxa"/>
            <w:vAlign w:val="bottom"/>
          </w:tcPr>
          <w:p>
            <w:pPr>
              <w:spacing w:after="0"/>
              <w:rPr>
                <w:sz w:val="1"/>
                <w:szCs w:val="1"/>
                <w:color w:val="auto"/>
              </w:rPr>
            </w:pPr>
          </w:p>
        </w:tc>
      </w:tr>
      <w:tr>
        <w:trPr>
          <w:trHeight w:val="187"/>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2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2,080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802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7,864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3,943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(6,167)</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8,522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156210</wp:posOffset>
            </wp:positionV>
            <wp:extent cx="138811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263" w:lineRule="exact"/>
        <w:rPr>
          <w:sz w:val="20"/>
          <w:szCs w:val="20"/>
          <w:color w:val="auto"/>
        </w:rPr>
      </w:pPr>
    </w:p>
    <w:p>
      <w:pPr>
        <w:ind w:left="100" w:hanging="94"/>
        <w:spacing w:after="0"/>
        <w:tabs>
          <w:tab w:leader="none" w:pos="100" w:val="left"/>
        </w:tabs>
        <w:numPr>
          <w:ilvl w:val="0"/>
          <w:numId w:val="5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14" w:lineRule="exact"/>
        <w:rPr>
          <w:rFonts w:ascii="Times New Roman" w:cs="Times New Roman" w:eastAsia="Times New Roman" w:hAnsi="Times New Roman"/>
          <w:sz w:val="7"/>
          <w:szCs w:val="7"/>
          <w:color w:val="auto"/>
        </w:rPr>
      </w:pPr>
    </w:p>
    <w:p>
      <w:pPr>
        <w:ind w:left="100" w:hanging="94"/>
        <w:spacing w:after="0" w:line="223" w:lineRule="auto"/>
        <w:tabs>
          <w:tab w:leader="none" w:pos="100" w:val="left"/>
        </w:tabs>
        <w:numPr>
          <w:ilvl w:val="0"/>
          <w:numId w:val="5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All significant intercompany transactions have been eliminated in consolidation.</w:t>
      </w:r>
    </w:p>
    <w:p>
      <w:pPr>
        <w:ind w:left="100" w:hanging="94"/>
        <w:spacing w:after="0"/>
        <w:tabs>
          <w:tab w:leader="none" w:pos="100" w:val="left"/>
        </w:tabs>
        <w:numPr>
          <w:ilvl w:val="0"/>
          <w:numId w:val="5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1460"/>
          </w:cols>
          <w:pgMar w:left="220" w:top="884" w:right="219" w:bottom="1440" w:gutter="0" w:footer="0" w:header="0"/>
        </w:sectPr>
      </w:pPr>
    </w:p>
    <w:bookmarkStart w:id="113" w:name="page114"/>
    <w:bookmarkEnd w:id="113"/>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CONDENSED CONSOLIDATING STATEMENTS OF CASH FLOWS</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Year Ended December 31, 2015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 xml:space="preserve">NRG Yield LLC </w:t>
            </w:r>
            <w:r>
              <w:rPr>
                <w:rFonts w:ascii="Times New Roman" w:cs="Times New Roman" w:eastAsia="Times New Roman" w:hAnsi="Times New Roman"/>
                <w:sz w:val="17"/>
                <w:szCs w:val="17"/>
                <w:b w:val="1"/>
                <w:bCs w:val="1"/>
                <w:color w:val="auto"/>
                <w:w w:val="93"/>
                <w:vertAlign w:val="superscript"/>
              </w:rPr>
              <w:t>(a)</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Other Guarantor</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Non-Guarantor Subsidiaries</w:t>
            </w:r>
          </w:p>
        </w:tc>
        <w:tc>
          <w:tcPr>
            <w:tcW w:w="10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2C2C2C"/>
              </w:rPr>
              <w:t>NRG Yield Operating</w:t>
            </w:r>
          </w:p>
        </w:tc>
        <w:tc>
          <w:tcPr>
            <w:tcW w:w="160" w:type="dxa"/>
            <w:vAlign w:val="bottom"/>
          </w:tcPr>
          <w:p>
            <w:pPr>
              <w:spacing w:after="0"/>
              <w:rPr>
                <w:sz w:val="17"/>
                <w:szCs w:val="17"/>
                <w:color w:val="auto"/>
              </w:rPr>
            </w:pPr>
          </w:p>
        </w:tc>
        <w:tc>
          <w:tcPr>
            <w:tcW w:w="96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39"/>
        </w:trPr>
        <w:tc>
          <w:tcPr>
            <w:tcW w:w="50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9"/>
                <w:szCs w:val="9"/>
                <w:b w:val="1"/>
                <w:bCs w:val="1"/>
                <w:color w:val="auto"/>
                <w:w w:val="90"/>
              </w:rPr>
              <w:t>(b)</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9"/>
                <w:szCs w:val="9"/>
                <w:b w:val="1"/>
                <w:bCs w:val="1"/>
                <w:color w:val="auto"/>
              </w:rPr>
              <w:t>(b)</w:t>
            </w: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20"/>
              <w:spacing w:after="0" w:line="139" w:lineRule="exact"/>
              <w:rPr>
                <w:sz w:val="20"/>
                <w:szCs w:val="20"/>
                <w:color w:val="auto"/>
              </w:rPr>
            </w:pPr>
            <w:r>
              <w:rPr>
                <w:rFonts w:ascii="Times New Roman" w:cs="Times New Roman" w:eastAsia="Times New Roman" w:hAnsi="Times New Roman"/>
                <w:sz w:val="10"/>
                <w:szCs w:val="10"/>
                <w:b w:val="1"/>
                <w:bCs w:val="1"/>
                <w:color w:val="2C2C2C"/>
              </w:rPr>
              <w:t xml:space="preserve">LLC (Note Issuer) </w:t>
            </w:r>
            <w:r>
              <w:rPr>
                <w:rFonts w:ascii="Times New Roman" w:cs="Times New Roman" w:eastAsia="Times New Roman" w:hAnsi="Times New Roman"/>
                <w:sz w:val="16"/>
                <w:szCs w:val="16"/>
                <w:b w:val="1"/>
                <w:bCs w:val="1"/>
                <w:color w:val="2C2C2C"/>
                <w:vertAlign w:val="superscript"/>
              </w:rPr>
              <w:t>(b)</w:t>
            </w: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403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404</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Changes in investments in consolidated subsidiaries</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 of Drop Down Assets, net of cash acquired</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8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 decrease in restricted cash</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Decrease in notes receivable</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8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Return of investment from unconsolidated affiliates</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 unconsolidated affiliates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68"/>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272</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Transfer of funds under intercompany cash management arrangement</w:t>
            </w:r>
          </w:p>
        </w:tc>
        <w:tc>
          <w:tcPr>
            <w:tcW w:w="260" w:type="dxa"/>
            <w:vAlign w:val="bottom"/>
          </w:tcPr>
          <w:p>
            <w:pPr>
              <w:spacing w:after="0"/>
              <w:rPr>
                <w:sz w:val="16"/>
                <w:szCs w:val="16"/>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contributions from noncontrolling interests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8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Distributions to NRG for NRG Wind TE Holdco and CVSR</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Class C and Class A units</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599</w:t>
            </w:r>
          </w:p>
        </w:tc>
        <w:tc>
          <w:tcPr>
            <w:tcW w:w="0" w:type="dxa"/>
            <w:vAlign w:val="bottom"/>
          </w:tcPr>
          <w:p>
            <w:pPr>
              <w:spacing w:after="0"/>
              <w:rPr>
                <w:sz w:val="1"/>
                <w:szCs w:val="1"/>
                <w:color w:val="auto"/>
              </w:rPr>
            </w:pPr>
          </w:p>
        </w:tc>
      </w:tr>
      <w:tr>
        <w:trPr>
          <w:trHeight w:val="18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proceeds from distributions</w:t>
            </w:r>
          </w:p>
        </w:tc>
        <w:tc>
          <w:tcPr>
            <w:tcW w:w="260" w:type="dxa"/>
            <w:vAlign w:val="bottom"/>
          </w:tcPr>
          <w:p>
            <w:pPr>
              <w:spacing w:after="0"/>
              <w:rPr>
                <w:sz w:val="16"/>
                <w:szCs w:val="16"/>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the revolving credit facility</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551</w:t>
            </w:r>
          </w:p>
        </w:tc>
        <w:tc>
          <w:tcPr>
            <w:tcW w:w="0" w:type="dxa"/>
            <w:vAlign w:val="bottom"/>
          </w:tcPr>
          <w:p>
            <w:pPr>
              <w:spacing w:after="0"/>
              <w:rPr>
                <w:sz w:val="1"/>
                <w:szCs w:val="1"/>
                <w:color w:val="auto"/>
              </w:rPr>
            </w:pPr>
          </w:p>
        </w:tc>
      </w:tr>
      <w:tr>
        <w:trPr>
          <w:trHeight w:val="18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for the revolving credit facility</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long-term debt - external</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long-term debt affiliate</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for long-term debt</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906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385</w:t>
            </w:r>
          </w:p>
        </w:tc>
        <w:tc>
          <w:tcPr>
            <w:tcW w:w="0" w:type="dxa"/>
            <w:vAlign w:val="bottom"/>
          </w:tcPr>
          <w:p>
            <w:pPr>
              <w:spacing w:after="0"/>
              <w:rPr>
                <w:sz w:val="1"/>
                <w:szCs w:val="1"/>
                <w:color w:val="auto"/>
              </w:rPr>
            </w:pPr>
          </w:p>
        </w:tc>
      </w:tr>
      <w:tr>
        <w:trPr>
          <w:trHeight w:val="168"/>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429</w:t>
            </w:r>
          </w:p>
        </w:tc>
        <w:tc>
          <w:tcPr>
            <w:tcW w:w="0" w:type="dxa"/>
            <w:vAlign w:val="bottom"/>
          </w:tcPr>
          <w:p>
            <w:pPr>
              <w:spacing w:after="0"/>
              <w:rPr>
                <w:sz w:val="1"/>
                <w:szCs w:val="1"/>
                <w:color w:val="auto"/>
              </w:rPr>
            </w:pPr>
          </w:p>
        </w:tc>
      </w:tr>
      <w:tr>
        <w:trPr>
          <w:trHeight w:val="187"/>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2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35445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52" w:lineRule="exact"/>
        <w:rPr>
          <w:sz w:val="20"/>
          <w:szCs w:val="20"/>
          <w:color w:val="auto"/>
        </w:rPr>
      </w:pPr>
    </w:p>
    <w:p>
      <w:pPr>
        <w:ind w:left="140" w:hanging="91"/>
        <w:spacing w:after="0"/>
        <w:tabs>
          <w:tab w:leader="none" w:pos="140" w:val="left"/>
        </w:tabs>
        <w:numPr>
          <w:ilvl w:val="1"/>
          <w:numId w:val="5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7"/>
          <w:szCs w:val="7"/>
          <w:color w:val="auto"/>
        </w:rPr>
      </w:pPr>
    </w:p>
    <w:p>
      <w:pPr>
        <w:ind w:left="120" w:hanging="114"/>
        <w:spacing w:after="0"/>
        <w:tabs>
          <w:tab w:leader="none" w:pos="120" w:val="left"/>
        </w:tabs>
        <w:numPr>
          <w:ilvl w:val="0"/>
          <w:numId w:val="5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1400"/>
          </w:cols>
          <w:pgMar w:left="220" w:top="766" w:right="27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CONSOLIDATING STATEMENTS OF OPERATIONS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Other Guarantor</w:t>
            </w:r>
          </w:p>
        </w:tc>
        <w:tc>
          <w:tcPr>
            <w:tcW w:w="180" w:type="dxa"/>
            <w:vAlign w:val="bottom"/>
          </w:tcPr>
          <w:p>
            <w:pPr>
              <w:spacing w:after="0"/>
              <w:rPr>
                <w:sz w:val="11"/>
                <w:szCs w:val="1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Non-Guarantor</w:t>
            </w:r>
          </w:p>
        </w:tc>
        <w:tc>
          <w:tcPr>
            <w:tcW w:w="120" w:type="dxa"/>
            <w:vAlign w:val="bottom"/>
          </w:tcPr>
          <w:p>
            <w:pPr>
              <w:spacing w:after="0"/>
              <w:rPr>
                <w:sz w:val="11"/>
                <w:szCs w:val="11"/>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NRG Yield Operating</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56"/>
        </w:trPr>
        <w:tc>
          <w:tcPr>
            <w:tcW w:w="3680" w:type="dxa"/>
            <w:vAlign w:val="bottom"/>
          </w:tcPr>
          <w:p>
            <w:pPr>
              <w:spacing w:after="0"/>
              <w:rPr>
                <w:sz w:val="13"/>
                <w:szCs w:val="13"/>
                <w:color w:val="auto"/>
              </w:rPr>
            </w:pPr>
          </w:p>
        </w:tc>
        <w:tc>
          <w:tcPr>
            <w:tcW w:w="1280" w:type="dxa"/>
            <w:vAlign w:val="bottom"/>
            <w:tcBorders>
              <w:bottom w:val="single" w:sz="8" w:color="auto"/>
            </w:tcBorders>
            <w:gridSpan w:val="3"/>
          </w:tcPr>
          <w:p>
            <w:pPr>
              <w:ind w:left="8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NRG Yield LLC </w:t>
            </w:r>
            <w:r>
              <w:rPr>
                <w:rFonts w:ascii="Times New Roman" w:cs="Times New Roman" w:eastAsia="Times New Roman" w:hAnsi="Times New Roman"/>
                <w:sz w:val="17"/>
                <w:szCs w:val="17"/>
                <w:b w:val="1"/>
                <w:bCs w:val="1"/>
                <w:color w:val="auto"/>
                <w:vertAlign w:val="superscript"/>
              </w:rPr>
              <w:t>(a) (c)</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ind w:left="10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Subsidiaries </w:t>
            </w:r>
            <w:r>
              <w:rPr>
                <w:rFonts w:ascii="Times New Roman" w:cs="Times New Roman" w:eastAsia="Times New Roman" w:hAnsi="Times New Roman"/>
                <w:sz w:val="17"/>
                <w:szCs w:val="17"/>
                <w:b w:val="1"/>
                <w:bCs w:val="1"/>
                <w:color w:val="auto"/>
                <w:vertAlign w:val="superscript"/>
              </w:rPr>
              <w:t>(c)</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line="156" w:lineRule="exact"/>
              <w:rPr>
                <w:sz w:val="20"/>
                <w:szCs w:val="20"/>
                <w:color w:val="auto"/>
              </w:rPr>
            </w:pPr>
            <w:r>
              <w:rPr>
                <w:rFonts w:ascii="Times New Roman" w:cs="Times New Roman" w:eastAsia="Times New Roman" w:hAnsi="Times New Roman"/>
                <w:sz w:val="11"/>
                <w:szCs w:val="11"/>
                <w:b w:val="1"/>
                <w:bCs w:val="1"/>
                <w:color w:val="auto"/>
                <w:w w:val="94"/>
              </w:rPr>
              <w:t xml:space="preserve">LLC (Note Issuer) </w:t>
            </w:r>
            <w:r>
              <w:rPr>
                <w:rFonts w:ascii="Times New Roman" w:cs="Times New Roman" w:eastAsia="Times New Roman" w:hAnsi="Times New Roman"/>
                <w:sz w:val="17"/>
                <w:szCs w:val="17"/>
                <w:b w:val="1"/>
                <w:bCs w:val="1"/>
                <w:color w:val="auto"/>
                <w:w w:val="94"/>
                <w:vertAlign w:val="superscript"/>
              </w:rPr>
              <w:t>(c)</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80"/>
              <w:spacing w:after="0" w:line="156" w:lineRule="exact"/>
              <w:rPr>
                <w:sz w:val="20"/>
                <w:szCs w:val="20"/>
                <w:color w:val="auto"/>
              </w:rPr>
            </w:pPr>
            <w:r>
              <w:rPr>
                <w:rFonts w:ascii="Times New Roman" w:cs="Times New Roman" w:eastAsia="Times New Roman" w:hAnsi="Times New Roman"/>
                <w:sz w:val="11"/>
                <w:szCs w:val="11"/>
                <w:b w:val="1"/>
                <w:bCs w:val="1"/>
                <w:color w:val="auto"/>
              </w:rPr>
              <w:t>Eliminations</w:t>
            </w:r>
            <w:r>
              <w:rPr>
                <w:rFonts w:ascii="Times New Roman" w:cs="Times New Roman" w:eastAsia="Times New Roman" w:hAnsi="Times New Roman"/>
                <w:sz w:val="17"/>
                <w:szCs w:val="17"/>
                <w:b w:val="1"/>
                <w:bCs w:val="1"/>
                <w:color w:val="auto"/>
                <w:vertAlign w:val="superscript"/>
              </w:rPr>
              <w:t>(b) (c)</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190"/>
        </w:trPr>
        <w:tc>
          <w:tcPr>
            <w:tcW w:w="3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4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revenues</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tcPr>
          <w:p>
            <w:pPr>
              <w:spacing w:after="0"/>
              <w:rPr>
                <w:sz w:val="16"/>
                <w:szCs w:val="16"/>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828</w:t>
            </w: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9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operations</w:t>
            </w:r>
          </w:p>
        </w:tc>
        <w:tc>
          <w:tcPr>
            <w:tcW w:w="4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277</w:t>
            </w:r>
          </w:p>
        </w:tc>
      </w:tr>
      <w:tr>
        <w:trPr>
          <w:trHeight w:val="22"/>
        </w:trPr>
        <w:tc>
          <w:tcPr>
            <w:tcW w:w="3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4"/>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233</w:t>
            </w:r>
          </w:p>
        </w:tc>
      </w:tr>
      <w:tr>
        <w:trPr>
          <w:trHeight w:val="19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w:t>
            </w:r>
          </w:p>
        </w:tc>
      </w:tr>
      <w:tr>
        <w:trPr>
          <w:trHeight w:val="22"/>
        </w:trPr>
        <w:tc>
          <w:tcPr>
            <w:tcW w:w="3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transaction and integration costs</w:t>
            </w:r>
          </w:p>
        </w:tc>
        <w:tc>
          <w:tcPr>
            <w:tcW w:w="4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4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522</w:t>
            </w: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5"/>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4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306</w:t>
            </w:r>
          </w:p>
        </w:tc>
      </w:tr>
      <w:tr>
        <w:trPr>
          <w:trHeight w:val="18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4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2"/>
        </w:trPr>
        <w:tc>
          <w:tcPr>
            <w:tcW w:w="3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4"/>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 earnings (losses) of consolidated affiliates</w:t>
            </w: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 (losses) earnings of unconsolidated affiliates</w:t>
            </w:r>
          </w:p>
        </w:tc>
        <w:tc>
          <w:tcPr>
            <w:tcW w:w="4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w:t>
            </w:r>
          </w:p>
        </w:tc>
      </w:tr>
      <w:tr>
        <w:trPr>
          <w:trHeight w:val="22"/>
        </w:trPr>
        <w:tc>
          <w:tcPr>
            <w:tcW w:w="3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4"/>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w:t>
            </w:r>
          </w:p>
        </w:tc>
      </w:tr>
      <w:tr>
        <w:trPr>
          <w:trHeight w:val="192"/>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4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3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4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183"/>
        </w:trPr>
        <w:tc>
          <w:tcPr>
            <w:tcW w:w="3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4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5"/>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4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117</w:t>
            </w:r>
          </w:p>
        </w:tc>
      </w:tr>
      <w:tr>
        <w:trPr>
          <w:trHeight w:val="18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4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NRG Yield LLC</w:t>
            </w: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114</w:t>
            </w:r>
          </w:p>
        </w:tc>
      </w:tr>
      <w:tr>
        <w:trPr>
          <w:trHeight w:val="20"/>
        </w:trPr>
        <w:tc>
          <w:tcPr>
            <w:tcW w:w="3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41541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9" w:lineRule="exact"/>
        <w:rPr>
          <w:sz w:val="20"/>
          <w:szCs w:val="20"/>
          <w:color w:val="auto"/>
        </w:rPr>
      </w:pPr>
    </w:p>
    <w:p>
      <w:pPr>
        <w:ind w:left="140" w:hanging="91"/>
        <w:spacing w:after="0"/>
        <w:tabs>
          <w:tab w:leader="none" w:pos="140" w:val="left"/>
        </w:tabs>
        <w:numPr>
          <w:ilvl w:val="1"/>
          <w:numId w:val="5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7"/>
          <w:szCs w:val="7"/>
          <w:color w:val="auto"/>
        </w:rPr>
      </w:pPr>
    </w:p>
    <w:p>
      <w:pPr>
        <w:ind w:left="100" w:hanging="94"/>
        <w:spacing w:after="0" w:line="223" w:lineRule="auto"/>
        <w:tabs>
          <w:tab w:leader="none" w:pos="100" w:val="left"/>
        </w:tabs>
        <w:numPr>
          <w:ilvl w:val="0"/>
          <w:numId w:val="5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All significant intercompany transactions have been eliminated in consolidation.</w:t>
      </w:r>
    </w:p>
    <w:p>
      <w:pPr>
        <w:ind w:left="120" w:hanging="114"/>
        <w:spacing w:after="0"/>
        <w:tabs>
          <w:tab w:leader="none" w:pos="120" w:val="left"/>
        </w:tabs>
        <w:numPr>
          <w:ilvl w:val="0"/>
          <w:numId w:val="5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1460"/>
          </w:cols>
          <w:pgMar w:left="220" w:top="766" w:right="2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CONSOLIDATING STATEMENTS OF COMPREHENSIVE INCOME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NRG Yield Operating</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Other Guarantor</w:t>
            </w: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w w:val="97"/>
              </w:rPr>
              <w:t>LLC</w:t>
            </w: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160" w:type="dxa"/>
            <w:vAlign w:val="bottom"/>
            <w:tcBorders>
              <w:bottom w:val="single" w:sz="8" w:color="auto"/>
            </w:tcBorders>
            <w:gridSpan w:val="3"/>
          </w:tcPr>
          <w:p>
            <w:pPr>
              <w:ind w:left="2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NRG Yield LLC </w:t>
            </w:r>
            <w:r>
              <w:rPr>
                <w:rFonts w:ascii="Times New Roman" w:cs="Times New Roman" w:eastAsia="Times New Roman" w:hAnsi="Times New Roman"/>
                <w:sz w:val="17"/>
                <w:szCs w:val="17"/>
                <w:b w:val="1"/>
                <w:bCs w:val="1"/>
                <w:color w:val="auto"/>
                <w:vertAlign w:val="superscript"/>
              </w:rPr>
              <w:t>(a) (c)</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620" w:type="dxa"/>
            <w:vAlign w:val="bottom"/>
            <w:tcBorders>
              <w:bottom w:val="single" w:sz="8" w:color="auto"/>
            </w:tcBorders>
            <w:gridSpan w:val="3"/>
          </w:tcPr>
          <w:p>
            <w:pPr>
              <w:ind w:left="4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Non-Guarantor Subsidiaries </w:t>
            </w:r>
            <w:r>
              <w:rPr>
                <w:rFonts w:ascii="Times New Roman" w:cs="Times New Roman" w:eastAsia="Times New Roman" w:hAnsi="Times New Roman"/>
                <w:sz w:val="17"/>
                <w:szCs w:val="17"/>
                <w:b w:val="1"/>
                <w:bCs w:val="1"/>
                <w:color w:val="auto"/>
                <w:vertAlign w:val="superscript"/>
              </w:rPr>
              <w:t>(c)</w:t>
            </w: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40"/>
              <w:spacing w:after="0" w:line="156" w:lineRule="exact"/>
              <w:rPr>
                <w:sz w:val="20"/>
                <w:szCs w:val="20"/>
                <w:color w:val="auto"/>
              </w:rPr>
            </w:pPr>
            <w:r>
              <w:rPr>
                <w:rFonts w:ascii="Times New Roman" w:cs="Times New Roman" w:eastAsia="Times New Roman" w:hAnsi="Times New Roman"/>
                <w:sz w:val="11"/>
                <w:szCs w:val="11"/>
                <w:b w:val="1"/>
                <w:bCs w:val="1"/>
                <w:color w:val="auto"/>
                <w:w w:val="94"/>
              </w:rPr>
              <w:t xml:space="preserve">(Note Issuer) </w:t>
            </w:r>
            <w:r>
              <w:rPr>
                <w:rFonts w:ascii="Times New Roman" w:cs="Times New Roman" w:eastAsia="Times New Roman" w:hAnsi="Times New Roman"/>
                <w:sz w:val="17"/>
                <w:szCs w:val="17"/>
                <w:b w:val="1"/>
                <w:bCs w:val="1"/>
                <w:color w:val="auto"/>
                <w:w w:val="94"/>
                <w:vertAlign w:val="superscript"/>
              </w:rPr>
              <w:t>(c)</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80"/>
              <w:spacing w:after="0" w:line="156" w:lineRule="exact"/>
              <w:rPr>
                <w:sz w:val="20"/>
                <w:szCs w:val="20"/>
                <w:color w:val="auto"/>
              </w:rPr>
            </w:pPr>
            <w:r>
              <w:rPr>
                <w:rFonts w:ascii="Times New Roman" w:cs="Times New Roman" w:eastAsia="Times New Roman" w:hAnsi="Times New Roman"/>
                <w:sz w:val="11"/>
                <w:szCs w:val="11"/>
                <w:b w:val="1"/>
                <w:bCs w:val="1"/>
                <w:color w:val="auto"/>
              </w:rPr>
              <w:t xml:space="preserve">Eliminations </w:t>
            </w:r>
            <w:r>
              <w:rPr>
                <w:rFonts w:ascii="Times New Roman" w:cs="Times New Roman" w:eastAsia="Times New Roman" w:hAnsi="Times New Roman"/>
                <w:sz w:val="17"/>
                <w:szCs w:val="17"/>
                <w:b w:val="1"/>
                <w:bCs w:val="1"/>
                <w:color w:val="auto"/>
                <w:vertAlign w:val="superscript"/>
              </w:rPr>
              <w:t>(b) (c)</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62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Unrealized loss on derivatives</w:t>
            </w:r>
          </w:p>
        </w:tc>
        <w:tc>
          <w:tcPr>
            <w:tcW w:w="38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2"/>
        </w:trPr>
        <w:tc>
          <w:tcPr>
            <w:tcW w:w="3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2"/>
        </w:trPr>
        <w:tc>
          <w:tcPr>
            <w:tcW w:w="3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Less: Comprehensive income attributable to noncontrolling</w:t>
            </w: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6"/>
        </w:trPr>
        <w:tc>
          <w:tcPr>
            <w:tcW w:w="35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Comprehensive Income (Loss) Attributable to NRG</w:t>
            </w:r>
          </w:p>
        </w:tc>
        <w:tc>
          <w:tcPr>
            <w:tcW w:w="3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3"/>
                <w:szCs w:val="13"/>
                <w:color w:val="auto"/>
              </w:rPr>
            </w:pPr>
          </w:p>
        </w:tc>
        <w:tc>
          <w:tcPr>
            <w:tcW w:w="620" w:type="dxa"/>
            <w:vAlign w:val="bottom"/>
            <w:tcBorders>
              <w:top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8"/>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Yield LLC</w:t>
            </w:r>
          </w:p>
        </w:tc>
        <w:tc>
          <w:tcPr>
            <w:tcW w:w="3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41541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5415" cy="6985"/>
                    </a:xfrm>
                    <a:prstGeom prst="rect">
                      <a:avLst/>
                    </a:prstGeom>
                    <a:noFill/>
                  </pic:spPr>
                </pic:pic>
              </a:graphicData>
            </a:graphic>
          </wp:anchor>
        </w:drawing>
      </w:r>
    </w:p>
    <w:p>
      <w:pPr>
        <w:spacing w:after="0" w:line="209" w:lineRule="exact"/>
        <w:rPr>
          <w:sz w:val="20"/>
          <w:szCs w:val="20"/>
          <w:color w:val="auto"/>
        </w:rPr>
      </w:pPr>
    </w:p>
    <w:p>
      <w:pPr>
        <w:ind w:left="140" w:hanging="91"/>
        <w:spacing w:after="0"/>
        <w:tabs>
          <w:tab w:leader="none" w:pos="140" w:val="left"/>
        </w:tabs>
        <w:numPr>
          <w:ilvl w:val="1"/>
          <w:numId w:val="5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7"/>
          <w:szCs w:val="7"/>
          <w:color w:val="auto"/>
        </w:rPr>
      </w:pPr>
    </w:p>
    <w:p>
      <w:pPr>
        <w:ind w:left="100" w:hanging="94"/>
        <w:spacing w:after="0" w:line="223" w:lineRule="auto"/>
        <w:tabs>
          <w:tab w:leader="none" w:pos="100" w:val="left"/>
        </w:tabs>
        <w:numPr>
          <w:ilvl w:val="0"/>
          <w:numId w:val="5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All significant intercompany transactions have been eliminated in consolidation.</w:t>
      </w:r>
    </w:p>
    <w:p>
      <w:pPr>
        <w:ind w:left="120" w:hanging="114"/>
        <w:spacing w:after="0"/>
        <w:tabs>
          <w:tab w:leader="none" w:pos="120" w:val="left"/>
        </w:tabs>
        <w:numPr>
          <w:ilvl w:val="0"/>
          <w:numId w:val="5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1460"/>
          </w:cols>
          <w:pgMar w:left="220" w:top="766" w:right="2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b w:val="1"/>
          <w:bCs w:val="1"/>
          <w:color w:val="auto"/>
        </w:rPr>
        <w:t>NRG YIELD LLC AND SUBSIDIARIES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CONSOLIDATING STATEMENTS OF CASH FLOWS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3"/>
              </w:rPr>
              <w:t xml:space="preserve">NRG Yield LLC </w:t>
            </w:r>
            <w:r>
              <w:rPr>
                <w:rFonts w:ascii="Times New Roman" w:cs="Times New Roman" w:eastAsia="Times New Roman" w:hAnsi="Times New Roman"/>
                <w:sz w:val="17"/>
                <w:szCs w:val="17"/>
                <w:b w:val="1"/>
                <w:bCs w:val="1"/>
                <w:color w:val="auto"/>
                <w:w w:val="93"/>
                <w:vertAlign w:val="superscript"/>
              </w:rPr>
              <w:t>(a)</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Other Guarantor</w:t>
            </w:r>
          </w:p>
        </w:tc>
        <w:tc>
          <w:tcPr>
            <w:tcW w:w="22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Non-Guarantor</w:t>
            </w: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2C2C2C"/>
              </w:rPr>
              <w:t>NRG Yield Operating</w:t>
            </w:r>
          </w:p>
        </w:tc>
        <w:tc>
          <w:tcPr>
            <w:tcW w:w="180" w:type="dxa"/>
            <w:vAlign w:val="bottom"/>
          </w:tcPr>
          <w:p>
            <w:pPr>
              <w:spacing w:after="0"/>
              <w:rPr>
                <w:sz w:val="17"/>
                <w:szCs w:val="17"/>
                <w:color w:val="auto"/>
              </w:rPr>
            </w:pPr>
          </w:p>
        </w:tc>
        <w:tc>
          <w:tcPr>
            <w:tcW w:w="94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9"/>
                <w:szCs w:val="9"/>
                <w:b w:val="1"/>
                <w:bCs w:val="1"/>
                <w:color w:val="auto"/>
                <w:w w:val="90"/>
              </w:rPr>
              <w:t>(b)</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40"/>
              <w:spacing w:after="0" w:line="144" w:lineRule="exact"/>
              <w:rPr>
                <w:sz w:val="20"/>
                <w:szCs w:val="20"/>
                <w:color w:val="auto"/>
              </w:rPr>
            </w:pPr>
            <w:r>
              <w:rPr>
                <w:rFonts w:ascii="Times New Roman" w:cs="Times New Roman" w:eastAsia="Times New Roman" w:hAnsi="Times New Roman"/>
                <w:sz w:val="10"/>
                <w:szCs w:val="10"/>
                <w:b w:val="1"/>
                <w:bCs w:val="1"/>
                <w:color w:val="auto"/>
              </w:rPr>
              <w:t xml:space="preserve">Subsidiaries </w:t>
            </w:r>
            <w:r>
              <w:rPr>
                <w:rFonts w:ascii="Times New Roman" w:cs="Times New Roman" w:eastAsia="Times New Roman" w:hAnsi="Times New Roman"/>
                <w:sz w:val="16"/>
                <w:szCs w:val="16"/>
                <w:b w:val="1"/>
                <w:bCs w:val="1"/>
                <w:color w:val="auto"/>
                <w:vertAlign w:val="superscript"/>
              </w:rPr>
              <w:t>(b)</w:t>
            </w: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ind w:left="40"/>
              <w:spacing w:after="0" w:line="144" w:lineRule="exact"/>
              <w:rPr>
                <w:sz w:val="20"/>
                <w:szCs w:val="20"/>
                <w:color w:val="auto"/>
              </w:rPr>
            </w:pPr>
            <w:r>
              <w:rPr>
                <w:rFonts w:ascii="Times New Roman" w:cs="Times New Roman" w:eastAsia="Times New Roman" w:hAnsi="Times New Roman"/>
                <w:sz w:val="10"/>
                <w:szCs w:val="10"/>
                <w:b w:val="1"/>
                <w:bCs w:val="1"/>
                <w:color w:val="2C2C2C"/>
              </w:rPr>
              <w:t xml:space="preserve">LLC (Note Issuer) </w:t>
            </w:r>
            <w:r>
              <w:rPr>
                <w:rFonts w:ascii="Times New Roman" w:cs="Times New Roman" w:eastAsia="Times New Roman" w:hAnsi="Times New Roman"/>
                <w:sz w:val="16"/>
                <w:szCs w:val="16"/>
                <w:b w:val="1"/>
                <w:bCs w:val="1"/>
                <w:color w:val="2C2C2C"/>
                <w:vertAlign w:val="superscript"/>
              </w:rPr>
              <w:t>(b)</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17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Changes in investments in consolidated subsidiaries</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(530)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494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 of Drop Down Assets, net of cash acquired</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Receipt of indemnity from supplier</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Decrease in restricted cash, net</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Decrease in notes receivable</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renewable energy grants</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422</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Return of investment from unconsolidated affiliates</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(530)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549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0" w:type="dxa"/>
            <w:vAlign w:val="bottom"/>
          </w:tcPr>
          <w:p>
            <w:pPr>
              <w:spacing w:after="0"/>
              <w:rPr>
                <w:sz w:val="1"/>
                <w:szCs w:val="1"/>
                <w:color w:val="auto"/>
              </w:rPr>
            </w:pPr>
          </w:p>
        </w:tc>
      </w:tr>
      <w:tr>
        <w:trPr>
          <w:trHeight w:val="17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 of funds under intercompany cash management arrangement</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326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Contributions from tax equity investors</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contributions from NRG</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Distributions and return of capital to NRG prior to the acquisition of Drop Down Assets</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630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630</w:t>
            </w: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proceeds from distributions</w:t>
            </w:r>
          </w:p>
        </w:tc>
        <w:tc>
          <w:tcPr>
            <w:tcW w:w="260" w:type="dxa"/>
            <w:vAlign w:val="bottom"/>
          </w:tcPr>
          <w:p>
            <w:pPr>
              <w:spacing w:after="0"/>
              <w:rPr>
                <w:sz w:val="16"/>
                <w:szCs w:val="16"/>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borrowings from the revolving credit facility</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500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long-term debt — external</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long-term debt — affiliate</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337</w:t>
            </w: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long-term debt — external</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8"/>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855</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745</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747</w:t>
            </w:r>
          </w:p>
        </w:tc>
        <w:tc>
          <w:tcPr>
            <w:tcW w:w="0" w:type="dxa"/>
            <w:vAlign w:val="bottom"/>
          </w:tcPr>
          <w:p>
            <w:pPr>
              <w:spacing w:after="0"/>
              <w:rPr>
                <w:sz w:val="1"/>
                <w:szCs w:val="1"/>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325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370</w:t>
            </w:r>
          </w:p>
        </w:tc>
        <w:tc>
          <w:tcPr>
            <w:tcW w:w="0" w:type="dxa"/>
            <w:vAlign w:val="bottom"/>
          </w:tcPr>
          <w:p>
            <w:pPr>
              <w:spacing w:after="0"/>
              <w:rPr>
                <w:sz w:val="1"/>
                <w:szCs w:val="1"/>
                <w:color w:val="auto"/>
              </w:rPr>
            </w:pPr>
          </w:p>
        </w:tc>
      </w:tr>
      <w:tr>
        <w:trPr>
          <w:trHeight w:val="188"/>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26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429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36779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67790" cy="6985"/>
                    </a:xfrm>
                    <a:prstGeom prst="rect">
                      <a:avLst/>
                    </a:prstGeom>
                    <a:noFill/>
                  </pic:spPr>
                </pic:pic>
              </a:graphicData>
            </a:graphic>
          </wp:anchor>
        </w:drawing>
      </w:r>
    </w:p>
    <w:p>
      <w:pPr>
        <w:spacing w:after="0" w:line="252" w:lineRule="exact"/>
        <w:rPr>
          <w:sz w:val="20"/>
          <w:szCs w:val="20"/>
          <w:color w:val="auto"/>
        </w:rPr>
      </w:pPr>
    </w:p>
    <w:p>
      <w:pPr>
        <w:ind w:left="140" w:hanging="91"/>
        <w:spacing w:after="0"/>
        <w:tabs>
          <w:tab w:leader="none" w:pos="140" w:val="left"/>
        </w:tabs>
        <w:numPr>
          <w:ilvl w:val="1"/>
          <w:numId w:val="6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Shown separately from the other guarantors in lieu of preparing Schedule I pursuant to the requirements of Rule 5-04(c) of Regulation S-X.</w:t>
      </w:r>
    </w:p>
    <w:p>
      <w:pPr>
        <w:spacing w:after="0" w:line="3" w:lineRule="exact"/>
        <w:rPr>
          <w:rFonts w:ascii="Times New Roman" w:cs="Times New Roman" w:eastAsia="Times New Roman" w:hAnsi="Times New Roman"/>
          <w:sz w:val="7"/>
          <w:szCs w:val="7"/>
          <w:color w:val="auto"/>
        </w:rPr>
      </w:pPr>
    </w:p>
    <w:p>
      <w:pPr>
        <w:ind w:left="120" w:hanging="114"/>
        <w:spacing w:after="0"/>
        <w:tabs>
          <w:tab w:leader="none" w:pos="120" w:val="left"/>
        </w:tabs>
        <w:numPr>
          <w:ilvl w:val="0"/>
          <w:numId w:val="6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1460"/>
          </w:cols>
          <w:pgMar w:left="220" w:top="766" w:right="2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6140" w:type="dxa"/>
            <w:vAlign w:val="bottom"/>
          </w:tcPr>
          <w:p>
            <w:pPr>
              <w:ind w:left="440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339"/>
        </w:trPr>
        <w:tc>
          <w:tcPr>
            <w:tcW w:w="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9"/>
              </w:rPr>
              <w:t>Purchase and Sale Agreement, dated as of May 5, 2014, by and between NRG Gas Development Company, LLC</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and NRG Yield Operating LLC.</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2.2</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 and Sale Agreement, dated as of May 5, 2014, by and between NRG Solar PV LLC and NRG Yield</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Operating LLC.</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2.3</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 and Sale Agreement, dated as of May 5, 2014, by and between NRG Solar PV LLC and NRG Yield</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Operating LLC.</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2.4</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 and Sale Agreement, dated June 3, 2014, by and among NRG Yield, Inc., NRG Yield Operating LLC,</w:t>
            </w:r>
          </w:p>
        </w:tc>
        <w:tc>
          <w:tcPr>
            <w:tcW w:w="0" w:type="dxa"/>
            <w:vAlign w:val="bottom"/>
          </w:tcPr>
          <w:p>
            <w:pPr>
              <w:spacing w:after="0"/>
              <w:rPr>
                <w:sz w:val="1"/>
                <w:szCs w:val="1"/>
                <w:color w:val="auto"/>
              </w:rPr>
            </w:pPr>
          </w:p>
        </w:tc>
      </w:tr>
      <w:tr>
        <w:trPr>
          <w:trHeight w:val="161"/>
        </w:trPr>
        <w:tc>
          <w:tcPr>
            <w:tcW w:w="760" w:type="dxa"/>
            <w:vAlign w:val="bottom"/>
          </w:tcPr>
          <w:p>
            <w:pPr>
              <w:spacing w:after="0"/>
              <w:rPr>
                <w:sz w:val="13"/>
                <w:szCs w:val="13"/>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9"/>
              </w:rPr>
              <w:t>Terra-Gen Finance Company, LLC, NTD AWAM Holdings, LLC, CHIPS Alta Wind X Holding Company, LLC</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and CHIPS Alta Wind XI Holding Company, LLC.</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2.5</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 and Sale Agreement, dated as of November 4, 2014, by and between NRG Wind LLC and NRG Yield</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Operating LLC.</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2.6</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 and Sale Agreement, dated as of November 4, 2014, by and between NRG Arroyo Nogales LLC and</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NRG Yield Operating LLC.</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2.7*^</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9"/>
              </w:rPr>
              <w:t>Purchase and Sale Agreement, dated as of June 17, 2015, by and between EFS Desert Sun, LLC and NRG Yield</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Operating LLC.</w:t>
            </w:r>
          </w:p>
        </w:tc>
        <w:tc>
          <w:tcPr>
            <w:tcW w:w="0" w:type="dxa"/>
            <w:vAlign w:val="bottom"/>
          </w:tcPr>
          <w:p>
            <w:pPr>
              <w:spacing w:after="0"/>
              <w:rPr>
                <w:sz w:val="1"/>
                <w:szCs w:val="1"/>
                <w:color w:val="auto"/>
              </w:rPr>
            </w:pPr>
          </w:p>
        </w:tc>
      </w:tr>
      <w:tr>
        <w:trPr>
          <w:trHeight w:val="20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2.8</w:t>
            </w:r>
          </w:p>
        </w:tc>
        <w:tc>
          <w:tcPr>
            <w:tcW w:w="61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Purchase and Sale Agreement, dated as of September 17, 2015, by and between NRG Energy Gas &amp; Wind</w:t>
            </w:r>
          </w:p>
        </w:tc>
        <w:tc>
          <w:tcPr>
            <w:tcW w:w="0" w:type="dxa"/>
            <w:vAlign w:val="bottom"/>
          </w:tcPr>
          <w:p>
            <w:pPr>
              <w:spacing w:after="0"/>
              <w:rPr>
                <w:sz w:val="1"/>
                <w:szCs w:val="1"/>
                <w:color w:val="auto"/>
              </w:rPr>
            </w:pPr>
          </w:p>
        </w:tc>
      </w:tr>
      <w:tr>
        <w:trPr>
          <w:trHeight w:val="58"/>
        </w:trPr>
        <w:tc>
          <w:tcPr>
            <w:tcW w:w="760" w:type="dxa"/>
            <w:vAlign w:val="bottom"/>
          </w:tcPr>
          <w:p>
            <w:pPr>
              <w:spacing w:after="0"/>
              <w:rPr>
                <w:sz w:val="5"/>
                <w:szCs w:val="5"/>
                <w:color w:val="auto"/>
              </w:rPr>
            </w:pPr>
          </w:p>
        </w:tc>
        <w:tc>
          <w:tcPr>
            <w:tcW w:w="6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Holdings, Inc. and NRG Yield Operating LLC.</w:t>
            </w:r>
          </w:p>
        </w:tc>
        <w:tc>
          <w:tcPr>
            <w:tcW w:w="0" w:type="dxa"/>
            <w:vAlign w:val="bottom"/>
          </w:tcPr>
          <w:p>
            <w:pPr>
              <w:spacing w:after="0"/>
              <w:rPr>
                <w:sz w:val="1"/>
                <w:szCs w:val="1"/>
                <w:color w:val="auto"/>
              </w:rPr>
            </w:pPr>
          </w:p>
        </w:tc>
      </w:tr>
      <w:tr>
        <w:trPr>
          <w:trHeight w:val="429"/>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2.9</w:t>
            </w:r>
          </w:p>
        </w:tc>
        <w:tc>
          <w:tcPr>
            <w:tcW w:w="61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w w:val="98"/>
              </w:rPr>
              <w:t>Purchase and Sale Agreement, dated as of August 8, 2016, between NRG Solar CVSR Holdings 2 LLC and NRG</w:t>
            </w:r>
          </w:p>
        </w:tc>
        <w:tc>
          <w:tcPr>
            <w:tcW w:w="0" w:type="dxa"/>
            <w:vAlign w:val="bottom"/>
          </w:tcPr>
          <w:p>
            <w:pPr>
              <w:spacing w:after="0"/>
              <w:rPr>
                <w:sz w:val="1"/>
                <w:szCs w:val="1"/>
                <w:color w:val="auto"/>
              </w:rPr>
            </w:pPr>
          </w:p>
        </w:tc>
      </w:tr>
      <w:tr>
        <w:trPr>
          <w:trHeight w:val="58"/>
        </w:trPr>
        <w:tc>
          <w:tcPr>
            <w:tcW w:w="760" w:type="dxa"/>
            <w:vAlign w:val="bottom"/>
          </w:tcPr>
          <w:p>
            <w:pPr>
              <w:spacing w:after="0"/>
              <w:rPr>
                <w:sz w:val="5"/>
                <w:szCs w:val="5"/>
                <w:color w:val="auto"/>
              </w:rPr>
            </w:pPr>
          </w:p>
        </w:tc>
        <w:tc>
          <w:tcPr>
            <w:tcW w:w="6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Yield Operating LLC.</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3.1</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Certificate of Formation of NRG Yield Operating LLC.</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61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Certificate of Amendment of Certificate of Formation of NRG Yield Operating LLC.</w:t>
            </w:r>
          </w:p>
        </w:tc>
        <w:tc>
          <w:tcPr>
            <w:tcW w:w="0" w:type="dxa"/>
            <w:vAlign w:val="bottom"/>
          </w:tcPr>
          <w:p>
            <w:pPr>
              <w:spacing w:after="0"/>
              <w:rPr>
                <w:sz w:val="1"/>
                <w:szCs w:val="1"/>
                <w:color w:val="auto"/>
              </w:rPr>
            </w:pPr>
          </w:p>
        </w:tc>
      </w:tr>
      <w:tr>
        <w:trPr>
          <w:trHeight w:val="64"/>
        </w:trPr>
        <w:tc>
          <w:tcPr>
            <w:tcW w:w="760" w:type="dxa"/>
            <w:vAlign w:val="bottom"/>
          </w:tcPr>
          <w:p>
            <w:pPr>
              <w:spacing w:after="0"/>
              <w:rPr>
                <w:sz w:val="5"/>
                <w:szCs w:val="5"/>
                <w:color w:val="auto"/>
              </w:rPr>
            </w:pPr>
          </w:p>
        </w:tc>
        <w:tc>
          <w:tcPr>
            <w:tcW w:w="6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9"/>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3.3</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Second Amended and Restated Limited Liability Company Agreement of NRG Yield Operating LLC.</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3.4</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Certificate of Formation of NRG Yield LLC.</w:t>
            </w:r>
          </w:p>
        </w:tc>
        <w:tc>
          <w:tcPr>
            <w:tcW w:w="0" w:type="dxa"/>
            <w:vAlign w:val="bottom"/>
          </w:tcPr>
          <w:p>
            <w:pPr>
              <w:spacing w:after="0"/>
              <w:rPr>
                <w:sz w:val="1"/>
                <w:szCs w:val="1"/>
                <w:color w:val="auto"/>
              </w:rPr>
            </w:pPr>
          </w:p>
        </w:tc>
      </w:tr>
      <w:tr>
        <w:trPr>
          <w:trHeight w:val="493"/>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3.5</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Certificate of Amendment of Certificate of Formation of NRG Yield LLC.</w:t>
            </w:r>
          </w:p>
        </w:tc>
        <w:tc>
          <w:tcPr>
            <w:tcW w:w="0" w:type="dxa"/>
            <w:vAlign w:val="bottom"/>
          </w:tcPr>
          <w:p>
            <w:pPr>
              <w:spacing w:after="0"/>
              <w:rPr>
                <w:sz w:val="1"/>
                <w:szCs w:val="1"/>
                <w:color w:val="auto"/>
              </w:rPr>
            </w:pPr>
          </w:p>
        </w:tc>
      </w:tr>
      <w:tr>
        <w:trPr>
          <w:trHeight w:val="487"/>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3.6</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Third Amended and Restated Limited Liability Company Agreement of NRG Yield LLC, dated as of May 14,</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326"/>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Indenture, dated August 5, 2014, among NRG Yield Operating LLC, the guarantors named therein and Law</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Debenture Trust Company of New York.</w:t>
            </w:r>
          </w:p>
        </w:tc>
        <w:tc>
          <w:tcPr>
            <w:tcW w:w="0" w:type="dxa"/>
            <w:vAlign w:val="bottom"/>
          </w:tcPr>
          <w:p>
            <w:pPr>
              <w:spacing w:after="0"/>
              <w:rPr>
                <w:sz w:val="1"/>
                <w:szCs w:val="1"/>
                <w:color w:val="auto"/>
              </w:rPr>
            </w:pPr>
          </w:p>
        </w:tc>
      </w:tr>
      <w:tr>
        <w:trPr>
          <w:trHeight w:val="20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Form of 5.375% Senior Note due 2024.</w:t>
            </w:r>
          </w:p>
        </w:tc>
        <w:tc>
          <w:tcPr>
            <w:tcW w:w="0" w:type="dxa"/>
            <w:vAlign w:val="bottom"/>
          </w:tcPr>
          <w:p>
            <w:pPr>
              <w:spacing w:after="0"/>
              <w:rPr>
                <w:sz w:val="1"/>
                <w:szCs w:val="1"/>
                <w:color w:val="auto"/>
              </w:rPr>
            </w:pPr>
          </w:p>
        </w:tc>
      </w:tr>
      <w:tr>
        <w:trPr>
          <w:trHeight w:val="551"/>
        </w:trPr>
        <w:tc>
          <w:tcPr>
            <w:tcW w:w="760" w:type="dxa"/>
            <w:vAlign w:val="bottom"/>
          </w:tcPr>
          <w:p>
            <w:pPr>
              <w:spacing w:after="0"/>
              <w:rPr>
                <w:sz w:val="24"/>
                <w:szCs w:val="24"/>
                <w:color w:val="auto"/>
              </w:rPr>
            </w:pPr>
          </w:p>
        </w:tc>
        <w:tc>
          <w:tcPr>
            <w:tcW w:w="6140" w:type="dxa"/>
            <w:vAlign w:val="bottom"/>
          </w:tcPr>
          <w:p>
            <w:pPr>
              <w:ind w:left="4840"/>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56"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2.1 to NRG Yield, Inc.’s Current Report on Form 8-K filed on May 9, 2014.</w:t>
      </w:r>
    </w:p>
    <w:p>
      <w:pPr>
        <w:spacing w:after="0" w:line="9"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2.2 to NRG Yield, Inc.’s Current Report on Form 8-K filed on May 9, 2014.</w:t>
      </w:r>
    </w:p>
    <w:p>
      <w:pPr>
        <w:spacing w:after="0" w:line="9"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2.3 to NRG Yield, Inc.’s Current Report on Form 8-K filed on May 9, 2014.</w:t>
      </w:r>
    </w:p>
    <w:p>
      <w:pPr>
        <w:spacing w:after="0" w:line="9"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 to NRG Yield, Inc.’s Current Report on Form 8-K filed on June 9, 2014.</w:t>
      </w:r>
    </w:p>
    <w:p>
      <w:pPr>
        <w:spacing w:after="0" w:line="170"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2.1 to NRG Yield, Inc.’s Current Report on Form 8-K filed on November 7, 2014.</w:t>
      </w:r>
    </w:p>
    <w:p>
      <w:pPr>
        <w:spacing w:after="0" w:line="9"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2.2 to NRG Yield, Inc.’s Current Report on Form 8-K filed on November 7, 2014.</w:t>
      </w:r>
    </w:p>
    <w:p>
      <w:pPr>
        <w:spacing w:after="0" w:line="9"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2.1 to NRG Yield, Inc.’s Quarterly Report on Form 10-Q filed on August 4, 2015.</w:t>
      </w:r>
    </w:p>
    <w:p>
      <w:pPr>
        <w:spacing w:after="0" w:line="74"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2.1 to NRG Yield, Inc.’s Current Report on Form 8-K filed on September 21, 2015.</w:t>
      </w:r>
    </w:p>
    <w:p>
      <w:pPr>
        <w:spacing w:after="0" w:line="29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2.1 to NRG Yield, Inc.'s Current Report on Form 8-K, filed on August 9, 2016.</w:t>
      </w:r>
    </w:p>
    <w:p>
      <w:pPr>
        <w:spacing w:after="0" w:line="74"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3.01(a) to the Company's Registration Statement on Form S-4 filed on April 13, 2015.</w:t>
      </w:r>
    </w:p>
    <w:p>
      <w:pPr>
        <w:spacing w:after="0" w:line="74"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3.01(b) to the Company's Registration Statement on Form S-4 filed on April 13, 2015.</w:t>
      </w:r>
    </w:p>
    <w:p>
      <w:pPr>
        <w:spacing w:after="0" w:line="138"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3.02 to the Company's Registration Statement on Form S-4 filed on April 13, 2015.</w:t>
      </w:r>
    </w:p>
    <w:p>
      <w:pPr>
        <w:spacing w:after="0" w:line="138"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3.03(a) to the Company's Registration Statement on Form S-4 filed on April 13, 2015.</w:t>
      </w:r>
    </w:p>
    <w:p>
      <w:pPr>
        <w:spacing w:after="0" w:line="138"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3.03(b) to the Company's Registration Statement on Form S-4 filed on April 13, 2015.</w:t>
      </w:r>
    </w:p>
    <w:p>
      <w:pPr>
        <w:spacing w:after="0" w:line="138" w:lineRule="exact"/>
        <w:rPr>
          <w:sz w:val="20"/>
          <w:szCs w:val="20"/>
          <w:color w:val="auto"/>
        </w:rPr>
      </w:pPr>
    </w:p>
    <w:p>
      <w:pPr>
        <w:ind w:right="32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10.4 to NRG Yield, Inc.'s Current Report on Form 8-K filed on May 15, 2015.</w:t>
      </w:r>
    </w:p>
    <w:p>
      <w:pPr>
        <w:spacing w:after="0" w:line="7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4.1 to NRG Yield, Inc.'s Current Report on Form 8-K filed on August 5, 2014.</w:t>
      </w:r>
    </w:p>
    <w:p>
      <w:pPr>
        <w:spacing w:after="0" w:line="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4.2 to NRG Yield, Inc.'s Current Report on Form 8-K filed on August 5, 2014.</w:t>
      </w:r>
    </w:p>
    <w:p>
      <w:pPr>
        <w:sectPr>
          <w:pgSz w:w="11900" w:h="16838" w:orient="portrait"/>
          <w:cols w:equalWidth="0" w:num="2">
            <w:col w:w="6900" w:space="220"/>
            <w:col w:w="4300"/>
          </w:cols>
          <w:pgMar w:left="240" w:top="766"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color w:val="auto"/>
        </w:rPr>
        <w:t>4.3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4.5</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4.6</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4.7</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4.10</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4.11</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4.12</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10.3</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10.7</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10.10</w:t>
      </w:r>
    </w:p>
    <w:p>
      <w:pPr>
        <w:spacing w:after="0" w:line="20" w:lineRule="exact"/>
        <w:rPr>
          <w:sz w:val="20"/>
          <w:szCs w:val="20"/>
          <w:color w:val="auto"/>
        </w:rPr>
      </w:pPr>
      <w:r>
        <w:rPr>
          <w:sz w:val="20"/>
          <w:szCs w:val="20"/>
          <w:color w:val="auto"/>
        </w:rPr>
        <w:br w:type="column"/>
      </w:r>
    </w:p>
    <w:p>
      <w:pPr>
        <w:ind w:right="120"/>
        <w:spacing w:after="0" w:line="316" w:lineRule="auto"/>
        <w:rPr>
          <w:sz w:val="20"/>
          <w:szCs w:val="20"/>
          <w:color w:val="auto"/>
        </w:rPr>
      </w:pPr>
      <w:r>
        <w:rPr>
          <w:rFonts w:ascii="Times New Roman" w:cs="Times New Roman" w:eastAsia="Times New Roman" w:hAnsi="Times New Roman"/>
          <w:sz w:val="12"/>
          <w:szCs w:val="12"/>
          <w:color w:val="auto"/>
        </w:rPr>
        <w:t>Registration Rights Agreement, dated August 5, 2014, among NRG Yield Operating LLC, the guarantors named therein and Merrill Lynch, Pierce, Fenner &amp; Smith Incorporated, as representative of the initial purchasers.</w:t>
      </w:r>
    </w:p>
    <w:p>
      <w:pPr>
        <w:spacing w:after="0" w:line="1"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3"/>
          <w:szCs w:val="13"/>
          <w:color w:val="auto"/>
        </w:rPr>
        <w:t>Supplemental Indenture, dated as of November 7, 2014, among NRG Yield Operating LLC, the guarantors named therein and Law Debenture Trust Company of New York.</w:t>
      </w:r>
    </w:p>
    <w:p>
      <w:pPr>
        <w:spacing w:after="0" w:line="20"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3"/>
          <w:szCs w:val="13"/>
          <w:color w:val="auto"/>
        </w:rPr>
        <w:t>Supplemental Indenture, dated as of February 25, 2015, among NRG Yield Operating LLC, the guarantors named therein and Law Debenture Trust Company of New York.</w:t>
      </w:r>
    </w:p>
    <w:p>
      <w:pPr>
        <w:spacing w:after="0" w:line="192"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3"/>
          <w:szCs w:val="13"/>
          <w:color w:val="auto"/>
        </w:rPr>
        <w:t>Third Supplemental Indenture, dated as of April 10, 2015, among NRG Yield Operating LLC, NRG Yield LLC, the other guarantors named therein and Law Debenture Trust Company of New York.</w:t>
      </w:r>
    </w:p>
    <w:p>
      <w:pPr>
        <w:spacing w:after="0" w:line="138"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3"/>
          <w:szCs w:val="13"/>
          <w:color w:val="auto"/>
        </w:rPr>
        <w:t>Fourth Supplemental Indenture, dated as of May 8, 2015, among NRG Yield Operating LLC, the guarantors named therein and Law Debenture Trust Company of New York.</w:t>
      </w:r>
    </w:p>
    <w:p>
      <w:pPr>
        <w:spacing w:after="0" w:line="138"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3"/>
          <w:szCs w:val="13"/>
          <w:color w:val="auto"/>
        </w:rPr>
        <w:t>Indenture, dated June 29, 2015, among NRG Yield, Inc., NRG Yield Operating LLC and NRG Yield LLC, as Guarantors, and Wilmington Trust, National Association, as Trustee.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3.25% Convertible Senior Note due 2020.</w:t>
      </w:r>
    </w:p>
    <w:p>
      <w:pPr>
        <w:spacing w:after="0" w:line="376"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3"/>
          <w:szCs w:val="13"/>
          <w:color w:val="auto"/>
        </w:rPr>
        <w:t>Indenture, dated August 18, 2016, among NRG Yield Operating LLC, the guarantors named therein and Law Debenture Trust Company of New York.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5.000% Senior Note due 2026.</w:t>
      </w:r>
    </w:p>
    <w:p>
      <w:pPr>
        <w:spacing w:after="0" w:line="343"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3"/>
          <w:szCs w:val="13"/>
          <w:color w:val="auto"/>
        </w:rPr>
        <w:t>Registration Rights Agreement, dated August 18, 2016, among NRG Yield Operating LLC, the guarantors named therein and J.P. Morgan Securities LLC, as representative of the initial purchasers.</w:t>
      </w:r>
    </w:p>
    <w:p>
      <w:pPr>
        <w:spacing w:after="0" w:line="74"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13"/>
          <w:szCs w:val="13"/>
          <w:color w:val="auto"/>
        </w:rPr>
        <w:t>Amended and Restated Registration Rights Agreement, dated as of May 14, 2015, by and between NRG Energy, Inc. and NRG Yield, Inc.</w:t>
      </w:r>
    </w:p>
    <w:p>
      <w:pPr>
        <w:spacing w:after="0" w:line="9"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Amended and Restated Exchange Agreement, dated as of May 14, 2015, by and among NRG Energy, Inc., NRG Yield, Inc. and NRG Yield LLC.</w:t>
      </w:r>
    </w:p>
    <w:p>
      <w:pPr>
        <w:spacing w:after="0" w:line="74"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Second Amended and Restated Right of First Offer Agreement, dated as of February 24, 2017, by and between NRG Energy, Inc. and NRG Yield, Inc.</w:t>
      </w:r>
    </w:p>
    <w:p>
      <w:pPr>
        <w:spacing w:after="0" w:line="74"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3"/>
          <w:szCs w:val="13"/>
          <w:color w:val="auto"/>
        </w:rPr>
        <w:t>Management Services Agreement, dated as of July 22, 2013, by and between NRG Energy, Inc., NRG Yield, Inc., NRG Yield LLC and NRG Yield Operating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Trademark License Agreement, dated as of July 22, 2013, by and between NRG Energy, Inc. and NRG Yield, Inc.</w:t>
      </w:r>
    </w:p>
    <w:p>
      <w:pPr>
        <w:spacing w:after="0" w:line="226" w:lineRule="exact"/>
        <w:rPr>
          <w:sz w:val="20"/>
          <w:szCs w:val="20"/>
          <w:color w:val="auto"/>
        </w:rPr>
      </w:pPr>
    </w:p>
    <w:p>
      <w:pPr>
        <w:ind w:right="340"/>
        <w:spacing w:after="0" w:line="316" w:lineRule="auto"/>
        <w:rPr>
          <w:sz w:val="20"/>
          <w:szCs w:val="20"/>
          <w:color w:val="auto"/>
        </w:rPr>
      </w:pPr>
      <w:r>
        <w:rPr>
          <w:rFonts w:ascii="Times New Roman" w:cs="Times New Roman" w:eastAsia="Times New Roman" w:hAnsi="Times New Roman"/>
          <w:sz w:val="12"/>
          <w:szCs w:val="12"/>
          <w:color w:val="auto"/>
        </w:rPr>
        <w:t>Loan Guarantee Agreement, dated as of September 30, 2011, by and among High Plains Ranch II, LLC, as borrower, the U.S. Department of Energy, as guarantor, and the U.S. Department of Energy, as loan servicer.</w:t>
      </w:r>
    </w:p>
    <w:p>
      <w:pPr>
        <w:spacing w:after="0" w:line="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Operation and Maintenance Agreement, dated as of January 31, 2011, by and between Avenal Solar Holdings LLC and NRG Energy Services LLC.</w:t>
      </w:r>
    </w:p>
    <w:p>
      <w:pPr>
        <w:spacing w:after="0" w:line="9"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Asset Management Agreement, dated as of August 30, 2012, by and between NRG Solar Avra Valley LLC and NRG Solar Asset Management LLC.</w:t>
      </w:r>
    </w:p>
    <w:p>
      <w:pPr>
        <w:spacing w:after="0" w:line="9"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Operation and Maintenance Agreement, dated as of August 1, 2012, by and between NRG Energy Services LLC and NRG Solar Borrego I LLC.</w:t>
      </w:r>
    </w:p>
    <w:p>
      <w:pPr>
        <w:spacing w:after="0" w:line="9"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Asset Management Agreement, dated as of March 15, 2012, by and between NRG Solar Alpine LLC and NRG Solar Asset Management LLC.</w:t>
      </w:r>
    </w:p>
    <w:p>
      <w:pPr>
        <w:spacing w:after="0" w:line="17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4.3 to NRG Yield, Inc.'s Current Report on Form 8-K filed on August 5, 2014.</w:t>
      </w:r>
    </w:p>
    <w:p>
      <w:pPr>
        <w:spacing w:after="0" w:line="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4.1 to NRG Yield, Inc.'s Current Report on Form 8-K filed on November 13, 2014.</w:t>
      </w:r>
    </w:p>
    <w:p>
      <w:pPr>
        <w:spacing w:after="0" w:line="7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4.1 to NRG Yield, Inc.'s Current Report on Form 8-K filed on February 27, 2015.</w:t>
      </w:r>
    </w:p>
    <w:p>
      <w:pPr>
        <w:spacing w:after="0" w:line="138"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4.07 to the Company's Registration Statement on Form S-4 filed on April 13, 2015.</w:t>
      </w:r>
    </w:p>
    <w:p>
      <w:pPr>
        <w:spacing w:after="0" w:line="13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4.1 to NRG Yield, Inc.'s Current Report on Form 8-K filed on May 8, 2015.</w:t>
      </w:r>
    </w:p>
    <w:p>
      <w:pPr>
        <w:spacing w:after="0" w:line="13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4.1 to NRG Yield, Inc.'s Current Report on Form 8-K filed on June 29, 2015.</w:t>
      </w:r>
    </w:p>
    <w:p>
      <w:pPr>
        <w:spacing w:after="0" w:line="13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3"/>
          <w:szCs w:val="13"/>
          <w:color w:val="auto"/>
        </w:rPr>
        <w:t>Incorporated herein by reference to Exhibit 4.2 to NRG Yield, Inc.'s Current Report on Form 8-K filed on June 29, 2015</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4.1 to the Registrant's Current Report on Form 8-K, filed on August 18, 2016.</w:t>
      </w:r>
    </w:p>
    <w:p>
      <w:pPr>
        <w:spacing w:after="0" w:line="138"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4.2 to the Registrant's Current Report on Form 8-K, filed on August 18, 2016.</w:t>
      </w:r>
    </w:p>
    <w:p>
      <w:pPr>
        <w:spacing w:after="0" w:line="138"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4.3 to the Registrant's Current Report on Form 8-K, filed on August 18, 2016.</w:t>
      </w:r>
    </w:p>
    <w:p>
      <w:pPr>
        <w:spacing w:after="0" w:line="74" w:lineRule="exact"/>
        <w:rPr>
          <w:sz w:val="20"/>
          <w:szCs w:val="20"/>
          <w:color w:val="auto"/>
        </w:rPr>
      </w:pPr>
    </w:p>
    <w:p>
      <w:pPr>
        <w:ind w:right="32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10.2 to NRG Yield, Inc.'s Current Report on Form 8-K filed on May 15, 2015.</w:t>
      </w:r>
    </w:p>
    <w:p>
      <w:pPr>
        <w:spacing w:after="0" w:line="9" w:lineRule="exact"/>
        <w:rPr>
          <w:sz w:val="20"/>
          <w:szCs w:val="20"/>
          <w:color w:val="auto"/>
        </w:rPr>
      </w:pPr>
    </w:p>
    <w:p>
      <w:pPr>
        <w:ind w:right="32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 to NRG Yield, Inc.'s Current Report on Form 8-K filed on May 15, 2015.</w:t>
      </w:r>
    </w:p>
    <w:p>
      <w:pPr>
        <w:spacing w:after="0" w:line="138"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10.3 to NRG Yield, Inc.'s Annual Report on Form 10-K filed on February 28, 2017.</w:t>
      </w:r>
    </w:p>
    <w:p>
      <w:pPr>
        <w:spacing w:after="0" w:line="9" w:lineRule="exact"/>
        <w:rPr>
          <w:sz w:val="20"/>
          <w:szCs w:val="20"/>
          <w:color w:val="auto"/>
        </w:rPr>
      </w:pPr>
    </w:p>
    <w:p>
      <w:pPr>
        <w:ind w:right="32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10.4 to NRG Yield, Inc.'s Current Report on Form 8-K filed on July 26, 2013.</w:t>
      </w:r>
    </w:p>
    <w:p>
      <w:pPr>
        <w:spacing w:after="0" w:line="9" w:lineRule="exact"/>
        <w:rPr>
          <w:sz w:val="20"/>
          <w:szCs w:val="20"/>
          <w:color w:val="auto"/>
        </w:rPr>
      </w:pPr>
    </w:p>
    <w:p>
      <w:pPr>
        <w:ind w:right="32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10.5 to NRG Yield, Inc.'s Current Report on Form 8-K filed on July 26, 2013.</w:t>
      </w:r>
    </w:p>
    <w:p>
      <w:pPr>
        <w:spacing w:after="0" w:line="9" w:lineRule="exact"/>
        <w:rPr>
          <w:sz w:val="20"/>
          <w:szCs w:val="20"/>
          <w:color w:val="auto"/>
        </w:rPr>
      </w:pPr>
    </w:p>
    <w:p>
      <w:pPr>
        <w:ind w:right="44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10.8 to NRG Yield, Inc.'s Draft Registration Statement on Form S-1 filed on February 13, 2013.</w:t>
      </w:r>
    </w:p>
    <w:p>
      <w:pPr>
        <w:spacing w:after="0" w:line="9"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10.11 to NRG Yield, Inc.'s Draft Registration Statement on Form S-1 filed on February 13, 2013.</w:t>
      </w:r>
    </w:p>
    <w:p>
      <w:pPr>
        <w:spacing w:after="0" w:line="9"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10.12 to NRG Yield, Inc.'s Draft Registration Statement on Form S-1 filed on February 13, 2013.</w:t>
      </w:r>
    </w:p>
    <w:p>
      <w:pPr>
        <w:spacing w:after="0" w:line="9"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10.13 to NRG Yield, Inc.'s Draft Registration Statement on Form S-1 filed on February 13, 2013.</w:t>
      </w:r>
    </w:p>
    <w:p>
      <w:pPr>
        <w:spacing w:after="0" w:line="9"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10.14 to NRG Yield, Inc.'s Draft Registration Statement on Form S-1 filed on February 13, 2013.</w:t>
      </w:r>
    </w:p>
    <w:p>
      <w:pPr>
        <w:sectPr>
          <w:pgSz w:w="11900" w:h="16838" w:orient="portrait"/>
          <w:cols w:equalWidth="0" w:num="3">
            <w:col w:w="320" w:space="720"/>
            <w:col w:w="5920" w:space="160"/>
            <w:col w:w="4300"/>
          </w:cols>
          <w:pgMar w:left="240" w:top="900"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Operation and Maintenance Agreement, dated as of September 30, 2011, by and between NRG Energy</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Services LLC and High Plains Ranch II, LLC.</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8"/>
              </w:rPr>
              <w:t>Project Administration Agreement, dated as of August 16, 2010, by and between South Trent Wind LLC and NRG</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Texas Power LLC.</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Operation and Maintenance Agreement, dated as of April 24, 2009, by and between GenConn Devon LLC and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Devon Power LLC.</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Operation and Maintenance Agreement, dated as of April 24, 2009, by and between GenConn Middletown LLC</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and Middletown Power LLC.</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Administrative Services Agreement, dated as of April 2, 2009, by and between GenOn Energy Services, LLC</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(formerly Mirant Services, LLC) and NRG Marsh Landing, LLC (formerly Mirant Marsh Landing, LLC.</w:t>
            </w:r>
          </w:p>
        </w:tc>
        <w:tc>
          <w:tcPr>
            <w:tcW w:w="0" w:type="dxa"/>
            <w:vAlign w:val="bottom"/>
          </w:tcPr>
          <w:p>
            <w:pPr>
              <w:spacing w:after="0"/>
              <w:rPr>
                <w:sz w:val="1"/>
                <w:szCs w:val="1"/>
                <w:color w:val="auto"/>
              </w:rPr>
            </w:pPr>
          </w:p>
        </w:tc>
      </w:tr>
      <w:tr>
        <w:trPr>
          <w:trHeight w:val="204"/>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NRG Yield, Inc. Amended and Restated 2013 Equity Incentive Plan, dated as of May 14, 2015.</w:t>
            </w:r>
          </w:p>
        </w:tc>
        <w:tc>
          <w:tcPr>
            <w:tcW w:w="0" w:type="dxa"/>
            <w:vAlign w:val="bottom"/>
          </w:tcPr>
          <w:p>
            <w:pPr>
              <w:spacing w:after="0"/>
              <w:rPr>
                <w:sz w:val="1"/>
                <w:szCs w:val="1"/>
                <w:color w:val="auto"/>
              </w:rPr>
            </w:pPr>
          </w:p>
        </w:tc>
      </w:tr>
      <w:tr>
        <w:trPr>
          <w:trHeight w:val="364"/>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Form of Indemnification Agreement.</w:t>
            </w:r>
          </w:p>
        </w:tc>
        <w:tc>
          <w:tcPr>
            <w:tcW w:w="0" w:type="dxa"/>
            <w:vAlign w:val="bottom"/>
          </w:tcPr>
          <w:p>
            <w:pPr>
              <w:spacing w:after="0"/>
              <w:rPr>
                <w:sz w:val="1"/>
                <w:szCs w:val="1"/>
                <w:color w:val="auto"/>
              </w:rPr>
            </w:pPr>
          </w:p>
        </w:tc>
      </w:tr>
      <w:tr>
        <w:trPr>
          <w:trHeight w:val="359"/>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10.18.1</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9"/>
              </w:rPr>
              <w:t>Amended and Restated Credit Agreement, dated April 25, 2014, by and among NRG Yield Operating LLC, NRG</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3"/>
                <w:szCs w:val="13"/>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Yield LLC, Royal Bank of Canada, as Administrative Agent, the lenders party thereto, Royal Bank of Canada,</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3"/>
                <w:szCs w:val="13"/>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Goldman Sachs Bank USA and Bank of America, N.A., as L/C Issuers and RBC Capital Markets as Sole Left</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Lead Arranger and Sole Left Lead Book Runner.</w:t>
            </w:r>
          </w:p>
        </w:tc>
        <w:tc>
          <w:tcPr>
            <w:tcW w:w="0" w:type="dxa"/>
            <w:vAlign w:val="bottom"/>
          </w:tcPr>
          <w:p>
            <w:pPr>
              <w:spacing w:after="0"/>
              <w:rPr>
                <w:sz w:val="1"/>
                <w:szCs w:val="1"/>
                <w:color w:val="auto"/>
              </w:rPr>
            </w:pPr>
          </w:p>
        </w:tc>
      </w:tr>
      <w:tr>
        <w:trPr>
          <w:trHeight w:val="204"/>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10.18.2</w:t>
            </w:r>
          </w:p>
        </w:tc>
        <w:tc>
          <w:tcPr>
            <w:tcW w:w="62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auto"/>
              </w:rPr>
              <w:t>First Amendment to Amended &amp; Restated Credit Agreement, dated June 26, 2015, by and among NRG Yield</w:t>
            </w:r>
          </w:p>
        </w:tc>
        <w:tc>
          <w:tcPr>
            <w:tcW w:w="0" w:type="dxa"/>
            <w:vAlign w:val="bottom"/>
          </w:tcPr>
          <w:p>
            <w:pPr>
              <w:spacing w:after="0"/>
              <w:rPr>
                <w:sz w:val="1"/>
                <w:szCs w:val="1"/>
                <w:color w:val="auto"/>
              </w:rPr>
            </w:pPr>
          </w:p>
        </w:tc>
      </w:tr>
      <w:tr>
        <w:trPr>
          <w:trHeight w:val="58"/>
        </w:trPr>
        <w:tc>
          <w:tcPr>
            <w:tcW w:w="720" w:type="dxa"/>
            <w:vAlign w:val="bottom"/>
          </w:tcPr>
          <w:p>
            <w:pPr>
              <w:spacing w:after="0"/>
              <w:rPr>
                <w:sz w:val="5"/>
                <w:szCs w:val="5"/>
                <w:color w:val="auto"/>
              </w:rPr>
            </w:pPr>
          </w:p>
        </w:tc>
        <w:tc>
          <w:tcPr>
            <w:tcW w:w="6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Operating LLC, NRG Yield LLC, Royal Bank of Canada and the Lenders party thereto.</w:t>
            </w:r>
          </w:p>
        </w:tc>
        <w:tc>
          <w:tcPr>
            <w:tcW w:w="0" w:type="dxa"/>
            <w:vAlign w:val="bottom"/>
          </w:tcPr>
          <w:p>
            <w:pPr>
              <w:spacing w:after="0"/>
              <w:rPr>
                <w:sz w:val="1"/>
                <w:szCs w:val="1"/>
                <w:color w:val="auto"/>
              </w:rPr>
            </w:pPr>
          </w:p>
        </w:tc>
      </w:tr>
      <w:tr>
        <w:trPr>
          <w:trHeight w:val="423"/>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10.19.1</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8"/>
              </w:rPr>
              <w:t>Credit Agreement, dated as of August 23, 2011, among NRG West Holdings LLC, ING Capital LLC, Union Bank,</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3"/>
                <w:szCs w:val="13"/>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N.A., Mizuho Corporate Bank, Ltd., RBS Securities Inc., Credit Agricole Corporate and Investment Bank, and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each of lenders and issuing banks thereto.*</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10.19.2</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8"/>
              </w:rPr>
              <w:t>Amendment No. 1 to the Credit Agreement, dated October 7, 2011, by and between NRG West Holdings LLC and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Credit Agricole Corporate and Investment Bank.</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10.19.3</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Amendment No. 2 to the Credit Agreement, dated February 29, 2012, by and between NRG West Holdings LLC</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and Credit Agricole Corporate and Investment Bank.</w:t>
            </w:r>
          </w:p>
        </w:tc>
        <w:tc>
          <w:tcPr>
            <w:tcW w:w="0" w:type="dxa"/>
            <w:vAlign w:val="bottom"/>
          </w:tcPr>
          <w:p>
            <w:pPr>
              <w:spacing w:after="0"/>
              <w:rPr>
                <w:sz w:val="1"/>
                <w:szCs w:val="1"/>
                <w:color w:val="auto"/>
              </w:rPr>
            </w:pPr>
          </w:p>
        </w:tc>
      </w:tr>
      <w:tr>
        <w:trPr>
          <w:trHeight w:val="204"/>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10.19.4</w:t>
            </w:r>
          </w:p>
        </w:tc>
        <w:tc>
          <w:tcPr>
            <w:tcW w:w="62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auto"/>
              </w:rPr>
              <w:t>Amendment No. 3 to the Credit Agreement, dated as of January 27, 2014, by and between NRG West Holdings</w:t>
            </w:r>
          </w:p>
        </w:tc>
        <w:tc>
          <w:tcPr>
            <w:tcW w:w="0" w:type="dxa"/>
            <w:vAlign w:val="bottom"/>
          </w:tcPr>
          <w:p>
            <w:pPr>
              <w:spacing w:after="0"/>
              <w:rPr>
                <w:sz w:val="1"/>
                <w:szCs w:val="1"/>
                <w:color w:val="auto"/>
              </w:rPr>
            </w:pPr>
          </w:p>
        </w:tc>
      </w:tr>
      <w:tr>
        <w:trPr>
          <w:trHeight w:val="58"/>
        </w:trPr>
        <w:tc>
          <w:tcPr>
            <w:tcW w:w="720" w:type="dxa"/>
            <w:vAlign w:val="bottom"/>
          </w:tcPr>
          <w:p>
            <w:pPr>
              <w:spacing w:after="0"/>
              <w:rPr>
                <w:sz w:val="5"/>
                <w:szCs w:val="5"/>
                <w:color w:val="auto"/>
              </w:rPr>
            </w:pPr>
          </w:p>
        </w:tc>
        <w:tc>
          <w:tcPr>
            <w:tcW w:w="6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LLC and Credit Agricole Corporate and Investment Bank.</w:t>
            </w:r>
          </w:p>
        </w:tc>
        <w:tc>
          <w:tcPr>
            <w:tcW w:w="0" w:type="dxa"/>
            <w:vAlign w:val="bottom"/>
          </w:tcPr>
          <w:p>
            <w:pPr>
              <w:spacing w:after="0"/>
              <w:rPr>
                <w:sz w:val="1"/>
                <w:szCs w:val="1"/>
                <w:color w:val="auto"/>
              </w:rPr>
            </w:pPr>
          </w:p>
        </w:tc>
      </w:tr>
      <w:tr>
        <w:trPr>
          <w:trHeight w:val="26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10.19.5</w:t>
            </w:r>
          </w:p>
        </w:tc>
        <w:tc>
          <w:tcPr>
            <w:tcW w:w="62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auto"/>
              </w:rPr>
              <w:t>Amendment No. 4 to the Credit Agreement and Amendment No. 1 to the Collateral Agreement, dated as of May</w:t>
            </w:r>
          </w:p>
        </w:tc>
        <w:tc>
          <w:tcPr>
            <w:tcW w:w="0" w:type="dxa"/>
            <w:vAlign w:val="bottom"/>
          </w:tcPr>
          <w:p>
            <w:pPr>
              <w:spacing w:after="0"/>
              <w:rPr>
                <w:sz w:val="1"/>
                <w:szCs w:val="1"/>
                <w:color w:val="auto"/>
              </w:rPr>
            </w:pPr>
          </w:p>
        </w:tc>
      </w:tr>
      <w:tr>
        <w:trPr>
          <w:trHeight w:val="58"/>
        </w:trPr>
        <w:tc>
          <w:tcPr>
            <w:tcW w:w="720" w:type="dxa"/>
            <w:vAlign w:val="bottom"/>
          </w:tcPr>
          <w:p>
            <w:pPr>
              <w:spacing w:after="0"/>
              <w:rPr>
                <w:sz w:val="5"/>
                <w:szCs w:val="5"/>
                <w:color w:val="auto"/>
              </w:rPr>
            </w:pPr>
          </w:p>
        </w:tc>
        <w:tc>
          <w:tcPr>
            <w:tcW w:w="6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720" w:type="dxa"/>
            <w:vAlign w:val="bottom"/>
          </w:tcPr>
          <w:p>
            <w:pPr>
              <w:spacing w:after="0"/>
              <w:rPr>
                <w:sz w:val="13"/>
                <w:szCs w:val="13"/>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16, 2014, by and between NRG West Holdings LLC, El Segundo Energy Center LLC and Credit Agricole</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Corporate and Investment Bank.</w:t>
            </w:r>
          </w:p>
        </w:tc>
        <w:tc>
          <w:tcPr>
            <w:tcW w:w="0" w:type="dxa"/>
            <w:vAlign w:val="bottom"/>
          </w:tcPr>
          <w:p>
            <w:pPr>
              <w:spacing w:after="0"/>
              <w:rPr>
                <w:sz w:val="1"/>
                <w:szCs w:val="1"/>
                <w:color w:val="auto"/>
              </w:rPr>
            </w:pPr>
          </w:p>
        </w:tc>
      </w:tr>
      <w:tr>
        <w:trPr>
          <w:trHeight w:val="26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10.19.6</w:t>
            </w:r>
          </w:p>
        </w:tc>
        <w:tc>
          <w:tcPr>
            <w:tcW w:w="62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auto"/>
                <w:w w:val="99"/>
              </w:rPr>
              <w:t>Amendment No. 5 to the Credit Agreement, dated as of May 29, 2015, by and between NRG West Holdings LLC</w:t>
            </w:r>
          </w:p>
        </w:tc>
        <w:tc>
          <w:tcPr>
            <w:tcW w:w="0" w:type="dxa"/>
            <w:vAlign w:val="bottom"/>
          </w:tcPr>
          <w:p>
            <w:pPr>
              <w:spacing w:after="0"/>
              <w:rPr>
                <w:sz w:val="1"/>
                <w:szCs w:val="1"/>
                <w:color w:val="auto"/>
              </w:rPr>
            </w:pPr>
          </w:p>
        </w:tc>
      </w:tr>
      <w:tr>
        <w:trPr>
          <w:trHeight w:val="58"/>
        </w:trPr>
        <w:tc>
          <w:tcPr>
            <w:tcW w:w="720" w:type="dxa"/>
            <w:vAlign w:val="bottom"/>
          </w:tcPr>
          <w:p>
            <w:pPr>
              <w:spacing w:after="0"/>
              <w:rPr>
                <w:sz w:val="5"/>
                <w:szCs w:val="5"/>
                <w:color w:val="auto"/>
              </w:rPr>
            </w:pPr>
          </w:p>
        </w:tc>
        <w:tc>
          <w:tcPr>
            <w:tcW w:w="6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and ING Capital LLC.</w:t>
            </w:r>
          </w:p>
        </w:tc>
        <w:tc>
          <w:tcPr>
            <w:tcW w:w="0" w:type="dxa"/>
            <w:vAlign w:val="bottom"/>
          </w:tcPr>
          <w:p>
            <w:pPr>
              <w:spacing w:after="0"/>
              <w:rPr>
                <w:sz w:val="1"/>
                <w:szCs w:val="1"/>
                <w:color w:val="auto"/>
              </w:rPr>
            </w:pPr>
          </w:p>
        </w:tc>
      </w:tr>
      <w:tr>
        <w:trPr>
          <w:trHeight w:val="423"/>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10.20.1</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Amended and Restated Credit Agreement, dated July 17, 2014, by and among NRG Marsh Landing LLC, The</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Royal Bank of Scotland Plc, Deutsche Bank Trust Company Americas and the lenders party thereto.</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10.20.2</w:t>
            </w: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First Amendment to the Credit Agreement and Collateral Agency and Intercreditor Agreement, dated July 17,</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3"/>
                <w:szCs w:val="13"/>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9"/>
              </w:rPr>
              <w:t>2014, by and among NRG Marsh Landing LLC, The Royal Bank of Scotland Plc, Deutsche Bank Trust Company</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Americas and the lenders party thereto.</w:t>
            </w: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6"/>
              </w:rPr>
              <w:t>10.21^</w:t>
            </w:r>
          </w:p>
        </w:tc>
        <w:tc>
          <w:tcPr>
            <w:tcW w:w="61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auto"/>
                <w:w w:val="98"/>
              </w:rPr>
              <w:t>Amended and Restated Limited Liability Company Agreement of NRG RPV Holdco 1 LLC, dated as of April 9,</w:t>
            </w:r>
          </w:p>
        </w:tc>
        <w:tc>
          <w:tcPr>
            <w:tcW w:w="0" w:type="dxa"/>
            <w:vAlign w:val="bottom"/>
          </w:tcPr>
          <w:p>
            <w:pPr>
              <w:spacing w:after="0"/>
              <w:rPr>
                <w:sz w:val="1"/>
                <w:szCs w:val="1"/>
                <w:color w:val="auto"/>
              </w:rPr>
            </w:pPr>
          </w:p>
        </w:tc>
      </w:tr>
      <w:tr>
        <w:trPr>
          <w:trHeight w:val="58"/>
        </w:trPr>
        <w:tc>
          <w:tcPr>
            <w:tcW w:w="700" w:type="dxa"/>
            <w:vAlign w:val="bottom"/>
          </w:tcPr>
          <w:p>
            <w:pPr>
              <w:spacing w:after="0"/>
              <w:rPr>
                <w:sz w:val="5"/>
                <w:szCs w:val="5"/>
                <w:color w:val="auto"/>
              </w:rPr>
            </w:pPr>
          </w:p>
        </w:tc>
        <w:tc>
          <w:tcPr>
            <w:tcW w:w="6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36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10.15 to NRG Yield, Inc.'s Draft Registration Statement on Form S-1 filed on February 13, 2013.</w:t>
      </w:r>
    </w:p>
    <w:p>
      <w:pPr>
        <w:spacing w:after="0" w:line="9"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10.16 to NRG Yield, Inc.'s Draft Registration Statement on Form S-1 filed on February 13, 2013.</w:t>
      </w:r>
    </w:p>
    <w:p>
      <w:pPr>
        <w:spacing w:after="0" w:line="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10.15 to NRG Yield, Inc.'s Registration Statement on Form S-1 filed on June 6, 2013.</w:t>
      </w:r>
    </w:p>
    <w:p>
      <w:pPr>
        <w:spacing w:after="0" w:line="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10.16 to NRG Yield, Inc.'s Registration Statement on Form S-1 filed on June 7, 2013.</w:t>
      </w:r>
    </w:p>
    <w:p>
      <w:pPr>
        <w:spacing w:after="0" w:line="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10.17 to NRG Yield, Inc.'s Registration Statement on Form S-1 filed on June 7, 2013.</w:t>
      </w:r>
    </w:p>
    <w:p>
      <w:pPr>
        <w:spacing w:after="0" w:line="9"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10.5 to NRG Yield, Inc.'s Current Report on Form 8-K filed on May 15, 2015.</w:t>
      </w:r>
    </w:p>
    <w:p>
      <w:pPr>
        <w:spacing w:after="0" w:line="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10.20 to NRG Yield, Inc.'s Registration Statement on Form S-1/A filed on June 21, 2013.</w:t>
      </w:r>
    </w:p>
    <w:p>
      <w:pPr>
        <w:spacing w:after="0" w:line="9"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Incorporated by reference to Exhibit 10.1 to NRG Yield, Inc.'s Current Report on Form 8-K filed on April 28, 2014.</w:t>
      </w:r>
    </w:p>
    <w:p>
      <w:pPr>
        <w:spacing w:after="0" w:line="331"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10.9 to NRG Yield, Inc.'s Quarterly Report on Form 10-Q filed on August 4, 2015.</w:t>
      </w:r>
    </w:p>
    <w:p>
      <w:pPr>
        <w:spacing w:after="0" w:line="299"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10.2 to NRG Yield, Inc.'s Quarterly Report on Form 10-Q filed on August 7, 2014.</w:t>
      </w:r>
    </w:p>
    <w:p>
      <w:pPr>
        <w:spacing w:after="0" w:line="170"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10.3 to NRG Yield, Inc.'s Quarterly Report on Form 10-Q filed on August 7, 2014.</w:t>
      </w:r>
    </w:p>
    <w:p>
      <w:pPr>
        <w:spacing w:after="0" w:line="9"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10.4 to NRG Yield, Inc.'s Quarterly Report on Form 10-Q filed on August 7, 2014.</w:t>
      </w:r>
    </w:p>
    <w:p>
      <w:pPr>
        <w:spacing w:after="0" w:line="9"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10.6 to NRG Yield, Inc.'s Quarterly Report on Form 10-Q filed on August 4, 2015.</w:t>
      </w:r>
    </w:p>
    <w:p>
      <w:pPr>
        <w:spacing w:after="0" w:line="138"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10.7 to NRG Yield, Inc.'s Quarterly Report on Form 10-Q filed on August 4, 2015.</w:t>
      </w:r>
    </w:p>
    <w:p>
      <w:pPr>
        <w:spacing w:after="0" w:line="299"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10.8 to NRG Yield, Inc.'s Quarterly Report on Form 10-Q filed on August 4, 2015.</w:t>
      </w:r>
    </w:p>
    <w:p>
      <w:pPr>
        <w:spacing w:after="0" w:line="299"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10.5 to NRG Yield, Inc.'s Quarterly Report on Form 10-Q filed on August 7, 2014.</w:t>
      </w:r>
    </w:p>
    <w:p>
      <w:pPr>
        <w:spacing w:after="0" w:line="9"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10.6 to NRG Yield, Inc.'s Quarterly Report on Form 10-Q filed on August 7, 2014.</w:t>
      </w:r>
    </w:p>
    <w:p>
      <w:pPr>
        <w:spacing w:after="0" w:line="170"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 to NRG Yield, Inc.'s Quarterly Report on Form 10-Q filed on August 4, 2015.</w:t>
      </w:r>
    </w:p>
    <w:p>
      <w:pPr>
        <w:spacing w:after="0" w:line="236" w:lineRule="exact"/>
        <w:rPr>
          <w:sz w:val="20"/>
          <w:szCs w:val="20"/>
          <w:color w:val="auto"/>
        </w:rPr>
      </w:pPr>
    </w:p>
    <w:p>
      <w:pPr>
        <w:sectPr>
          <w:pgSz w:w="11900" w:h="16838" w:orient="portrait"/>
          <w:cols w:equalWidth="0" w:num="2">
            <w:col w:w="6960" w:space="160"/>
            <w:col w:w="4280"/>
          </w:cols>
          <w:pgMar w:left="240" w:top="900"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1400"/>
          </w:cols>
          <w:pgMar w:left="240" w:top="900" w:right="25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10.22^</w:t>
            </w:r>
          </w:p>
        </w:tc>
        <w:tc>
          <w:tcPr>
            <w:tcW w:w="61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w w:val="99"/>
              </w:rPr>
              <w:t>Amended and Restated Limited Liability Company Agreement of NRG DGPV Holdco 1 LLC, dated as of May 8,</w:t>
            </w:r>
          </w:p>
        </w:tc>
        <w:tc>
          <w:tcPr>
            <w:tcW w:w="0" w:type="dxa"/>
            <w:vAlign w:val="bottom"/>
          </w:tcPr>
          <w:p>
            <w:pPr>
              <w:spacing w:after="0"/>
              <w:rPr>
                <w:sz w:val="1"/>
                <w:szCs w:val="1"/>
                <w:color w:val="auto"/>
              </w:rPr>
            </w:pPr>
          </w:p>
        </w:tc>
      </w:tr>
      <w:tr>
        <w:trPr>
          <w:trHeight w:val="58"/>
        </w:trPr>
        <w:tc>
          <w:tcPr>
            <w:tcW w:w="760" w:type="dxa"/>
            <w:vAlign w:val="bottom"/>
          </w:tcPr>
          <w:p>
            <w:pPr>
              <w:spacing w:after="0"/>
              <w:rPr>
                <w:sz w:val="5"/>
                <w:szCs w:val="5"/>
                <w:color w:val="auto"/>
              </w:rPr>
            </w:pPr>
          </w:p>
        </w:tc>
        <w:tc>
          <w:tcPr>
            <w:tcW w:w="6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423"/>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10.23^</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8"/>
              </w:rPr>
              <w:t>Amendment No. 1 to Amended and Restated Limited Liability Company Agreement of NRG RPV Holdco 1 LLC,</w:t>
            </w:r>
          </w:p>
        </w:tc>
        <w:tc>
          <w:tcPr>
            <w:tcW w:w="0" w:type="dxa"/>
            <w:vAlign w:val="bottom"/>
          </w:tcPr>
          <w:p>
            <w:pPr>
              <w:spacing w:after="0"/>
              <w:rPr>
                <w:sz w:val="1"/>
                <w:szCs w:val="1"/>
                <w:color w:val="auto"/>
              </w:rPr>
            </w:pPr>
          </w:p>
        </w:tc>
      </w:tr>
      <w:tr>
        <w:trPr>
          <w:trHeight w:val="161"/>
        </w:trPr>
        <w:tc>
          <w:tcPr>
            <w:tcW w:w="760" w:type="dxa"/>
            <w:vAlign w:val="bottom"/>
          </w:tcPr>
          <w:p>
            <w:pPr>
              <w:spacing w:after="0"/>
              <w:rPr>
                <w:sz w:val="13"/>
                <w:szCs w:val="13"/>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dated as of March 1, 2016, by and between NRG Yield RPV Holding LLC and NRG Residential Solar Solutions</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LLC.</w:t>
            </w:r>
          </w:p>
        </w:tc>
        <w:tc>
          <w:tcPr>
            <w:tcW w:w="0" w:type="dxa"/>
            <w:vAlign w:val="bottom"/>
          </w:tcPr>
          <w:p>
            <w:pPr>
              <w:spacing w:after="0"/>
              <w:rPr>
                <w:sz w:val="1"/>
                <w:szCs w:val="1"/>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10.24^</w:t>
            </w:r>
          </w:p>
        </w:tc>
        <w:tc>
          <w:tcPr>
            <w:tcW w:w="61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Amendment No. 2 to Amended and Restated Limited Liability Company Agreement of NRG DGPV Holdco 1</w:t>
            </w:r>
          </w:p>
        </w:tc>
        <w:tc>
          <w:tcPr>
            <w:tcW w:w="0" w:type="dxa"/>
            <w:vAlign w:val="bottom"/>
          </w:tcPr>
          <w:p>
            <w:pPr>
              <w:spacing w:after="0"/>
              <w:rPr>
                <w:sz w:val="1"/>
                <w:szCs w:val="1"/>
                <w:color w:val="auto"/>
              </w:rPr>
            </w:pPr>
          </w:p>
        </w:tc>
      </w:tr>
      <w:tr>
        <w:trPr>
          <w:trHeight w:val="58"/>
        </w:trPr>
        <w:tc>
          <w:tcPr>
            <w:tcW w:w="760" w:type="dxa"/>
            <w:vAlign w:val="bottom"/>
          </w:tcPr>
          <w:p>
            <w:pPr>
              <w:spacing w:after="0"/>
              <w:rPr>
                <w:sz w:val="5"/>
                <w:szCs w:val="5"/>
                <w:color w:val="auto"/>
              </w:rPr>
            </w:pPr>
          </w:p>
        </w:tc>
        <w:tc>
          <w:tcPr>
            <w:tcW w:w="6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3"/>
                <w:szCs w:val="13"/>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8"/>
              </w:rPr>
              <w:t>LLC, dated as of March 1, 2016, by and among NRG Yield DGPV Holding LLC, NRG Renew DG Holdings LLC</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and NRG Renew LLC.</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10.25^</w:t>
            </w:r>
          </w:p>
        </w:tc>
        <w:tc>
          <w:tcPr>
            <w:tcW w:w="61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w w:val="99"/>
              </w:rPr>
              <w:t>Amended and Restated Limited Liability Company Agreement of NRG DGPV Holdco 2 LLC, dated as of March</w:t>
            </w:r>
          </w:p>
        </w:tc>
        <w:tc>
          <w:tcPr>
            <w:tcW w:w="0" w:type="dxa"/>
            <w:vAlign w:val="bottom"/>
          </w:tcPr>
          <w:p>
            <w:pPr>
              <w:spacing w:after="0"/>
              <w:rPr>
                <w:sz w:val="1"/>
                <w:szCs w:val="1"/>
                <w:color w:val="auto"/>
              </w:rPr>
            </w:pPr>
          </w:p>
        </w:tc>
      </w:tr>
      <w:tr>
        <w:trPr>
          <w:trHeight w:val="58"/>
        </w:trPr>
        <w:tc>
          <w:tcPr>
            <w:tcW w:w="760" w:type="dxa"/>
            <w:vAlign w:val="bottom"/>
          </w:tcPr>
          <w:p>
            <w:pPr>
              <w:spacing w:after="0"/>
              <w:rPr>
                <w:sz w:val="5"/>
                <w:szCs w:val="5"/>
                <w:color w:val="auto"/>
              </w:rPr>
            </w:pPr>
          </w:p>
        </w:tc>
        <w:tc>
          <w:tcPr>
            <w:tcW w:w="6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8"/>
              </w:rPr>
              <w:t>1, 2016, by and among NRG Yield DGPV Holding LLC, NRG Renew DG Holdings LLC, and NRG Renew LLC.</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10.26</w:t>
            </w:r>
          </w:p>
        </w:tc>
        <w:tc>
          <w:tcPr>
            <w:tcW w:w="61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w w:val="98"/>
              </w:rPr>
              <w:t>Amendment No. 2 to Amended and Restated Limited Liability Company Agreement of NRG RPV Holdco 1 LLC,</w:t>
            </w:r>
          </w:p>
        </w:tc>
        <w:tc>
          <w:tcPr>
            <w:tcW w:w="0" w:type="dxa"/>
            <w:vAlign w:val="bottom"/>
          </w:tcPr>
          <w:p>
            <w:pPr>
              <w:spacing w:after="0"/>
              <w:rPr>
                <w:sz w:val="1"/>
                <w:szCs w:val="1"/>
                <w:color w:val="auto"/>
              </w:rPr>
            </w:pPr>
          </w:p>
        </w:tc>
      </w:tr>
      <w:tr>
        <w:trPr>
          <w:trHeight w:val="58"/>
        </w:trPr>
        <w:tc>
          <w:tcPr>
            <w:tcW w:w="760" w:type="dxa"/>
            <w:vAlign w:val="bottom"/>
          </w:tcPr>
          <w:p>
            <w:pPr>
              <w:spacing w:after="0"/>
              <w:rPr>
                <w:sz w:val="5"/>
                <w:szCs w:val="5"/>
                <w:color w:val="auto"/>
              </w:rPr>
            </w:pPr>
          </w:p>
        </w:tc>
        <w:tc>
          <w:tcPr>
            <w:tcW w:w="6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3"/>
                <w:szCs w:val="13"/>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9"/>
              </w:rPr>
              <w:t>dated as of August 5, 2016, by and between NRG Yield RPV Holding LLC and NRG Residential Solar Solutions</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LLC.</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10.27†</w:t>
            </w:r>
          </w:p>
        </w:tc>
        <w:tc>
          <w:tcPr>
            <w:tcW w:w="61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Employment Agreement, dated as of May 6, 2016, between NRG Yield, Inc. and Christopher S. Sotos.</w:t>
            </w:r>
          </w:p>
        </w:tc>
        <w:tc>
          <w:tcPr>
            <w:tcW w:w="0" w:type="dxa"/>
            <w:vAlign w:val="bottom"/>
          </w:tcPr>
          <w:p>
            <w:pPr>
              <w:spacing w:after="0"/>
              <w:rPr>
                <w:sz w:val="1"/>
                <w:szCs w:val="1"/>
                <w:color w:val="auto"/>
              </w:rPr>
            </w:pPr>
          </w:p>
        </w:tc>
      </w:tr>
      <w:tr>
        <w:trPr>
          <w:trHeight w:val="64"/>
        </w:trPr>
        <w:tc>
          <w:tcPr>
            <w:tcW w:w="760" w:type="dxa"/>
            <w:vAlign w:val="bottom"/>
          </w:tcPr>
          <w:p>
            <w:pPr>
              <w:spacing w:after="0"/>
              <w:rPr>
                <w:sz w:val="5"/>
                <w:szCs w:val="5"/>
                <w:color w:val="auto"/>
              </w:rPr>
            </w:pPr>
          </w:p>
        </w:tc>
        <w:tc>
          <w:tcPr>
            <w:tcW w:w="6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9"/>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12.1</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Computation of Ratio of Earnings to Fixed Charges.</w:t>
            </w:r>
          </w:p>
        </w:tc>
        <w:tc>
          <w:tcPr>
            <w:tcW w:w="0" w:type="dxa"/>
            <w:vAlign w:val="bottom"/>
          </w:tcPr>
          <w:p>
            <w:pPr>
              <w:spacing w:after="0"/>
              <w:rPr>
                <w:sz w:val="1"/>
                <w:szCs w:val="1"/>
                <w:color w:val="auto"/>
              </w:rPr>
            </w:pPr>
          </w:p>
        </w:tc>
      </w:tr>
      <w:tr>
        <w:trPr>
          <w:trHeight w:val="225"/>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Subsidiaries of NRG Yield LLC.</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Rule 13a-14(a)/15d-14(a) certification of Christopher S. Sotos.</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Rule 13a-14(a)/15d-14(a) certification of Chad Plotkin.</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31.3</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Rule 13a-14(a)/15d-14(a) certification of David Callen.</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Section 1350 Certification.</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101 INS</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XBRL Instance Document.</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101 SCH</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XBRL Taxonomy Extension Schema.</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101 CAL</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XBRL Taxonomy Extension Calculation Linkbase.</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101 DEF</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XBRL Taxonomy Extension Definition Linkbase.</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101 LAB</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XBRL Taxonomy Extension Label Linkbase.</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101 PRE</w:t>
            </w:r>
          </w:p>
        </w:tc>
        <w:tc>
          <w:tcPr>
            <w:tcW w:w="6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10.2 to NRG Yield, Inc.'s Quarterly Report on Form 10-Q filed on August 4, 2015.</w:t>
      </w:r>
    </w:p>
    <w:p>
      <w:pPr>
        <w:spacing w:after="0" w:line="36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 to NRG Yield, Inc.'s Quarterly Report on Form 10-Q filed on May 5, 2016.</w:t>
      </w:r>
    </w:p>
    <w:p>
      <w:pPr>
        <w:spacing w:after="0" w:line="29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10.2 to NRG Yield, Inc.'s Quarterly Report on Form 10-Q filed on May 5, 2016.</w:t>
      </w:r>
    </w:p>
    <w:p>
      <w:pPr>
        <w:spacing w:after="0" w:line="29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10.3 to NRG Yield, Inc.'s Quarterly Report on Form 10-Q filed on May 5, 2016.</w:t>
      </w:r>
    </w:p>
    <w:p>
      <w:pPr>
        <w:spacing w:after="0" w:line="13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 to NRG Yield, Inc.'s Quarterly Report on Form 10-Q, filed on August 9, 2016.</w:t>
      </w:r>
    </w:p>
    <w:p>
      <w:pPr>
        <w:spacing w:after="0" w:line="299"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3"/>
          <w:szCs w:val="13"/>
          <w:color w:val="auto"/>
        </w:rPr>
        <w:t>Incorporated herein by reference to Exhibit 10.1 to NRG Yield, Inc.'s Current Report on Form 8-K/A, filed on August 9, 2016.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Furnished herewith.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17" w:lineRule="exact"/>
        <w:rPr>
          <w:sz w:val="20"/>
          <w:szCs w:val="20"/>
          <w:color w:val="auto"/>
        </w:rPr>
      </w:pPr>
    </w:p>
    <w:p>
      <w:pPr>
        <w:sectPr>
          <w:pgSz w:w="11900" w:h="16838" w:orient="portrait"/>
          <w:cols w:equalWidth="0" w:num="2">
            <w:col w:w="6940" w:space="180"/>
            <w:col w:w="4080"/>
          </w:cols>
          <w:pgMar w:left="240" w:top="900" w:right="459" w:bottom="1440" w:gutter="0" w:footer="0" w:header="0"/>
        </w:sectPr>
      </w:pPr>
    </w:p>
    <w:p>
      <w:pPr>
        <w:spacing w:after="0" w:line="116" w:lineRule="exact"/>
        <w:rPr>
          <w:sz w:val="20"/>
          <w:szCs w:val="20"/>
          <w:color w:val="auto"/>
        </w:rPr>
      </w:pPr>
    </w:p>
    <w:p>
      <w:pPr>
        <w:ind w:left="460" w:hanging="453"/>
        <w:spacing w:after="0"/>
        <w:tabs>
          <w:tab w:leader="none" w:pos="4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exhibits that constitute compensatory plans or arrangements.</w:t>
      </w:r>
    </w:p>
    <w:p>
      <w:pPr>
        <w:spacing w:after="0" w:line="65" w:lineRule="exact"/>
        <w:rPr>
          <w:sz w:val="20"/>
          <w:szCs w:val="20"/>
          <w:color w:val="auto"/>
        </w:rPr>
      </w:pPr>
    </w:p>
    <w:p>
      <w:pPr>
        <w:ind w:left="460" w:right="3920" w:hanging="453"/>
        <w:spacing w:after="0" w:line="285" w:lineRule="auto"/>
        <w:tabs>
          <w:tab w:leader="none" w:pos="4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filing excludes schedules pursuant to Item 601(b)(2) of Regulation S-K, which the registrant agrees to furnish supplementary to the Securities and Exchange Commission upon request by the Commission.</w:t>
      </w:r>
    </w:p>
    <w:p>
      <w:pPr>
        <w:spacing w:after="0" w:line="9" w:lineRule="exact"/>
        <w:rPr>
          <w:sz w:val="20"/>
          <w:szCs w:val="20"/>
          <w:color w:val="auto"/>
        </w:rPr>
      </w:pPr>
    </w:p>
    <w:p>
      <w:pPr>
        <w:ind w:left="460" w:right="3920" w:hanging="453"/>
        <w:spacing w:after="0" w:line="285" w:lineRule="auto"/>
        <w:tabs>
          <w:tab w:leader="none" w:pos="4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1200"/>
          </w:cols>
          <w:pgMar w:left="240" w:top="900" w:right="45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color w:val="auto"/>
        </w:rPr>
        <w:t>Item 16 — Form 10-K Summary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33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239"/>
          </w:cols>
          <w:pgMar w:left="220" w:top="766" w:right="1440" w:bottom="1440" w:gutter="0" w:footer="0" w:header="0"/>
        </w:sectPr>
      </w:pPr>
    </w:p>
    <w:bookmarkStart w:id="122" w:name="page123"/>
    <w:bookmarkEnd w:id="122"/>
    <w:p>
      <w:pPr>
        <w:ind w:left="52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8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NRG YIELD LLC</w:t>
      </w:r>
    </w:p>
    <w:p>
      <w:pPr>
        <w:spacing w:after="0" w:line="2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(Registrant)</w:t>
      </w:r>
    </w:p>
    <w:p>
      <w:pPr>
        <w:spacing w:after="0" w:line="27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29845</wp:posOffset>
            </wp:positionV>
            <wp:extent cx="210947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09470" cy="6985"/>
                    </a:xfrm>
                    <a:prstGeom prst="rect">
                      <a:avLst/>
                    </a:prstGeom>
                    <a:noFill/>
                  </pic:spPr>
                </pic:pic>
              </a:graphicData>
            </a:graphic>
          </wp:anchor>
        </w:drawing>
      </w:r>
    </w:p>
    <w:p>
      <w:pPr>
        <w:spacing w:after="0" w:line="4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5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28, 2017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4" w:lineRule="exact"/>
        <w:rPr>
          <w:sz w:val="20"/>
          <w:szCs w:val="20"/>
          <w:color w:val="auto"/>
        </w:rPr>
      </w:pPr>
    </w:p>
    <w:p>
      <w:pPr>
        <w:jc w:val="both"/>
        <w:ind w:firstLine="343"/>
        <w:spacing w:after="0" w:line="264"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David R. Hill and Brian E. Curci,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 accordance with the Securities Exchange Act of 1934, this report has been signed by the following persons on behalf of the registrant in the capacities indicated on February 28, 2017.</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780" w:type="dxa"/>
            <w:vAlign w:val="bottom"/>
          </w:tcPr>
          <w:p>
            <w:pPr>
              <w:spacing w:after="0"/>
              <w:rPr>
                <w:sz w:val="11"/>
                <w:szCs w:val="11"/>
                <w:color w:val="auto"/>
              </w:rPr>
            </w:pPr>
          </w:p>
        </w:tc>
        <w:tc>
          <w:tcPr>
            <w:tcW w:w="2500" w:type="dxa"/>
            <w:vAlign w:val="bottom"/>
            <w:gridSpan w:val="2"/>
          </w:tcPr>
          <w:p>
            <w:pPr>
              <w:jc w:val="center"/>
              <w:ind w:right="1980"/>
              <w:spacing w:after="0"/>
              <w:rPr>
                <w:sz w:val="20"/>
                <w:szCs w:val="20"/>
                <w:color w:val="auto"/>
              </w:rPr>
            </w:pPr>
            <w:r>
              <w:rPr>
                <w:rFonts w:ascii="Times New Roman" w:cs="Times New Roman" w:eastAsia="Times New Roman" w:hAnsi="Times New Roman"/>
                <w:sz w:val="11"/>
                <w:szCs w:val="11"/>
                <w:b w:val="1"/>
                <w:bCs w:val="1"/>
                <w:color w:val="auto"/>
              </w:rPr>
              <w:t>Signatures</w:t>
            </w:r>
          </w:p>
        </w:tc>
        <w:tc>
          <w:tcPr>
            <w:tcW w:w="3440" w:type="dxa"/>
            <w:vAlign w:val="bottom"/>
            <w:gridSpan w:val="3"/>
          </w:tcPr>
          <w:p>
            <w:pPr>
              <w:ind w:left="3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color w:val="auto"/>
              </w:rPr>
              <w:t>/s/ CHRISTOPHER S. SOTOS</w:t>
            </w:r>
          </w:p>
        </w:tc>
        <w:tc>
          <w:tcPr>
            <w:tcW w:w="3440" w:type="dxa"/>
            <w:vAlign w:val="bottom"/>
            <w:gridSpan w:val="3"/>
          </w:tcPr>
          <w:p>
            <w:pPr>
              <w:ind w:left="4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0" w:type="dxa"/>
            <w:vAlign w:val="bottom"/>
          </w:tcPr>
          <w:p>
            <w:pPr>
              <w:spacing w:after="0"/>
              <w:rPr>
                <w:sz w:val="1"/>
                <w:szCs w:val="1"/>
                <w:color w:val="auto"/>
              </w:rPr>
            </w:pPr>
          </w:p>
        </w:tc>
      </w:tr>
      <w:tr>
        <w:trPr>
          <w:trHeight w:val="22"/>
        </w:trPr>
        <w:tc>
          <w:tcPr>
            <w:tcW w:w="2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i w:val="1"/>
                <w:iCs w:val="1"/>
                <w:color w:val="auto"/>
              </w:rPr>
              <w:t>of NRG Yield LLC (Principal Executive Officer)</w:t>
            </w:r>
          </w:p>
        </w:tc>
        <w:tc>
          <w:tcPr>
            <w:tcW w:w="0" w:type="dxa"/>
            <w:vAlign w:val="bottom"/>
          </w:tcPr>
          <w:p>
            <w:pPr>
              <w:spacing w:after="0"/>
              <w:rPr>
                <w:sz w:val="1"/>
                <w:szCs w:val="1"/>
                <w:color w:val="auto"/>
              </w:rPr>
            </w:pPr>
          </w:p>
        </w:tc>
      </w:tr>
      <w:tr>
        <w:trPr>
          <w:trHeight w:val="183"/>
        </w:trPr>
        <w:tc>
          <w:tcPr>
            <w:tcW w:w="528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color w:val="auto"/>
              </w:rPr>
              <w:t>Christopher S. Sotos</w:t>
            </w:r>
          </w:p>
        </w:tc>
        <w:tc>
          <w:tcPr>
            <w:tcW w:w="3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2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Date: February 28, 2017</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40" w:type="dxa"/>
            <w:vAlign w:val="bottom"/>
            <w:gridSpan w:val="3"/>
          </w:tcPr>
          <w:p>
            <w:pPr>
              <w:ind w:left="480"/>
              <w:spacing w:after="0"/>
              <w:rPr>
                <w:sz w:val="20"/>
                <w:szCs w:val="20"/>
                <w:color w:val="auto"/>
              </w:rPr>
            </w:pPr>
            <w:r>
              <w:rPr>
                <w:rFonts w:ascii="Times New Roman" w:cs="Times New Roman" w:eastAsia="Times New Roman" w:hAnsi="Times New Roman"/>
                <w:sz w:val="14"/>
                <w:szCs w:val="14"/>
                <w:i w:val="1"/>
                <w:iCs w:val="1"/>
                <w:color w:val="auto"/>
              </w:rPr>
              <w:t>Senior Vice President and Chief Financial Officer</w:t>
            </w:r>
          </w:p>
        </w:tc>
        <w:tc>
          <w:tcPr>
            <w:tcW w:w="0" w:type="dxa"/>
            <w:vAlign w:val="bottom"/>
          </w:tcPr>
          <w:p>
            <w:pPr>
              <w:spacing w:after="0"/>
              <w:rPr>
                <w:sz w:val="1"/>
                <w:szCs w:val="1"/>
                <w:color w:val="auto"/>
              </w:rPr>
            </w:pPr>
          </w:p>
        </w:tc>
      </w:tr>
      <w:tr>
        <w:trPr>
          <w:trHeight w:val="343"/>
        </w:trPr>
        <w:tc>
          <w:tcPr>
            <w:tcW w:w="528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color w:val="auto"/>
              </w:rPr>
              <w:t>/s/ CHAD PLOTKIN</w:t>
            </w: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i w:val="1"/>
                <w:iCs w:val="1"/>
                <w:color w:val="auto"/>
              </w:rPr>
              <w:t>of NRG Yield LLC (Principal Financial Officer)</w:t>
            </w:r>
          </w:p>
        </w:tc>
        <w:tc>
          <w:tcPr>
            <w:tcW w:w="0" w:type="dxa"/>
            <w:vAlign w:val="bottom"/>
          </w:tcPr>
          <w:p>
            <w:pPr>
              <w:spacing w:after="0"/>
              <w:rPr>
                <w:sz w:val="1"/>
                <w:szCs w:val="1"/>
                <w:color w:val="auto"/>
              </w:rPr>
            </w:pPr>
          </w:p>
        </w:tc>
      </w:tr>
      <w:tr>
        <w:trPr>
          <w:trHeight w:val="183"/>
        </w:trPr>
        <w:tc>
          <w:tcPr>
            <w:tcW w:w="52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color w:val="auto"/>
              </w:rPr>
              <w:t>Chad Plotkin</w:t>
            </w:r>
          </w:p>
        </w:tc>
        <w:tc>
          <w:tcPr>
            <w:tcW w:w="3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2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Date: February 28, 2017</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52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color w:val="auto"/>
                <w:w w:val="99"/>
              </w:rPr>
              <w:t>/s/ DAVID CALLEN</w:t>
            </w:r>
          </w:p>
        </w:tc>
        <w:tc>
          <w:tcPr>
            <w:tcW w:w="3440" w:type="dxa"/>
            <w:vAlign w:val="bottom"/>
            <w:gridSpan w:val="3"/>
          </w:tcPr>
          <w:p>
            <w:pPr>
              <w:ind w:left="480"/>
              <w:spacing w:after="0"/>
              <w:rPr>
                <w:sz w:val="20"/>
                <w:szCs w:val="20"/>
                <w:color w:val="auto"/>
              </w:rPr>
            </w:pPr>
            <w:r>
              <w:rPr>
                <w:rFonts w:ascii="Times New Roman" w:cs="Times New Roman" w:eastAsia="Times New Roman" w:hAnsi="Times New Roman"/>
                <w:sz w:val="14"/>
                <w:szCs w:val="14"/>
                <w:i w:val="1"/>
                <w:iCs w:val="1"/>
                <w:color w:val="auto"/>
              </w:rPr>
              <w:t>Senior Vice President and Chief Accounting Officer</w:t>
            </w:r>
          </w:p>
        </w:tc>
        <w:tc>
          <w:tcPr>
            <w:tcW w:w="0" w:type="dxa"/>
            <w:vAlign w:val="bottom"/>
          </w:tcPr>
          <w:p>
            <w:pPr>
              <w:spacing w:after="0"/>
              <w:rPr>
                <w:sz w:val="1"/>
                <w:szCs w:val="1"/>
                <w:color w:val="auto"/>
              </w:rPr>
            </w:pPr>
          </w:p>
        </w:tc>
      </w:tr>
      <w:tr>
        <w:trPr>
          <w:trHeight w:val="22"/>
        </w:trPr>
        <w:tc>
          <w:tcPr>
            <w:tcW w:w="2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i w:val="1"/>
                <w:iCs w:val="1"/>
                <w:color w:val="auto"/>
              </w:rPr>
              <w:t>of NRG Yield LLC (Principal Accounting Officer)</w:t>
            </w:r>
          </w:p>
        </w:tc>
        <w:tc>
          <w:tcPr>
            <w:tcW w:w="0" w:type="dxa"/>
            <w:vAlign w:val="bottom"/>
          </w:tcPr>
          <w:p>
            <w:pPr>
              <w:spacing w:after="0"/>
              <w:rPr>
                <w:sz w:val="1"/>
                <w:szCs w:val="1"/>
                <w:color w:val="auto"/>
              </w:rPr>
            </w:pPr>
          </w:p>
        </w:tc>
      </w:tr>
      <w:tr>
        <w:trPr>
          <w:trHeight w:val="183"/>
        </w:trPr>
        <w:tc>
          <w:tcPr>
            <w:tcW w:w="52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color w:val="auto"/>
              </w:rPr>
              <w:t>David Callen</w:t>
            </w:r>
          </w:p>
        </w:tc>
        <w:tc>
          <w:tcPr>
            <w:tcW w:w="3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2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Date: February 28, 2017</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NRG YIELD, INC.</w:t>
            </w:r>
          </w:p>
        </w:tc>
        <w:tc>
          <w:tcPr>
            <w:tcW w:w="344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Sole Managing Member</w:t>
            </w:r>
          </w:p>
        </w:tc>
        <w:tc>
          <w:tcPr>
            <w:tcW w:w="0" w:type="dxa"/>
            <w:vAlign w:val="bottom"/>
          </w:tcPr>
          <w:p>
            <w:pPr>
              <w:spacing w:after="0"/>
              <w:rPr>
                <w:sz w:val="1"/>
                <w:szCs w:val="1"/>
                <w:color w:val="auto"/>
              </w:rPr>
            </w:pPr>
          </w:p>
        </w:tc>
      </w:tr>
      <w:tr>
        <w:trPr>
          <w:trHeight w:val="450"/>
        </w:trPr>
        <w:tc>
          <w:tcPr>
            <w:tcW w:w="528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color w:val="auto"/>
              </w:rPr>
              <w:t>/s/ CHRISTOPHER S. SOTOS</w:t>
            </w:r>
          </w:p>
        </w:tc>
        <w:tc>
          <w:tcPr>
            <w:tcW w:w="3440" w:type="dxa"/>
            <w:vAlign w:val="bottom"/>
            <w:gridSpan w:val="3"/>
          </w:tcPr>
          <w:p>
            <w:pPr>
              <w:ind w:left="4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0" w:type="dxa"/>
            <w:vAlign w:val="bottom"/>
          </w:tcPr>
          <w:p>
            <w:pPr>
              <w:spacing w:after="0"/>
              <w:rPr>
                <w:sz w:val="1"/>
                <w:szCs w:val="1"/>
                <w:color w:val="auto"/>
              </w:rPr>
            </w:pPr>
          </w:p>
        </w:tc>
      </w:tr>
      <w:tr>
        <w:trPr>
          <w:trHeight w:val="22"/>
        </w:trPr>
        <w:tc>
          <w:tcPr>
            <w:tcW w:w="2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i w:val="1"/>
                <w:iCs w:val="1"/>
                <w:color w:val="auto"/>
              </w:rPr>
              <w:t>of NRG Yield, Inc.</w:t>
            </w:r>
          </w:p>
        </w:tc>
        <w:tc>
          <w:tcPr>
            <w:tcW w:w="0" w:type="dxa"/>
            <w:vAlign w:val="bottom"/>
          </w:tcPr>
          <w:p>
            <w:pPr>
              <w:spacing w:after="0"/>
              <w:rPr>
                <w:sz w:val="1"/>
                <w:szCs w:val="1"/>
                <w:color w:val="auto"/>
              </w:rPr>
            </w:pPr>
          </w:p>
        </w:tc>
      </w:tr>
      <w:tr>
        <w:trPr>
          <w:trHeight w:val="183"/>
        </w:trPr>
        <w:tc>
          <w:tcPr>
            <w:tcW w:w="528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color w:val="auto"/>
              </w:rPr>
              <w:t>Christopher S. Sotos</w:t>
            </w:r>
          </w:p>
        </w:tc>
        <w:tc>
          <w:tcPr>
            <w:tcW w:w="3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2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Date: February 28, 2017</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2"/>
        </w:trPr>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066" w:right="219" w:bottom="1440" w:gutter="0" w:footer="0" w:header="0"/>
        </w:sectPr>
      </w:pPr>
    </w:p>
    <w:bookmarkStart w:id="123" w:name="page124"/>
    <w:bookmarkEnd w:id="123"/>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KIRKLAND B. ANDREWS</w:t>
            </w:r>
          </w:p>
        </w:tc>
        <w:tc>
          <w:tcPr>
            <w:tcW w:w="120" w:type="dxa"/>
            <w:vAlign w:val="bottom"/>
          </w:tcPr>
          <w:p>
            <w:pPr>
              <w:spacing w:after="0"/>
              <w:rPr>
                <w:sz w:val="15"/>
                <w:szCs w:val="15"/>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NRG Yield, Inc.</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Kirkland B. Andrews</w:t>
            </w:r>
          </w:p>
        </w:tc>
        <w:tc>
          <w:tcPr>
            <w:tcW w:w="120" w:type="dxa"/>
            <w:vAlign w:val="bottom"/>
          </w:tcPr>
          <w:p>
            <w:pPr>
              <w:spacing w:after="0"/>
              <w:rPr>
                <w:sz w:val="15"/>
                <w:szCs w:val="15"/>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NRG Yield LLC</w:t>
            </w:r>
          </w:p>
        </w:tc>
        <w:tc>
          <w:tcPr>
            <w:tcW w:w="0" w:type="dxa"/>
            <w:vAlign w:val="bottom"/>
          </w:tcPr>
          <w:p>
            <w:pPr>
              <w:spacing w:after="0"/>
              <w:rPr>
                <w:sz w:val="1"/>
                <w:szCs w:val="1"/>
                <w:color w:val="auto"/>
              </w:rPr>
            </w:pPr>
          </w:p>
        </w:tc>
      </w:tr>
      <w:tr>
        <w:trPr>
          <w:trHeight w:val="450"/>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JOHN CHILLEMI</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NRG Yield, Inc.</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John Chillemi</w:t>
            </w:r>
          </w:p>
        </w:tc>
        <w:tc>
          <w:tcPr>
            <w:tcW w:w="120" w:type="dxa"/>
            <w:vAlign w:val="bottom"/>
          </w:tcPr>
          <w:p>
            <w:pPr>
              <w:spacing w:after="0"/>
              <w:rPr>
                <w:sz w:val="15"/>
                <w:szCs w:val="15"/>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NRG Yield LLC</w:t>
            </w:r>
          </w:p>
        </w:tc>
        <w:tc>
          <w:tcPr>
            <w:tcW w:w="0" w:type="dxa"/>
            <w:vAlign w:val="bottom"/>
          </w:tcPr>
          <w:p>
            <w:pPr>
              <w:spacing w:after="0"/>
              <w:rPr>
                <w:sz w:val="1"/>
                <w:szCs w:val="1"/>
                <w:color w:val="auto"/>
              </w:rPr>
            </w:pPr>
          </w:p>
        </w:tc>
      </w:tr>
      <w:tr>
        <w:trPr>
          <w:trHeight w:val="450"/>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JOHN CHLEBOWSKI</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NRG Yield, Inc.</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Sole Managing Member of NRG Yield LLC</w:t>
            </w:r>
          </w:p>
        </w:tc>
        <w:tc>
          <w:tcPr>
            <w:tcW w:w="0" w:type="dxa"/>
            <w:vAlign w:val="bottom"/>
          </w:tcPr>
          <w:p>
            <w:pPr>
              <w:spacing w:after="0"/>
              <w:rPr>
                <w:sz w:val="1"/>
                <w:szCs w:val="1"/>
                <w:color w:val="auto"/>
              </w:rPr>
            </w:pPr>
          </w:p>
        </w:tc>
      </w:tr>
      <w:tr>
        <w:trPr>
          <w:trHeight w:val="183"/>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John Chlebowski</w:t>
            </w:r>
          </w:p>
        </w:tc>
        <w:tc>
          <w:tcPr>
            <w:tcW w:w="120" w:type="dxa"/>
            <w:vAlign w:val="bottom"/>
          </w:tcPr>
          <w:p>
            <w:pPr>
              <w:spacing w:after="0"/>
              <w:rPr>
                <w:sz w:val="15"/>
                <w:szCs w:val="15"/>
                <w:color w:val="auto"/>
              </w:rPr>
            </w:pPr>
          </w:p>
        </w:tc>
        <w:tc>
          <w:tcPr>
            <w:tcW w:w="5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BRIAN FORD</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NRG Yield, Inc.</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Brian Ford</w:t>
            </w:r>
          </w:p>
        </w:tc>
        <w:tc>
          <w:tcPr>
            <w:tcW w:w="120" w:type="dxa"/>
            <w:vAlign w:val="bottom"/>
          </w:tcPr>
          <w:p>
            <w:pPr>
              <w:spacing w:after="0"/>
              <w:rPr>
                <w:sz w:val="15"/>
                <w:szCs w:val="15"/>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NRG Yield LLC</w:t>
            </w:r>
          </w:p>
        </w:tc>
        <w:tc>
          <w:tcPr>
            <w:tcW w:w="0" w:type="dxa"/>
            <w:vAlign w:val="bottom"/>
          </w:tcPr>
          <w:p>
            <w:pPr>
              <w:spacing w:after="0"/>
              <w:rPr>
                <w:sz w:val="1"/>
                <w:szCs w:val="1"/>
                <w:color w:val="auto"/>
              </w:rPr>
            </w:pPr>
          </w:p>
        </w:tc>
      </w:tr>
      <w:tr>
        <w:trPr>
          <w:trHeight w:val="450"/>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MAURICIO GUTIERREZ</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NRG Yield, Inc.</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Mauricio Gutierrez</w:t>
            </w:r>
          </w:p>
        </w:tc>
        <w:tc>
          <w:tcPr>
            <w:tcW w:w="120" w:type="dxa"/>
            <w:vAlign w:val="bottom"/>
          </w:tcPr>
          <w:p>
            <w:pPr>
              <w:spacing w:after="0"/>
              <w:rPr>
                <w:sz w:val="15"/>
                <w:szCs w:val="15"/>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NRG Yield LLC</w:t>
            </w:r>
          </w:p>
        </w:tc>
        <w:tc>
          <w:tcPr>
            <w:tcW w:w="0" w:type="dxa"/>
            <w:vAlign w:val="bottom"/>
          </w:tcPr>
          <w:p>
            <w:pPr>
              <w:spacing w:after="0"/>
              <w:rPr>
                <w:sz w:val="1"/>
                <w:szCs w:val="1"/>
                <w:color w:val="auto"/>
              </w:rPr>
            </w:pPr>
          </w:p>
        </w:tc>
      </w:tr>
      <w:tr>
        <w:trPr>
          <w:trHeight w:val="450"/>
        </w:trPr>
        <w:tc>
          <w:tcPr>
            <w:tcW w:w="35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 FERRELL MCCLEAN</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NRG Yield, Inc.</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Ferrell McClean</w:t>
            </w:r>
          </w:p>
        </w:tc>
        <w:tc>
          <w:tcPr>
            <w:tcW w:w="120" w:type="dxa"/>
            <w:vAlign w:val="bottom"/>
          </w:tcPr>
          <w:p>
            <w:pPr>
              <w:spacing w:after="0"/>
              <w:rPr>
                <w:sz w:val="15"/>
                <w:szCs w:val="15"/>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NRG Yield LLC</w:t>
            </w:r>
          </w:p>
        </w:tc>
        <w:tc>
          <w:tcPr>
            <w:tcW w:w="0" w:type="dxa"/>
            <w:vAlign w:val="bottom"/>
          </w:tcPr>
          <w:p>
            <w:pPr>
              <w:spacing w:after="0"/>
              <w:rPr>
                <w:sz w:val="1"/>
                <w:szCs w:val="1"/>
                <w:color w:val="auto"/>
              </w:rPr>
            </w:pPr>
          </w:p>
        </w:tc>
      </w:tr>
      <w:tr>
        <w:trPr>
          <w:trHeight w:val="450"/>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CHRISTOPHER S. SOTOS</w:t>
            </w:r>
          </w:p>
        </w:tc>
        <w:tc>
          <w:tcPr>
            <w:tcW w:w="12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NRG Yield, Inc.</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Christopher S. Sotos</w:t>
            </w:r>
          </w:p>
        </w:tc>
        <w:tc>
          <w:tcPr>
            <w:tcW w:w="120" w:type="dxa"/>
            <w:vAlign w:val="bottom"/>
          </w:tcPr>
          <w:p>
            <w:pPr>
              <w:spacing w:after="0"/>
              <w:rPr>
                <w:sz w:val="15"/>
                <w:szCs w:val="15"/>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NRG Yield LLC</w:t>
            </w:r>
          </w:p>
        </w:tc>
        <w:tc>
          <w:tcPr>
            <w:tcW w:w="0" w:type="dxa"/>
            <w:vAlign w:val="bottom"/>
          </w:tcPr>
          <w:p>
            <w:pPr>
              <w:spacing w:after="0"/>
              <w:rPr>
                <w:sz w:val="1"/>
                <w:szCs w:val="1"/>
                <w:color w:val="auto"/>
              </w:rPr>
            </w:pPr>
          </w:p>
        </w:tc>
      </w:tr>
      <w:tr>
        <w:trPr>
          <w:trHeight w:val="557"/>
        </w:trPr>
        <w:tc>
          <w:tcPr>
            <w:tcW w:w="3560" w:type="dxa"/>
            <w:vAlign w:val="bottom"/>
          </w:tcPr>
          <w:p>
            <w:pPr>
              <w:spacing w:after="0"/>
              <w:rPr>
                <w:sz w:val="24"/>
                <w:szCs w:val="24"/>
                <w:color w:val="auto"/>
              </w:rPr>
            </w:pPr>
          </w:p>
        </w:tc>
        <w:tc>
          <w:tcPr>
            <w:tcW w:w="5520" w:type="dxa"/>
            <w:vAlign w:val="bottom"/>
            <w:gridSpan w:val="2"/>
          </w:tcPr>
          <w:p>
            <w:pPr>
              <w:jc w:val="right"/>
              <w:ind w:right="3169"/>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201295</wp:posOffset>
            </wp:positionV>
            <wp:extent cx="144970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9705" cy="698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31115</wp:posOffset>
            </wp:positionV>
            <wp:extent cx="144970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9705" cy="698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2017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2017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2017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2017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2017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2017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2017</w:t>
      </w:r>
    </w:p>
    <w:p>
      <w:pPr>
        <w:sectPr>
          <w:pgSz w:w="11900" w:h="16838" w:orient="portrait"/>
          <w:cols w:equalWidth="0" w:num="2">
            <w:col w:w="9080" w:space="720"/>
            <w:col w:w="1040"/>
          </w:cols>
          <w:pgMar w:left="220" w:top="1440" w:right="839" w:bottom="1440" w:gutter="0" w:footer="0" w:header="0"/>
        </w:sectPr>
      </w:pPr>
    </w:p>
    <w:bookmarkStart w:id="124" w:name="page125"/>
    <w:bookmarkEnd w:id="124"/>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Supplemental Information to be Furnished with Reports Filed Pursuant to</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Section 15(d) of the Act by Registrants Which Have Not Registered</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Securities Pursuant to Section 12 of the Act</w:t>
      </w:r>
    </w:p>
    <w:p>
      <w:pPr>
        <w:spacing w:after="0" w:line="125" w:lineRule="exact"/>
        <w:rPr>
          <w:sz w:val="20"/>
          <w:szCs w:val="20"/>
          <w:color w:val="auto"/>
        </w:rPr>
      </w:pPr>
    </w:p>
    <w:p>
      <w:pPr>
        <w:ind w:firstLine="279"/>
        <w:spacing w:after="0" w:line="291" w:lineRule="auto"/>
        <w:rPr>
          <w:sz w:val="20"/>
          <w:szCs w:val="20"/>
          <w:color w:val="auto"/>
        </w:rPr>
      </w:pPr>
      <w:r>
        <w:rPr>
          <w:rFonts w:ascii="Times New Roman" w:cs="Times New Roman" w:eastAsia="Times New Roman" w:hAnsi="Times New Roman"/>
          <w:sz w:val="14"/>
          <w:szCs w:val="14"/>
          <w:color w:val="auto"/>
        </w:rPr>
        <w:t>No annual report or proxy materials has been sent to securities holders and no such report or proxy material is to be furnished to securities holders subsequent to the filing of the annual report on this Form 10-K.</w:t>
      </w: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1340"/>
          </w:cols>
          <w:pgMar w:left="220" w:top="830"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7"/>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120" w:type="dxa"/>
            <w:vAlign w:val="bottom"/>
            <w:gridSpan w:val="5"/>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NRG YIELD OPERATING LLC AND SUBSIDIARIES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12.1</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120" w:type="dxa"/>
            <w:vAlign w:val="bottom"/>
            <w:gridSpan w:val="5"/>
            <w:vMerge w:val="continue"/>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78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COMPUTATION OF RATIO OF EARNINGS TO FIXED CHARGES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 xml:space="preserve">2015 </w:t>
            </w:r>
            <w:r>
              <w:rPr>
                <w:rFonts w:ascii="Times New Roman" w:cs="Times New Roman" w:eastAsia="Times New Roman" w:hAnsi="Times New Roman"/>
                <w:sz w:val="7"/>
                <w:szCs w:val="7"/>
                <w:b w:val="1"/>
                <w:bCs w:val="1"/>
                <w:color w:val="auto"/>
              </w:rPr>
              <w:t>(c)</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xml:space="preserve">2014 </w:t>
            </w:r>
            <w:r>
              <w:rPr>
                <w:rFonts w:ascii="Times New Roman" w:cs="Times New Roman" w:eastAsia="Times New Roman" w:hAnsi="Times New Roman"/>
                <w:sz w:val="7"/>
                <w:szCs w:val="7"/>
                <w:b w:val="1"/>
                <w:bCs w:val="1"/>
                <w:color w:val="auto"/>
              </w:rPr>
              <w:t>(c)</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2013 </w:t>
            </w:r>
            <w:r>
              <w:rPr>
                <w:rFonts w:ascii="Times New Roman" w:cs="Times New Roman" w:eastAsia="Times New Roman" w:hAnsi="Times New Roman"/>
                <w:sz w:val="7"/>
                <w:szCs w:val="7"/>
                <w:b w:val="1"/>
                <w:bCs w:val="1"/>
                <w:color w:val="auto"/>
              </w:rPr>
              <w:t>(b)(c)</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2012</w:t>
            </w:r>
            <w:r>
              <w:rPr>
                <w:rFonts w:ascii="Times New Roman" w:cs="Times New Roman" w:eastAsia="Times New Roman" w:hAnsi="Times New Roman"/>
                <w:sz w:val="7"/>
                <w:szCs w:val="7"/>
                <w:b w:val="1"/>
                <w:bCs w:val="1"/>
                <w:color w:val="auto"/>
              </w:rPr>
              <w:t>(a)(b)(c)</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(in millions, except ratio)</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from continuing operations before income tax</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88</w:t>
            </w:r>
          </w:p>
        </w:tc>
        <w:tc>
          <w:tcPr>
            <w:tcW w:w="2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Less:</w:t>
            </w:r>
          </w:p>
        </w:tc>
        <w:tc>
          <w:tcPr>
            <w:tcW w:w="3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interest</w:t>
            </w:r>
          </w:p>
        </w:tc>
        <w:tc>
          <w:tcPr>
            <w:tcW w:w="3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w:t>
            </w: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charges</w:t>
            </w:r>
          </w:p>
        </w:tc>
        <w:tc>
          <w:tcPr>
            <w:tcW w:w="3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2"/>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capitalized interest</w:t>
            </w:r>
          </w:p>
        </w:tc>
        <w:tc>
          <w:tcPr>
            <w:tcW w:w="3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3"/>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Earnings:</w:t>
            </w:r>
          </w:p>
        </w:tc>
        <w:tc>
          <w:tcPr>
            <w:tcW w:w="314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2"/>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Fixed Charges:</w:t>
            </w: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3400" w:type="dxa"/>
            <w:vAlign w:val="bottom"/>
            <w:gridSpan w:val="2"/>
            <w:vMerge w:val="continue"/>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2"/>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Capitalized interest</w:t>
            </w: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Approximation of interest in rental expense</w:t>
            </w: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Fixed Charges: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257</w:t>
            </w:r>
          </w:p>
        </w:tc>
        <w:tc>
          <w:tcPr>
            <w:tcW w:w="28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9"/>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Ratio of Earnings to Combined Fixed Charges</w:t>
            </w:r>
          </w:p>
        </w:tc>
        <w:tc>
          <w:tcPr>
            <w:tcW w:w="3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0.73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40" w:type="dxa"/>
            <w:vAlign w:val="bottom"/>
            <w:tcBorders>
              <w:bottom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hanging="254"/>
        <w:spacing w:after="0"/>
        <w:tabs>
          <w:tab w:leader="none" w:pos="260" w:val="left"/>
        </w:tabs>
        <w:numPr>
          <w:ilvl w:val="0"/>
          <w:numId w:val="6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ratio coverage for the year ended December 31, 2012 was less than 1:1. NRG Yield Operating LLC would have needed to generate additional earnings of $18 million to achieve a ratio coverage of 1:1 for that year.</w:t>
      </w:r>
    </w:p>
    <w:p>
      <w:pPr>
        <w:jc w:val="both"/>
        <w:ind w:left="260" w:hanging="254"/>
        <w:spacing w:after="0" w:line="203" w:lineRule="auto"/>
        <w:tabs>
          <w:tab w:leader="none" w:pos="260" w:val="left"/>
        </w:tabs>
        <w:numPr>
          <w:ilvl w:val="0"/>
          <w:numId w:val="6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For all periods prior to the Yield, Inc.'s initial public offering on July 22, 2013, the accompanying combined financial statements represent the combination of the assets that the Company acquired and were prepared using NRG's historical basis in the assets and liabilities. For the purposes of the combined financial statements, the term "NRG Yield Operating LLC and Subsidiaries" represents the accounting predecessor, or the combination of the acquired businesses. For all periods subsequent to the Yield Inc. initial public offering, the accompanying audited consolidated financial statements represent the consolidated results of the Company.</w:t>
      </w:r>
    </w:p>
    <w:p>
      <w:pPr>
        <w:ind w:left="260" w:hanging="254"/>
        <w:spacing w:after="0"/>
        <w:tabs>
          <w:tab w:leader="none" w:pos="260" w:val="left"/>
        </w:tabs>
        <w:numPr>
          <w:ilvl w:val="0"/>
          <w:numId w:val="6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Retrospectively adjusted as discussed in Item 15 — Note 1, </w:t>
      </w:r>
      <w:r>
        <w:rPr>
          <w:rFonts w:ascii="Times New Roman" w:cs="Times New Roman" w:eastAsia="Times New Roman" w:hAnsi="Times New Roman"/>
          <w:sz w:val="11"/>
          <w:szCs w:val="11"/>
          <w:i w:val="1"/>
          <w:iCs w:val="1"/>
          <w:color w:val="auto"/>
        </w:rPr>
        <w:t>Nature of Business</w:t>
      </w:r>
      <w:r>
        <w:rPr>
          <w:rFonts w:ascii="Times New Roman" w:cs="Times New Roman" w:eastAsia="Times New Roman" w:hAnsi="Times New Roman"/>
          <w:sz w:val="11"/>
          <w:szCs w:val="11"/>
          <w:color w:val="auto"/>
        </w:rPr>
        <w:t>, to the Consolidated Financial Statements.</w:t>
      </w:r>
    </w:p>
    <w:p>
      <w:pPr>
        <w:sectPr>
          <w:pgSz w:w="11900" w:h="16838" w:orient="portrait"/>
          <w:cols w:equalWidth="0" w:num="1">
            <w:col w:w="11460"/>
          </w:cols>
          <w:pgMar w:left="220" w:top="487" w:right="2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768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SUBSIDIARIES OF NRG YIELD LLC</w:t>
            </w:r>
          </w:p>
        </w:tc>
      </w:tr>
      <w:tr>
        <w:trPr>
          <w:trHeight w:val="284"/>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452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2"/>
        </w:trPr>
        <w:tc>
          <w:tcPr>
            <w:tcW w:w="37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25"/>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Adams Community Solar Garden I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Colorado</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Adams Community Solar Garden II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Colorado</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Adams Community Solar Garden III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Colorado</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Adams Community Solar Gardens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Colorado</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Interconnection Management II,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Interconnection Management III,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Interconnection Management,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Realty Holdings,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Realty Investments,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Wind 1-5 Holding Company,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Wind Asset Management Holdings,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Wind Asset Management,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Wind Company,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Wind Holdings,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Wind I Holding Company,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Wind I,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Wind II Holding Company,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Wind II,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Wind III Holding Company,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Wind III,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Wind IV Holding Company,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Wind IV,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Wind V Holding Company,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Wind V,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Wind X Holding Company,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Wind X,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Wind X-XI TE Holdco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Alta Wind XI Holding Company,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Alta Wind XI,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Apple I REC Holdco 2011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Arapahoe Community Solar Garden I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Colorado</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Avenal Park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Avenal Solar Holdings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Buffalo Bear,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Oklahoma</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BWC Swan Pond River,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Clear View Acres Wind Farm,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Colorado Shared Solar I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Colorado</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Colorado Springs Solar Garden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Colorado</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Continental Energy,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Arizona</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CVSR Holdco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Cy-Hawk Wind Energy, LLC</w:t>
            </w:r>
          </w:p>
        </w:tc>
        <w:tc>
          <w:tcPr>
            <w:tcW w:w="4520" w:type="dxa"/>
            <w:vAlign w:val="bottom"/>
            <w:tcBorders>
              <w:bottom w:val="single" w:sz="8" w:color="C0C0C0"/>
              <w:right w:val="single" w:sz="8" w:color="C0C0C0"/>
            </w:tcBorders>
            <w:shd w:val="clear" w:color="auto" w:fill="CCEEFF"/>
          </w:tcPr>
          <w:p>
            <w:pPr>
              <w:spacing w:after="0"/>
              <w:rPr>
                <w:sz w:val="19"/>
                <w:szCs w:val="19"/>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08"/>
        </w:trPr>
        <w:tc>
          <w:tcPr>
            <w:tcW w:w="3720" w:type="dxa"/>
            <w:vAlign w:val="bottom"/>
            <w:tcBorders>
              <w:left w:val="single" w:sz="8" w:color="C0C0C0"/>
              <w:bottom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Denver Community Solar Garden I LLC</w:t>
            </w:r>
          </w:p>
        </w:tc>
        <w:tc>
          <w:tcPr>
            <w:tcW w:w="4520" w:type="dxa"/>
            <w:vAlign w:val="bottom"/>
            <w:tcBorders>
              <w:bottom w:val="single" w:sz="8" w:color="C0C0C0"/>
              <w:right w:val="single" w:sz="8" w:color="C0C0C0"/>
            </w:tcBorders>
          </w:tcPr>
          <w:p>
            <w:pPr>
              <w:spacing w:after="0"/>
              <w:rPr>
                <w:sz w:val="18"/>
                <w:szCs w:val="18"/>
                <w:color w:val="auto"/>
              </w:rPr>
            </w:pP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Colorado</w:t>
            </w:r>
          </w:p>
        </w:tc>
      </w:tr>
      <w:tr>
        <w:trPr>
          <w:trHeight w:val="216"/>
        </w:trPr>
        <w:tc>
          <w:tcPr>
            <w:tcW w:w="3720" w:type="dxa"/>
            <w:vAlign w:val="bottom"/>
            <w:tcBorders>
              <w:left w:val="single" w:sz="8" w:color="C0C0C0"/>
              <w:bottom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Denver Community Solar Garden II LLC</w:t>
            </w:r>
          </w:p>
        </w:tc>
        <w:tc>
          <w:tcPr>
            <w:tcW w:w="4520" w:type="dxa"/>
            <w:vAlign w:val="bottom"/>
            <w:tcBorders>
              <w:bottom w:val="single" w:sz="8" w:color="C0C0C0"/>
              <w:right w:val="single" w:sz="8" w:color="C0C0C0"/>
            </w:tcBorders>
            <w:shd w:val="clear" w:color="auto" w:fill="CCEEFF"/>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Colorado</w:t>
            </w:r>
          </w:p>
        </w:tc>
      </w:tr>
    </w:tbl>
    <w:p>
      <w:pPr>
        <w:sectPr>
          <w:pgSz w:w="11900" w:h="16838" w:orient="portrait"/>
          <w:cols w:equalWidth="0" w:num="1">
            <w:col w:w="11420"/>
          </w:cols>
          <w:pgMar w:left="260" w:top="487" w:right="219" w:bottom="1440" w:gutter="0" w:footer="0" w:header="0"/>
        </w:sectPr>
      </w:pPr>
    </w:p>
    <w:bookmarkStart w:id="127" w:name="page128"/>
    <w:bookmarkEnd w:id="1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Desert Sunlight Investment Holdings,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Eagle View Acres Wind Farm,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Elbow Creek Wind Project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Texas</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Elkhorn Ridge Wind,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Elk Lake Wind Farm,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El Mirage Energy,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Arizona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El Segundo Energy Center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Federal Road Solar 1,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Forward Wind Power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FUSD Energy,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Arizona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GCE Holding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Connecticut</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GenConn Devon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Connecticut</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GenConn Energy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Connecticut</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GenConn Middletown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Connecticut</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Goat Wind, LP</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Texas</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Green Prairie Energy,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Greene Wind Energy,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Hardin Hilltop Wind,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Hardin Wind Energy,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Highland Township Wind Farm,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High Plains Ranch II,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HLE Solar Holdings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HSD Solar Holdings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California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Laredo Ridge Wind,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Lenape II Solar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Lindberg Field Solar 1,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Longhorn Energy,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Arizona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Lookout Wind Power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Mission Iowa Wind,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California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Mission Minnesota Wind II,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Mission Wind Goat Mountain,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Mission Wind Laredo,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Mission Wind New Mexico,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Mission Wind Oklahoma,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Mission Wind PA One,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Mission Wind PA Three,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Mission Wind PA Two,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Mission Wind Pennsylvania,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Mission Wind Texas II,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Mission Wind Texas,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Mission Wind Utah,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Mission Wind Wildorado,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Monster Energy,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Arizona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Natural Gas Repowering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2011 Finance Holdco,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Alta Vista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400"/>
          </w:cols>
          <w:pgMar w:left="260" w:top="611" w:right="239" w:bottom="1440" w:gutter="0" w:footer="0" w:header="0"/>
        </w:sectPr>
      </w:pPr>
    </w:p>
    <w:bookmarkStart w:id="128" w:name="page129"/>
    <w:bookmarkEnd w:id="1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8240" w:type="dxa"/>
            <w:vAlign w:val="bottom"/>
            <w:tcBorders>
              <w:top w:val="single" w:sz="8" w:color="C0C0C0"/>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Apple I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CA Fund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DGPV 1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DGPV 2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DGPV 3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DGPV Fund 1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DGPV Fund 2 HoldCo A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DGPV Fund 2 HoldCo B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DGPV Fund 2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DGPV Holdco 1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DGPV Holdco 2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Electricity Sales Princeton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Elkhorn Holdings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Energy Center Dover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Energy Center Harrisburg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Energy Center HCEC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Energy Center Minneapolis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Energy Center Omaha Holdings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Energy Center Omaha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Energy Center Paxton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Energy Center Phoenix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Energy Center Pittsburgh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Energy Center Princeton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Energy Center San Diego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Energy Center San Francisco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Energy Center Smyrna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Energy Center Tucson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Arizona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Harrisburg Cooling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Huntington Beach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Marsh Landing Holdings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Marsh Landing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Renew Spark 2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RPV 1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RPV 2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RPV Fund 12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RPV HoldCo 1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Solar Alpine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Solar Apple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Solar AV Holdco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Solar Avra Valley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Solar Blythe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Solar Borrego Holdco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Solar Borrego I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Solar CVSR Holdings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Solar Kansas South Holdings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Solar Kansas South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400"/>
          </w:cols>
          <w:pgMar w:left="260" w:top="591" w:right="239" w:bottom="1440" w:gutter="0" w:footer="0" w:header="0"/>
        </w:sectPr>
      </w:pPr>
    </w:p>
    <w:bookmarkStart w:id="129" w:name="page130"/>
    <w:bookmarkEnd w:id="1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8240" w:type="dxa"/>
            <w:vAlign w:val="bottom"/>
            <w:tcBorders>
              <w:top w:val="single" w:sz="8" w:color="C0C0C0"/>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Solar Mayfair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Solar Oasis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Solar Roadrunner Holdings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Solar Roadrunner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South Trent Holdings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Thermal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Walnut Creek II,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Walnut Creek,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West Holdings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Wind TE Holdco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Yield DGPV Holding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NRG Yield Operating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NRG Yield RPV Holding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NS Smith,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NYLD Fuel Cell Holdings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OC Solar 2010,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California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Odin Wind Farm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Minnesota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OWF Eight,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Minnesota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OWF Five,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Minnesota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OWF Four,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Minnesota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OWF One,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Minnesota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OWF Seven,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Minnesota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OWF Six,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Minnesota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OWF Three,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Minnesota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OWF Two,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Minnesota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Palo Alto County Wind Farm,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PESD Energy,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Arizona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PFMG 2011 Finance Holdco,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PFMG Apple I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Pikes Peak Solar Garden I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Colorado</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Pinnacle Wind,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PM Solar Holdings,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California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Pond Road Solar,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Poverty Ridge Wind,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Sand Drag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San Juan Mesa Investments,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San Juan Mesa Wind Project,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SCWFD Energy,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Arizona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Silver Lake Acres Wind Farm,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Sleeping Bear,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South Trent Wind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Spanish Fork Wind Park 2,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Utah</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Spring Canyon Energy II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Spring Canyon Energy III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Spring Canyon Expansion Class B Holdings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Spring Canyon Expansion Holdings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400"/>
          </w:cols>
          <w:pgMar w:left="260" w:top="591" w:right="239" w:bottom="1440" w:gutter="0" w:footer="0" w:header="0"/>
        </w:sectPr>
      </w:pPr>
    </w:p>
    <w:bookmarkStart w:id="130" w:name="page131"/>
    <w:bookmarkEnd w:id="1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8240" w:type="dxa"/>
            <w:vAlign w:val="bottom"/>
            <w:tcBorders>
              <w:top w:val="single" w:sz="8" w:color="C0C0C0"/>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Spring Canyon Expansion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Spring Canyon Interconnection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Statoil Energy Power/Pennsylvania Inc.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Pennsylvania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Steel Bridge Solar,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Sun City Project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Sunrise View Wind Farm,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Sunset View Wind Farm,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Sutton Wind Energy,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TA- High Desert,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California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Taloga Wind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Oklahoma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Tapestry Wind,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Topeka Solar 1,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UB Fuel Cell,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Connecticut</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Vail Energy,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Arizona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Viento Funding II,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Viento Funding,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Virgin Lake Wind Farm,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Walnut Creek Energy,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WCEP Holdings,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Wildcat Energy,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Arizona</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Wildorado Interconnect,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Texas</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Wildorado Wind,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Texas</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Wind Family Turbine, LLC</w:t>
            </w:r>
          </w:p>
        </w:tc>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Iowa</w:t>
            </w:r>
          </w:p>
        </w:tc>
      </w:tr>
      <w:tr>
        <w:trPr>
          <w:trHeight w:val="224"/>
        </w:trPr>
        <w:tc>
          <w:tcPr>
            <w:tcW w:w="8240" w:type="dxa"/>
            <w:vAlign w:val="bottom"/>
            <w:tcBorders>
              <w:left w:val="single" w:sz="8" w:color="C0C0C0"/>
              <w:bottom w:val="single" w:sz="8" w:color="C0C0C0"/>
              <w:right w:val="single" w:sz="8" w:color="C0C0C0"/>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WSD Solar Holdings, LLC</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r>
      <w:tr>
        <w:trPr>
          <w:trHeight w:val="208"/>
        </w:trPr>
        <w:tc>
          <w:tcPr>
            <w:tcW w:w="8240" w:type="dxa"/>
            <w:vAlign w:val="bottom"/>
            <w:tcBorders>
              <w:left w:val="single" w:sz="8" w:color="C0C0C0"/>
              <w:bottom w:val="single" w:sz="8" w:color="C0C0C0"/>
              <w:right w:val="single" w:sz="8" w:color="C0C0C0"/>
            </w:tcBorders>
          </w:tcPr>
          <w:p>
            <w:pPr>
              <w:ind w:left="60"/>
              <w:spacing w:after="0"/>
              <w:rPr>
                <w:sz w:val="20"/>
                <w:szCs w:val="20"/>
                <w:color w:val="auto"/>
              </w:rPr>
            </w:pPr>
            <w:r>
              <w:rPr>
                <w:rFonts w:ascii="Times New Roman" w:cs="Times New Roman" w:eastAsia="Times New Roman" w:hAnsi="Times New Roman"/>
                <w:sz w:val="16"/>
                <w:szCs w:val="16"/>
                <w:color w:val="auto"/>
              </w:rPr>
              <w:t>Zontos Wind, LLC</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Iowa</w:t>
            </w:r>
          </w:p>
        </w:tc>
      </w:tr>
    </w:tbl>
    <w:p>
      <w:pPr>
        <w:sectPr>
          <w:pgSz w:w="11900" w:h="16838" w:orient="portrait"/>
          <w:cols w:equalWidth="0" w:num="1">
            <w:col w:w="11400"/>
          </w:cols>
          <w:pgMar w:left="260" w:top="591"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S. Sotos, certify that:</w:t>
      </w:r>
    </w:p>
    <w:p>
      <w:pPr>
        <w:spacing w:after="0" w:line="246" w:lineRule="exact"/>
        <w:rPr>
          <w:sz w:val="20"/>
          <w:szCs w:val="20"/>
          <w:color w:val="auto"/>
        </w:rPr>
      </w:pPr>
    </w:p>
    <w:p>
      <w:pPr>
        <w:ind w:left="520" w:hanging="514"/>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NRG Yield LLC;</w:t>
      </w:r>
    </w:p>
    <w:p>
      <w:pPr>
        <w:spacing w:after="0" w:line="181"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40" w:hanging="520"/>
        <w:spacing w:after="0" w:line="284" w:lineRule="auto"/>
        <w:tabs>
          <w:tab w:leader="none" w:pos="104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40" w:hanging="520"/>
        <w:spacing w:after="0"/>
        <w:tabs>
          <w:tab w:leader="none" w:pos="104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29845</wp:posOffset>
            </wp:positionV>
            <wp:extent cx="283083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0830" cy="6985"/>
                    </a:xfrm>
                    <a:prstGeom prst="rect">
                      <a:avLst/>
                    </a:prstGeom>
                    <a:noFill/>
                  </pic:spPr>
                </pic:pic>
              </a:graphicData>
            </a:graphic>
          </wp:anchor>
        </w:drawing>
      </w:r>
    </w:p>
    <w:p>
      <w:pPr>
        <w:spacing w:after="0" w:line="4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2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1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28, 2017</w:t>
      </w:r>
    </w:p>
    <w:p>
      <w:pPr>
        <w:sectPr>
          <w:pgSz w:w="11900" w:h="16838" w:orient="portrait"/>
          <w:cols w:equalWidth="0" w:num="1">
            <w:col w:w="11460"/>
          </w:cols>
          <w:pgMar w:left="220" w:top="551" w:right="21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Chad Plotkin, certify that:</w:t>
      </w:r>
    </w:p>
    <w:p>
      <w:pPr>
        <w:spacing w:after="0" w:line="246" w:lineRule="exact"/>
        <w:rPr>
          <w:sz w:val="20"/>
          <w:szCs w:val="20"/>
          <w:color w:val="auto"/>
        </w:rPr>
      </w:pPr>
    </w:p>
    <w:p>
      <w:pPr>
        <w:ind w:left="520" w:hanging="514"/>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NRG Yield LLC;</w:t>
      </w:r>
    </w:p>
    <w:p>
      <w:pPr>
        <w:spacing w:after="0" w:line="181"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40" w:hanging="520"/>
        <w:spacing w:after="0" w:line="284" w:lineRule="auto"/>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40" w:hanging="520"/>
        <w:spacing w:after="0"/>
        <w:tabs>
          <w:tab w:leader="none" w:pos="104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29845</wp:posOffset>
            </wp:positionV>
            <wp:extent cx="12865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6510" cy="6985"/>
                    </a:xfrm>
                    <a:prstGeom prst="rect">
                      <a:avLst/>
                    </a:prstGeom>
                    <a:noFill/>
                  </pic:spPr>
                </pic:pic>
              </a:graphicData>
            </a:graphic>
          </wp:anchor>
        </w:drawing>
      </w:r>
    </w:p>
    <w:p>
      <w:pPr>
        <w:spacing w:after="0" w:line="4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color w:val="auto"/>
        </w:rPr>
        <w:t>Chad Plotkin</w:t>
      </w:r>
    </w:p>
    <w:p>
      <w:pPr>
        <w:spacing w:after="0" w:line="2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0"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28, 2017</w:t>
      </w:r>
    </w:p>
    <w:p>
      <w:pPr>
        <w:sectPr>
          <w:pgSz w:w="11900" w:h="16838" w:orient="portrait"/>
          <w:cols w:equalWidth="0" w:num="1">
            <w:col w:w="11460"/>
          </w:cols>
          <w:pgMar w:left="220" w:top="551" w:right="2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4"/>
          <w:szCs w:val="14"/>
          <w:b w:val="1"/>
          <w:bCs w:val="1"/>
          <w:color w:val="auto"/>
        </w:rPr>
        <w:t>EXHIBIT 31.3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Callen, certify that:</w:t>
      </w:r>
    </w:p>
    <w:p>
      <w:pPr>
        <w:spacing w:after="0" w:line="246" w:lineRule="exact"/>
        <w:rPr>
          <w:sz w:val="20"/>
          <w:szCs w:val="20"/>
          <w:color w:val="auto"/>
        </w:rPr>
      </w:pPr>
    </w:p>
    <w:p>
      <w:pPr>
        <w:ind w:left="520" w:hanging="514"/>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NRG Yield LLC;</w:t>
      </w:r>
    </w:p>
    <w:p>
      <w:pPr>
        <w:spacing w:after="0" w:line="181"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40" w:hanging="520"/>
        <w:spacing w:after="0" w:line="284" w:lineRule="auto"/>
        <w:tabs>
          <w:tab w:leader="none" w:pos="104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4"/>
        <w:spacing w:after="0" w:line="291"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40" w:hanging="520"/>
        <w:spacing w:after="0" w:line="291" w:lineRule="auto"/>
        <w:tabs>
          <w:tab w:leader="none" w:pos="104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40" w:hanging="520"/>
        <w:spacing w:after="0"/>
        <w:tabs>
          <w:tab w:leader="none" w:pos="104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29845</wp:posOffset>
            </wp:positionV>
            <wp:extent cx="18510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51025" cy="6985"/>
                    </a:xfrm>
                    <a:prstGeom prst="rect">
                      <a:avLst/>
                    </a:prstGeom>
                    <a:noFill/>
                  </pic:spPr>
                </pic:pic>
              </a:graphicData>
            </a:graphic>
          </wp:anchor>
        </w:drawing>
      </w:r>
    </w:p>
    <w:p>
      <w:pPr>
        <w:spacing w:after="0" w:line="4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color w:val="auto"/>
        </w:rPr>
        <w:t>David Callen</w:t>
      </w:r>
    </w:p>
    <w:p>
      <w:pPr>
        <w:spacing w:after="0" w:line="2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i w:val="1"/>
          <w:iCs w:val="1"/>
          <w:color w:val="auto"/>
        </w:rPr>
        <w:t>Chief Accounting Officer</w:t>
      </w:r>
    </w:p>
    <w:p>
      <w:pPr>
        <w:spacing w:after="0" w:line="1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28, 2017</w:t>
      </w:r>
    </w:p>
    <w:p>
      <w:pPr>
        <w:sectPr>
          <w:pgSz w:w="11900" w:h="16838" w:orient="portrait"/>
          <w:cols w:equalWidth="0" w:num="1">
            <w:col w:w="11460"/>
          </w:cols>
          <w:pgMar w:left="220" w:top="487" w:right="2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8" w:lineRule="exact"/>
        <w:rPr>
          <w:sz w:val="20"/>
          <w:szCs w:val="20"/>
          <w:color w:val="auto"/>
        </w:rPr>
      </w:pPr>
    </w:p>
    <w:p>
      <w:pPr>
        <w:jc w:val="both"/>
        <w:ind w:firstLine="257"/>
        <w:spacing w:after="0" w:line="273" w:lineRule="auto"/>
        <w:rPr>
          <w:sz w:val="20"/>
          <w:szCs w:val="20"/>
          <w:color w:val="auto"/>
        </w:rPr>
      </w:pPr>
      <w:r>
        <w:rPr>
          <w:rFonts w:ascii="Times New Roman" w:cs="Times New Roman" w:eastAsia="Times New Roman" w:hAnsi="Times New Roman"/>
          <w:sz w:val="14"/>
          <w:szCs w:val="14"/>
          <w:color w:val="auto"/>
        </w:rPr>
        <w:t>In connection with the Annual Report of NRG Yield LLC on Form 10-K for the year ended December 31, 2016,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20" w:hanging="257"/>
        <w:spacing w:after="0"/>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10-K fully complies with the requirements of Section 13(a) or 15(d) of the Securities Exchange Act of 1934; and</w:t>
      </w:r>
    </w:p>
    <w:p>
      <w:pPr>
        <w:spacing w:after="0" w:line="53" w:lineRule="exact"/>
        <w:rPr>
          <w:rFonts w:ascii="Times New Roman" w:cs="Times New Roman" w:eastAsia="Times New Roman" w:hAnsi="Times New Roman"/>
          <w:sz w:val="14"/>
          <w:szCs w:val="14"/>
          <w:color w:val="auto"/>
        </w:rPr>
      </w:pPr>
    </w:p>
    <w:p>
      <w:pPr>
        <w:ind w:left="520" w:hanging="257"/>
        <w:spacing w:after="0" w:line="291" w:lineRule="auto"/>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 as of the dates and for the periods expressed in the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28, 2017</w:t>
      </w:r>
    </w:p>
    <w:p>
      <w:pPr>
        <w:spacing w:after="0" w:line="35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29845</wp:posOffset>
            </wp:positionV>
            <wp:extent cx="247713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7135" cy="6985"/>
                    </a:xfrm>
                    <a:prstGeom prst="rect">
                      <a:avLst/>
                    </a:prstGeom>
                    <a:noFill/>
                  </pic:spPr>
                </pic:pic>
              </a:graphicData>
            </a:graphic>
          </wp:anchor>
        </w:drawing>
      </w:r>
    </w:p>
    <w:p>
      <w:pPr>
        <w:spacing w:after="0" w:line="4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5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29845</wp:posOffset>
            </wp:positionV>
            <wp:extent cx="247713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7135" cy="6985"/>
                    </a:xfrm>
                    <a:prstGeom prst="rect">
                      <a:avLst/>
                    </a:prstGeom>
                    <a:noFill/>
                  </pic:spPr>
                </pic:pic>
              </a:graphicData>
            </a:graphic>
          </wp:anchor>
        </w:drawing>
      </w:r>
    </w:p>
    <w:p>
      <w:pPr>
        <w:spacing w:after="0" w:line="4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Chad Plotkin</w:t>
      </w:r>
    </w:p>
    <w:p>
      <w:pPr>
        <w:spacing w:after="0" w:line="5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29845</wp:posOffset>
            </wp:positionV>
            <wp:extent cx="247713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7135" cy="6985"/>
                    </a:xfrm>
                    <a:prstGeom prst="rect">
                      <a:avLst/>
                    </a:prstGeom>
                    <a:noFill/>
                  </pic:spPr>
                </pic:pic>
              </a:graphicData>
            </a:graphic>
          </wp:anchor>
        </w:drawing>
      </w:r>
    </w:p>
    <w:p>
      <w:pPr>
        <w:spacing w:after="0" w:line="4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David Callen</w:t>
      </w:r>
    </w:p>
    <w:p>
      <w:pPr>
        <w:spacing w:after="0" w:line="5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i w:val="1"/>
          <w:iCs w:val="1"/>
          <w:color w:val="auto"/>
        </w:rPr>
        <w:t>Chief Accounting Officer</w:t>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10-K or as a separate disclosure document.</w:t>
      </w:r>
    </w:p>
    <w:p>
      <w:pPr>
        <w:spacing w:after="0" w:line="53" w:lineRule="exact"/>
        <w:rPr>
          <w:sz w:val="20"/>
          <w:szCs w:val="20"/>
          <w:color w:val="auto"/>
        </w:rPr>
      </w:pPr>
    </w:p>
    <w:p>
      <w:pPr>
        <w:jc w:val="both"/>
        <w:ind w:firstLine="257"/>
        <w:spacing w:after="0" w:line="273"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60"/>
      </w:cols>
      <w:pgMar w:left="220" w:top="48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1)"/>
      <w:numFmt w:val="lowerLetter"/>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emdash "/>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lowerLetter"/>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lowerLetter"/>
      <w:start w:val="2"/>
    </w:lvl>
  </w:abstractNum>
  <w:abstractNum w:abstractNumId="24">
    <w:nsid w:val="6DE91B18"/>
    <w:multiLevelType w:val="hybridMultilevel"/>
    <w:lvl w:ilvl="0">
      <w:lvlJc w:val="left"/>
      <w:lvlText w:val="(%1)"/>
      <w:numFmt w:val="lowerLetter"/>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lowerLetter"/>
      <w:start w:val="1"/>
    </w:lvl>
    <w:lvl w:ilvl="1">
      <w:lvlJc w:val="left"/>
      <w:lvlText w:val="(%2)"/>
      <w:numFmt w:val="lowerLetter"/>
      <w:start w:val="1"/>
    </w:lvl>
  </w:abstractNum>
  <w:abstractNum w:abstractNumId="40">
    <w:nsid w:val="23F9C13C"/>
    <w:multiLevelType w:val="hybridMultilevel"/>
    <w:lvl w:ilvl="0">
      <w:lvlJc w:val="left"/>
      <w:lvlText w:val="(%1)"/>
      <w:numFmt w:val="lowerLetter"/>
      <w:start w:val="2"/>
    </w:lvl>
    <w:lvl w:ilvl="1">
      <w:lvlJc w:val="left"/>
      <w:lvlText w:val="%2"/>
      <w:numFmt w:val="lowerLetter"/>
      <w:start w:val="1"/>
    </w:lvl>
  </w:abstractNum>
  <w:abstractNum w:abstractNumId="41">
    <w:nsid w:val="649BB77C"/>
    <w:multiLevelType w:val="hybridMultilevel"/>
    <w:lvl w:ilvl="0">
      <w:lvlJc w:val="left"/>
      <w:lvlText w:val="%1"/>
      <w:numFmt w:val="lowerLetter"/>
      <w:start w:val="1"/>
    </w:lvl>
    <w:lvl w:ilvl="1">
      <w:lvlJc w:val="left"/>
      <w:lvlText w:val="(%2)"/>
      <w:numFmt w:val="lowerLetter"/>
      <w:start w:val="1"/>
    </w:lvl>
  </w:abstractNum>
  <w:abstractNum w:abstractNumId="42">
    <w:nsid w:val="275AC794"/>
    <w:multiLevelType w:val="hybridMultilevel"/>
    <w:lvl w:ilvl="0">
      <w:lvlJc w:val="left"/>
      <w:lvlText w:val="(%1)"/>
      <w:numFmt w:val="lowerLetter"/>
      <w:start w:val="2"/>
    </w:lvl>
    <w:lvl w:ilvl="1">
      <w:lvlJc w:val="left"/>
      <w:lvlText w:val="%2"/>
      <w:numFmt w:val="lowerLetter"/>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lvl w:ilvl="1">
      <w:lvlJc w:val="left"/>
      <w:lvlText w:val="(%2)"/>
      <w:numFmt w:val="lowerLetter"/>
      <w:start w:val="1"/>
    </w:lvl>
  </w:abstractNum>
  <w:abstractNum w:abstractNumId="47">
    <w:nsid w:val="47398C89"/>
    <w:multiLevelType w:val="hybridMultilevel"/>
    <w:lvl w:ilvl="0">
      <w:lvlJc w:val="left"/>
      <w:lvlText w:val="(%1)"/>
      <w:numFmt w:val="lowerLetter"/>
      <w:start w:val="2"/>
    </w:lvl>
    <w:lvl w:ilvl="1">
      <w:lvlJc w:val="left"/>
      <w:lvlText w:val="%2"/>
      <w:numFmt w:val="lowerLetter"/>
      <w:start w:val="1"/>
    </w:lvl>
  </w:abstractNum>
  <w:abstractNum w:abstractNumId="48">
    <w:nsid w:val="354FE9F9"/>
    <w:multiLevelType w:val="hybridMultilevel"/>
    <w:lvl w:ilvl="0">
      <w:lvlJc w:val="left"/>
      <w:lvlText w:val="%1"/>
      <w:numFmt w:val="lowerLetter"/>
      <w:start w:val="1"/>
    </w:lvl>
    <w:lvl w:ilvl="1">
      <w:lvlJc w:val="left"/>
      <w:lvlText w:val="(%2)"/>
      <w:numFmt w:val="lowerLetter"/>
      <w:start w:val="1"/>
    </w:lvl>
  </w:abstractNum>
  <w:abstractNum w:abstractNumId="49">
    <w:nsid w:val="15B5AF5C"/>
    <w:multiLevelType w:val="hybridMultilevel"/>
    <w:lvl w:ilvl="0">
      <w:lvlJc w:val="left"/>
      <w:lvlText w:val="(%1)"/>
      <w:numFmt w:val="lowerLetter"/>
      <w:start w:val="2"/>
    </w:lvl>
    <w:lvl w:ilvl="1">
      <w:lvlJc w:val="left"/>
      <w:lvlText w:val="%2"/>
      <w:numFmt w:val="lowerLetter"/>
      <w:start w:val="1"/>
    </w:lvl>
  </w:abstractNum>
  <w:abstractNum w:abstractNumId="50">
    <w:nsid w:val="741226BB"/>
    <w:multiLevelType w:val="hybridMultilevel"/>
    <w:lvl w:ilvl="0">
      <w:lvlJc w:val="left"/>
      <w:lvlText w:val="%1"/>
      <w:numFmt w:val="lowerLetter"/>
      <w:start w:val="1"/>
    </w:lvl>
    <w:lvl w:ilvl="1">
      <w:lvlJc w:val="left"/>
      <w:lvlText w:val="(%2)"/>
      <w:numFmt w:val="lowerLetter"/>
      <w:start w:val="1"/>
    </w:lvl>
  </w:abstractNum>
  <w:abstractNum w:abstractNumId="51">
    <w:nsid w:val="D34B6A8"/>
    <w:multiLevelType w:val="hybridMultilevel"/>
    <w:lvl w:ilvl="0">
      <w:lvlJc w:val="left"/>
      <w:lvlText w:val="(%1)"/>
      <w:numFmt w:val="lowerLetter"/>
      <w:start w:val="2"/>
    </w:lvl>
    <w:lvl w:ilvl="1">
      <w:lvlJc w:val="left"/>
      <w:lvlText w:val="%2"/>
      <w:numFmt w:val="lowerLetter"/>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1"/>
    </w:lvl>
    <w:lvl w:ilvl="1">
      <w:lvlJc w:val="left"/>
      <w:lvlText w:val="(%2)"/>
      <w:numFmt w:val="lowerLetter"/>
      <w:start w:val="1"/>
    </w:lvl>
  </w:abstractNum>
  <w:abstractNum w:abstractNumId="54">
    <w:nsid w:val="61574095"/>
    <w:multiLevelType w:val="hybridMultilevel"/>
    <w:lvl w:ilvl="0">
      <w:lvlJc w:val="left"/>
      <w:lvlText w:val="(%1)"/>
      <w:numFmt w:val="lowerLetter"/>
      <w:start w:val="2"/>
    </w:lvl>
    <w:lvl w:ilvl="1">
      <w:lvlJc w:val="left"/>
      <w:lvlText w:val="%2"/>
      <w:numFmt w:val="lowerLetter"/>
      <w:start w:val="1"/>
    </w:lvl>
  </w:abstractNum>
  <w:abstractNum w:abstractNumId="55">
    <w:nsid w:val="7E0C57B1"/>
    <w:multiLevelType w:val="hybridMultilevel"/>
    <w:lvl w:ilvl="0">
      <w:lvlJc w:val="left"/>
      <w:lvlText w:val="%1"/>
      <w:numFmt w:val="lowerLetter"/>
      <w:start w:val="1"/>
    </w:lvl>
    <w:lvl w:ilvl="1">
      <w:lvlJc w:val="left"/>
      <w:lvlText w:val="(%2)"/>
      <w:numFmt w:val="lowerLetter"/>
      <w:start w:val="1"/>
    </w:lvl>
  </w:abstractNum>
  <w:abstractNum w:abstractNumId="56">
    <w:nsid w:val="77AE35EB"/>
    <w:multiLevelType w:val="hybridMultilevel"/>
    <w:lvl w:ilvl="0">
      <w:lvlJc w:val="left"/>
      <w:lvlText w:val="(%1)"/>
      <w:numFmt w:val="lowerLetter"/>
      <w:start w:val="2"/>
    </w:lvl>
    <w:lvl w:ilvl="1">
      <w:lvlJc w:val="left"/>
      <w:lvlText w:val="%2"/>
      <w:numFmt w:val="lowerLetter"/>
      <w:start w:val="1"/>
    </w:lvl>
  </w:abstractNum>
  <w:abstractNum w:abstractNumId="57">
    <w:nsid w:val="579BE4F1"/>
    <w:multiLevelType w:val="hybridMultilevel"/>
    <w:lvl w:ilvl="0">
      <w:lvlJc w:val="left"/>
      <w:lvlText w:val="%1"/>
      <w:numFmt w:val="lowerLetter"/>
      <w:start w:val="1"/>
    </w:lvl>
    <w:lvl w:ilvl="1">
      <w:lvlJc w:val="left"/>
      <w:lvlText w:val="(%2)"/>
      <w:numFmt w:val="lowerLetter"/>
      <w:start w:val="1"/>
    </w:lvl>
  </w:abstractNum>
  <w:abstractNum w:abstractNumId="58">
    <w:nsid w:val="310C50B3"/>
    <w:multiLevelType w:val="hybridMultilevel"/>
    <w:lvl w:ilvl="0">
      <w:lvlJc w:val="left"/>
      <w:lvlText w:val="(%1)"/>
      <w:numFmt w:val="lowerLetter"/>
      <w:start w:val="2"/>
    </w:lvl>
    <w:lvl w:ilvl="1">
      <w:lvlJc w:val="left"/>
      <w:lvlText w:val="%2"/>
      <w:numFmt w:val="lowerLetter"/>
      <w:start w:val="1"/>
    </w:lvl>
  </w:abstractNum>
  <w:abstractNum w:abstractNumId="59">
    <w:nsid w:val="5FF87E05"/>
    <w:multiLevelType w:val="hybridMultilevel"/>
    <w:lvl w:ilvl="0">
      <w:lvlJc w:val="left"/>
      <w:lvlText w:val="%1"/>
      <w:numFmt w:val="lowerLetter"/>
      <w:start w:val="1"/>
    </w:lvl>
    <w:lvl w:ilvl="1">
      <w:lvlJc w:val="left"/>
      <w:lvlText w:val="(%2)"/>
      <w:numFmt w:val="lowerLetter"/>
      <w:start w:val="1"/>
    </w:lvl>
  </w:abstractNum>
  <w:abstractNum w:abstractNumId="60">
    <w:nsid w:val="2F305DEF"/>
    <w:multiLevelType w:val="hybridMultilevel"/>
    <w:lvl w:ilvl="0">
      <w:lvlJc w:val="left"/>
      <w:lvlText w:val="(%1)"/>
      <w:numFmt w:val="lowerLetter"/>
      <w:start w:val="2"/>
    </w:lvl>
    <w:lvl w:ilvl="1">
      <w:lvlJc w:val="left"/>
      <w:lvlText w:val="%2"/>
      <w:numFmt w:val="lowerLetter"/>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2019-12-29T07:13:05Z</dcterms:created>
  <dcterms:modified xsi:type="dcterms:W3CDTF">2019-12-29T07:13:05Z</dcterms:modified>
</cp:coreProperties>
</file>