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Rubenstein Sarah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04/15/2021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VP Accounting &amp; Controller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6"/>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2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04/15/2021</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3"/>
                <w:szCs w:val="13"/>
                <w:color w:val="0000FF"/>
              </w:rPr>
              <w:t>F</w:t>
            </w:r>
          </w:p>
        </w:tc>
        <w:tc>
          <w:tcPr>
            <w:tcW w:w="720" w:type="dxa"/>
            <w:vAlign w:val="bottom"/>
            <w:vMerge w:val="restart"/>
          </w:tcPr>
          <w:p>
            <w:pPr>
              <w:jc w:val="right"/>
              <w:ind w:right="93"/>
              <w:spacing w:after="0"/>
              <w:rPr>
                <w:sz w:val="20"/>
                <w:szCs w:val="20"/>
                <w:color w:val="auto"/>
              </w:rPr>
            </w:pPr>
            <w:r>
              <w:rPr>
                <w:rFonts w:ascii="Arial" w:cs="Arial" w:eastAsia="Arial" w:hAnsi="Arial"/>
                <w:sz w:val="17"/>
                <w:szCs w:val="17"/>
                <w:color w:val="0000FF"/>
              </w:rPr>
              <w:t>440</w:t>
            </w:r>
          </w:p>
        </w:tc>
        <w:tc>
          <w:tcPr>
            <w:tcW w:w="440" w:type="dxa"/>
            <w:vAlign w:val="bottom"/>
            <w:vMerge w:val="restart"/>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16,557</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5"/>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2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04/15/2021</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0000FF"/>
              </w:rPr>
              <w:t>7,397</w:t>
            </w:r>
            <w:r>
              <w:rPr>
                <w:rFonts w:ascii="Arial" w:cs="Arial" w:eastAsia="Arial" w:hAnsi="Arial"/>
                <w:sz w:val="22"/>
                <w:szCs w:val="22"/>
                <w:color w:val="008000"/>
                <w:vertAlign w:val="superscript"/>
              </w:rPr>
              <w:t>(3)</w:t>
            </w:r>
          </w:p>
        </w:tc>
        <w:tc>
          <w:tcPr>
            <w:tcW w:w="44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(4)</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23,954</w:t>
            </w:r>
            <w:r>
              <w:rPr>
                <w:rFonts w:ascii="Arial" w:cs="Arial" w:eastAsia="Arial" w:hAnsi="Arial"/>
                <w:sz w:val="22"/>
                <w:szCs w:val="22"/>
                <w:color w:val="008000"/>
                <w:vertAlign w:val="superscript"/>
              </w:rPr>
              <w:t>(5)</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April 15, 2020, Ms. Rubenstein was issued 4,034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2021, 1,343 shares vested. Ms. Rubenstein elected to satisfy her tax obligation upon the exchange of common stock for RSUs having a value on the date of the exchange equal to the withholding obligation. This form reflects the surrender of 440 shares of Class C Common Stock to satisfy the grantee's tax withholding obligation.</w:t>
      </w:r>
    </w:p>
    <w:p>
      <w:pPr>
        <w:spacing w:after="0" w:line="29" w:lineRule="exact"/>
        <w:rPr>
          <w:rFonts w:ascii="Arial" w:cs="Arial" w:eastAsia="Arial" w:hAnsi="Arial"/>
          <w:sz w:val="13"/>
          <w:szCs w:val="13"/>
          <w:color w:val="008000"/>
        </w:rPr>
      </w:pPr>
    </w:p>
    <w:p>
      <w:pPr>
        <w:ind w:left="40" w:right="16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60 DERs converted to Class C Common Stock, resulting in the reporting person holding 430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8"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RSUs issued to Ms. Rubenstein under the LTIP.</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is equivalent in value to one share of Clearway Energy, Inc.'s Class C Common Stock, par value $.01 per share.</w:t>
      </w:r>
    </w:p>
    <w:p>
      <w:pPr>
        <w:spacing w:after="0" w:line="50" w:lineRule="exact"/>
        <w:rPr>
          <w:rFonts w:ascii="Arial" w:cs="Arial" w:eastAsia="Arial" w:hAnsi="Arial"/>
          <w:sz w:val="13"/>
          <w:szCs w:val="13"/>
          <w:color w:val="008000"/>
        </w:rPr>
      </w:pPr>
    </w:p>
    <w:p>
      <w:pPr>
        <w:ind w:left="40" w:right="2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will receive from Clearway Energy, Inc. one such share of Class C Common Stock for each RSU that will vest ratably over a three-year period beginning on the first anniversary of the date of the grant.</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04/19/2021</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927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2021-04-19T16:17:43Z</dcterms:created>
  <dcterms:modified xsi:type="dcterms:W3CDTF">2021-04-19T16:17:43Z</dcterms:modified>
</cp:coreProperties>
</file>