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37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10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4"/>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MCCLEAN FERRELL P</w:t>
              </w:r>
            </w:hyperlink>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Clearway Energy,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CWEN</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6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4"/>
            <w:vMerge w:val="continue"/>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166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4"/>
            <w:vMerge w:val="continue"/>
          </w:tcPr>
          <w:p>
            <w:pPr>
              <w:spacing w:after="0"/>
              <w:rPr>
                <w:sz w:val="2"/>
                <w:szCs w:val="2"/>
                <w:color w:val="auto"/>
              </w:rPr>
            </w:pPr>
          </w:p>
        </w:tc>
        <w:tc>
          <w:tcPr>
            <w:tcW w:w="70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40" w:type="dxa"/>
            <w:vAlign w:val="bottom"/>
            <w:tcBorders>
              <w:bottom w:val="single" w:sz="8" w:color="0000EE"/>
            </w:tcBorders>
          </w:tcPr>
          <w:p>
            <w:pPr>
              <w:spacing w:after="0"/>
              <w:rPr>
                <w:sz w:val="2"/>
                <w:szCs w:val="2"/>
                <w:color w:val="auto"/>
              </w:rPr>
            </w:pPr>
          </w:p>
        </w:tc>
        <w:tc>
          <w:tcPr>
            <w:tcW w:w="400" w:type="dxa"/>
            <w:vAlign w:val="bottom"/>
            <w:tcBorders>
              <w:bottom w:val="single" w:sz="8" w:color="0000EE"/>
            </w:tcBorders>
          </w:tcPr>
          <w:p>
            <w:pPr>
              <w:spacing w:after="0"/>
              <w:rPr>
                <w:sz w:val="2"/>
                <w:szCs w:val="2"/>
                <w:color w:val="auto"/>
              </w:rPr>
            </w:pPr>
          </w:p>
        </w:tc>
        <w:tc>
          <w:tcPr>
            <w:tcW w:w="360" w:type="dxa"/>
            <w:vAlign w:val="bottom"/>
          </w:tcPr>
          <w:p>
            <w:pPr>
              <w:spacing w:after="0"/>
              <w:rPr>
                <w:sz w:val="2"/>
                <w:szCs w:val="2"/>
                <w:color w:val="auto"/>
              </w:rPr>
            </w:pPr>
          </w:p>
        </w:tc>
        <w:tc>
          <w:tcPr>
            <w:tcW w:w="70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Director</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4"/>
            <w:vMerge w:val="continue"/>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820" w:type="dxa"/>
            <w:vAlign w:val="bottom"/>
            <w:tcBorders>
              <w:top w:val="single" w:sz="8" w:color="0000EE"/>
            </w:tcBorders>
          </w:tcPr>
          <w:p>
            <w:pPr>
              <w:spacing w:after="0"/>
              <w:rPr>
                <w:sz w:val="8"/>
                <w:szCs w:val="8"/>
                <w:color w:val="auto"/>
              </w:rPr>
            </w:pPr>
          </w:p>
        </w:tc>
        <w:tc>
          <w:tcPr>
            <w:tcW w:w="760" w:type="dxa"/>
            <w:vAlign w:val="bottom"/>
            <w:tcBorders>
              <w:top w:val="single" w:sz="8" w:color="0000EE"/>
            </w:tcBorders>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7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70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400" w:type="dxa"/>
            <w:vAlign w:val="bottom"/>
          </w:tcPr>
          <w:p>
            <w:pPr>
              <w:spacing w:after="0"/>
              <w:rPr>
                <w:sz w:val="7"/>
                <w:szCs w:val="7"/>
                <w:color w:val="auto"/>
              </w:rPr>
            </w:pPr>
          </w:p>
        </w:tc>
        <w:tc>
          <w:tcPr>
            <w:tcW w:w="3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760" w:type="dxa"/>
            <w:vAlign w:val="bottom"/>
            <w:gridSpan w:val="4"/>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820" w:type="dxa"/>
            <w:vAlign w:val="bottom"/>
            <w:tcBorders>
              <w:top w:val="single" w:sz="8" w:color="EEEEEE"/>
            </w:tcBorders>
          </w:tcPr>
          <w:p>
            <w:pPr>
              <w:spacing w:after="0" w:line="20" w:lineRule="exact"/>
              <w:rPr>
                <w:sz w:val="1"/>
                <w:szCs w:val="1"/>
                <w:color w:val="auto"/>
              </w:rPr>
            </w:pPr>
          </w:p>
        </w:tc>
        <w:tc>
          <w:tcPr>
            <w:tcW w:w="76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70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0" w:type="dxa"/>
            <w:vAlign w:val="bottom"/>
            <w:tcBorders>
              <w:bottom w:val="single" w:sz="8" w:color="2C2C2C"/>
            </w:tcBorders>
          </w:tcPr>
          <w:p>
            <w:pPr>
              <w:spacing w:after="0" w:line="20" w:lineRule="exact"/>
              <w:rPr>
                <w:sz w:val="1"/>
                <w:szCs w:val="1"/>
                <w:color w:val="auto"/>
              </w:rPr>
            </w:pPr>
          </w:p>
        </w:tc>
        <w:tc>
          <w:tcPr>
            <w:tcW w:w="36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(First)</w:t>
            </w:r>
          </w:p>
        </w:tc>
        <w:tc>
          <w:tcPr>
            <w:tcW w:w="700" w:type="dxa"/>
            <w:vAlign w:val="bottom"/>
          </w:tcPr>
          <w:p>
            <w:pPr>
              <w:ind w:left="140"/>
              <w:spacing w:after="0"/>
              <w:rPr>
                <w:sz w:val="20"/>
                <w:szCs w:val="20"/>
                <w:color w:val="auto"/>
              </w:rPr>
            </w:pPr>
            <w:r>
              <w:rPr>
                <w:rFonts w:ascii="Arial" w:cs="Arial" w:eastAsia="Arial" w:hAnsi="Arial"/>
                <w:sz w:val="13"/>
                <w:szCs w:val="13"/>
                <w:color w:val="auto"/>
              </w:rPr>
              <w:t>(Middle)</w:t>
            </w: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7"/>
            <w:vMerge w:val="continue"/>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below)</w:t>
            </w:r>
          </w:p>
        </w:tc>
        <w:tc>
          <w:tcPr>
            <w:tcW w:w="940" w:type="dxa"/>
            <w:vAlign w:val="bottom"/>
          </w:tcPr>
          <w:p>
            <w:pPr>
              <w:ind w:left="50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4"/>
            <w:vMerge w:val="restart"/>
          </w:tcPr>
          <w:p>
            <w:pPr>
              <w:spacing w:after="0"/>
              <w:rPr>
                <w:sz w:val="20"/>
                <w:szCs w:val="20"/>
                <w:color w:val="auto"/>
              </w:rPr>
            </w:pPr>
            <w:r>
              <w:rPr>
                <w:rFonts w:ascii="Arial" w:cs="Arial" w:eastAsia="Arial" w:hAnsi="Arial"/>
                <w:sz w:val="17"/>
                <w:szCs w:val="17"/>
                <w:color w:val="0000FF"/>
              </w:rPr>
              <w:t>CLEARWAY ENERGY, INC.</w:t>
            </w: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20" w:type="dxa"/>
            <w:vAlign w:val="bottom"/>
            <w:gridSpan w:val="6"/>
          </w:tcPr>
          <w:p>
            <w:pPr>
              <w:ind w:left="160"/>
              <w:spacing w:after="0"/>
              <w:rPr>
                <w:sz w:val="20"/>
                <w:szCs w:val="20"/>
                <w:color w:val="auto"/>
              </w:rPr>
            </w:pPr>
            <w:r>
              <w:rPr>
                <w:rFonts w:ascii="Arial" w:cs="Arial" w:eastAsia="Arial" w:hAnsi="Arial"/>
                <w:sz w:val="17"/>
                <w:szCs w:val="17"/>
                <w:color w:val="0000FF"/>
              </w:rPr>
              <w:t>12/01/2021</w:t>
            </w:r>
          </w:p>
        </w:tc>
        <w:tc>
          <w:tcPr>
            <w:tcW w:w="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4"/>
            <w:vMerge w:val="continue"/>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400" w:type="dxa"/>
            <w:vAlign w:val="bottom"/>
          </w:tcPr>
          <w:p>
            <w:pPr>
              <w:spacing w:after="0"/>
              <w:rPr>
                <w:sz w:val="8"/>
                <w:szCs w:val="8"/>
                <w:color w:val="auto"/>
              </w:rPr>
            </w:pPr>
          </w:p>
        </w:tc>
        <w:tc>
          <w:tcPr>
            <w:tcW w:w="3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460" w:type="dxa"/>
            <w:vAlign w:val="bottom"/>
          </w:tcPr>
          <w:p>
            <w:pPr>
              <w:spacing w:after="0"/>
              <w:rPr>
                <w:sz w:val="8"/>
                <w:szCs w:val="8"/>
                <w:color w:val="auto"/>
              </w:rPr>
            </w:pPr>
          </w:p>
        </w:tc>
        <w:tc>
          <w:tcPr>
            <w:tcW w:w="740" w:type="dxa"/>
            <w:vAlign w:val="bottom"/>
          </w:tcPr>
          <w:p>
            <w:pPr>
              <w:spacing w:after="0"/>
              <w:rPr>
                <w:sz w:val="8"/>
                <w:szCs w:val="8"/>
                <w:color w:val="auto"/>
              </w:rPr>
            </w:pP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0" w:type="dxa"/>
            <w:vAlign w:val="bottom"/>
            <w:gridSpan w:val="5"/>
            <w:vMerge w:val="restart"/>
          </w:tcPr>
          <w:p>
            <w:pPr>
              <w:spacing w:after="0"/>
              <w:rPr>
                <w:sz w:val="20"/>
                <w:szCs w:val="20"/>
                <w:color w:val="auto"/>
              </w:rPr>
            </w:pPr>
            <w:r>
              <w:rPr>
                <w:rFonts w:ascii="Arial" w:cs="Arial" w:eastAsia="Arial" w:hAnsi="Arial"/>
                <w:sz w:val="17"/>
                <w:szCs w:val="17"/>
                <w:color w:val="0000FF"/>
              </w:rPr>
              <w:t>300 CARNEGIE CENTER, SUITE 300</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40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4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0" w:type="dxa"/>
            <w:vAlign w:val="bottom"/>
            <w:gridSpan w:val="5"/>
            <w:vMerge w:val="continue"/>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8"/>
            <w:vMerge w:val="continue"/>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76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7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vMerge w:val="restart"/>
          </w:tcPr>
          <w:p>
            <w:pPr>
              <w:spacing w:after="0"/>
              <w:rPr>
                <w:sz w:val="5"/>
                <w:szCs w:val="5"/>
                <w:color w:val="auto"/>
              </w:rPr>
            </w:pPr>
          </w:p>
        </w:tc>
        <w:tc>
          <w:tcPr>
            <w:tcW w:w="46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00" w:type="dxa"/>
            <w:vAlign w:val="bottom"/>
          </w:tcPr>
          <w:p>
            <w:pPr>
              <w:spacing w:after="0"/>
              <w:rPr>
                <w:sz w:val="6"/>
                <w:szCs w:val="6"/>
                <w:color w:val="auto"/>
              </w:rPr>
            </w:pPr>
          </w:p>
        </w:tc>
        <w:tc>
          <w:tcPr>
            <w:tcW w:w="4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460" w:type="dxa"/>
            <w:vAlign w:val="bottom"/>
            <w:gridSpan w:val="3"/>
            <w:vMerge w:val="continue"/>
          </w:tcPr>
          <w:p>
            <w:pPr>
              <w:spacing w:after="0"/>
              <w:rPr>
                <w:sz w:val="6"/>
                <w:szCs w:val="6"/>
                <w:color w:val="auto"/>
              </w:rPr>
            </w:pPr>
          </w:p>
        </w:tc>
        <w:tc>
          <w:tcPr>
            <w:tcW w:w="4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Arial" w:cs="Arial" w:eastAsia="Arial" w:hAnsi="Arial"/>
                <w:sz w:val="17"/>
                <w:szCs w:val="17"/>
                <w:color w:val="0000FF"/>
              </w:rPr>
              <w:t>PRINCETON   NJ</w:t>
            </w: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ind w:left="140"/>
              <w:spacing w:after="0"/>
              <w:rPr>
                <w:sz w:val="20"/>
                <w:szCs w:val="20"/>
                <w:color w:val="auto"/>
              </w:rPr>
            </w:pPr>
            <w:r>
              <w:rPr>
                <w:rFonts w:ascii="Arial" w:cs="Arial" w:eastAsia="Arial" w:hAnsi="Arial"/>
                <w:sz w:val="17"/>
                <w:szCs w:val="17"/>
                <w:color w:val="0000FF"/>
              </w:rPr>
              <w:t>08540</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7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ind w:left="140"/>
              <w:spacing w:after="0" w:line="134" w:lineRule="exact"/>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tcPr>
          <w:p>
            <w:pPr>
              <w:ind w:left="600"/>
              <w:spacing w:after="0"/>
              <w:rPr>
                <w:sz w:val="20"/>
                <w:szCs w:val="20"/>
                <w:color w:val="auto"/>
              </w:rPr>
            </w:pPr>
            <w:r>
              <w:rPr>
                <w:rFonts w:ascii="Arial" w:cs="Arial" w:eastAsia="Arial" w:hAnsi="Arial"/>
                <w:sz w:val="13"/>
                <w:szCs w:val="13"/>
                <w:color w:val="auto"/>
              </w:rPr>
              <w:t>(State)</w:t>
            </w:r>
          </w:p>
        </w:tc>
        <w:tc>
          <w:tcPr>
            <w:tcW w:w="700" w:type="dxa"/>
            <w:vAlign w:val="bottom"/>
          </w:tcPr>
          <w:p>
            <w:pPr>
              <w:ind w:left="140"/>
              <w:spacing w:after="0"/>
              <w:rPr>
                <w:sz w:val="20"/>
                <w:szCs w:val="20"/>
                <w:color w:val="auto"/>
              </w:rPr>
            </w:pPr>
            <w:r>
              <w:rPr>
                <w:rFonts w:ascii="Arial" w:cs="Arial" w:eastAsia="Arial" w:hAnsi="Arial"/>
                <w:sz w:val="13"/>
                <w:szCs w:val="13"/>
                <w:color w:val="auto"/>
              </w:rPr>
              <w:t>(Zip)</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00" w:type="dxa"/>
            <w:vAlign w:val="bottom"/>
            <w:tcBorders>
              <w:bottom w:val="single" w:sz="8" w:color="2C2C2C"/>
            </w:tcBorders>
            <w:gridSpan w:val="4"/>
          </w:tcPr>
          <w:p>
            <w:pPr>
              <w:spacing w:after="0"/>
              <w:rPr>
                <w:sz w:val="11"/>
                <w:szCs w:val="11"/>
                <w:color w:val="auto"/>
              </w:rPr>
            </w:pPr>
          </w:p>
        </w:tc>
        <w:tc>
          <w:tcPr>
            <w:tcW w:w="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gridSpan w:val="5"/>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6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820" w:type="dxa"/>
            <w:vAlign w:val="bottom"/>
            <w:tcBorders>
              <w:top w:val="single" w:sz="8" w:color="2C2C2C"/>
            </w:tcBorders>
          </w:tcPr>
          <w:p>
            <w:pPr>
              <w:spacing w:after="0"/>
              <w:rPr>
                <w:sz w:val="21"/>
                <w:szCs w:val="21"/>
                <w:color w:val="auto"/>
              </w:rPr>
            </w:pPr>
          </w:p>
        </w:tc>
        <w:tc>
          <w:tcPr>
            <w:tcW w:w="7760" w:type="dxa"/>
            <w:vAlign w:val="bottom"/>
            <w:tcBorders>
              <w:top w:val="single" w:sz="8" w:color="2C2C2C"/>
            </w:tcBorders>
            <w:gridSpan w:val="22"/>
          </w:tcPr>
          <w:p>
            <w:pPr>
              <w:ind w:left="64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5"/>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700" w:type="dxa"/>
            <w:vAlign w:val="bottom"/>
          </w:tcPr>
          <w:p>
            <w:pPr>
              <w:spacing w:after="0"/>
              <w:rPr>
                <w:sz w:val="15"/>
                <w:szCs w:val="15"/>
                <w:color w:val="auto"/>
              </w:rPr>
            </w:pPr>
          </w:p>
        </w:tc>
        <w:tc>
          <w:tcPr>
            <w:tcW w:w="1140" w:type="dxa"/>
            <w:vAlign w:val="bottom"/>
            <w:gridSpan w:val="5"/>
          </w:tcPr>
          <w:p>
            <w:pPr>
              <w:ind w:left="1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44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5"/>
                <w:szCs w:val="15"/>
                <w:color w:val="auto"/>
              </w:rPr>
            </w:pPr>
          </w:p>
        </w:tc>
        <w:tc>
          <w:tcPr>
            <w:tcW w:w="1760" w:type="dxa"/>
            <w:vAlign w:val="bottom"/>
            <w:gridSpan w:val="6"/>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7"/>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4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3"/>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0" w:type="dxa"/>
            <w:vAlign w:val="bottom"/>
            <w:tcBorders>
              <w:bottom w:val="single" w:sz="8" w:color="2C2C2C"/>
            </w:tcBorders>
            <w:gridSpan w:val="3"/>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A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12/01/2021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134</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16,748</w:t>
            </w:r>
            <w:r>
              <w:rPr>
                <w:rFonts w:ascii="Arial" w:cs="Arial" w:eastAsia="Arial" w:hAnsi="Arial"/>
                <w:sz w:val="22"/>
                <w:szCs w:val="22"/>
                <w:color w:val="008000"/>
                <w:vertAlign w:val="superscript"/>
              </w:rPr>
              <w:t>(2)</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0" w:type="dxa"/>
            <w:vAlign w:val="bottom"/>
            <w:tcBorders>
              <w:bottom w:val="single" w:sz="8" w:color="2C2C2C"/>
            </w:tcBorders>
            <w:gridSpan w:val="3"/>
          </w:tcPr>
          <w:p>
            <w:pPr>
              <w:spacing w:after="0"/>
              <w:rPr>
                <w:sz w:val="5"/>
                <w:szCs w:val="5"/>
                <w:color w:val="auto"/>
              </w:rPr>
            </w:pPr>
          </w:p>
        </w:tc>
        <w:tc>
          <w:tcPr>
            <w:tcW w:w="800" w:type="dxa"/>
            <w:vAlign w:val="bottom"/>
            <w:tcBorders>
              <w:bottom w:val="single" w:sz="8" w:color="2C2C2C"/>
            </w:tcBorders>
            <w:gridSpan w:val="2"/>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100" w:type="dxa"/>
            <w:vAlign w:val="bottom"/>
            <w:gridSpan w:val="6"/>
          </w:tcPr>
          <w:p>
            <w:pPr>
              <w:ind w:left="60"/>
              <w:spacing w:after="0"/>
              <w:rPr>
                <w:sz w:val="20"/>
                <w:szCs w:val="20"/>
                <w:color w:val="auto"/>
              </w:rPr>
            </w:pPr>
            <w:r>
              <w:rPr>
                <w:rFonts w:ascii="Arial" w:cs="Arial" w:eastAsia="Arial" w:hAnsi="Arial"/>
                <w:sz w:val="17"/>
                <w:szCs w:val="17"/>
                <w:color w:val="0000FF"/>
                <w:w w:val="92"/>
              </w:rPr>
              <w:t>Class C Common Stock, par value $.01 per</w:t>
            </w:r>
          </w:p>
        </w:tc>
        <w:tc>
          <w:tcPr>
            <w:tcW w:w="1140" w:type="dxa"/>
            <w:vAlign w:val="bottom"/>
            <w:gridSpan w:val="5"/>
            <w:vMerge w:val="restart"/>
          </w:tcPr>
          <w:p>
            <w:pPr>
              <w:jc w:val="right"/>
              <w:ind w:right="55"/>
              <w:spacing w:after="0"/>
              <w:rPr>
                <w:sz w:val="20"/>
                <w:szCs w:val="20"/>
                <w:color w:val="auto"/>
              </w:rPr>
            </w:pPr>
            <w:r>
              <w:rPr>
                <w:rFonts w:ascii="Arial" w:cs="Arial" w:eastAsia="Arial" w:hAnsi="Arial"/>
                <w:sz w:val="17"/>
                <w:szCs w:val="17"/>
                <w:color w:val="0000FF"/>
              </w:rPr>
              <w:t>12/01/2021</w:t>
            </w: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gridSpan w:val="2"/>
            <w:vMerge w:val="restart"/>
          </w:tcPr>
          <w:p>
            <w:pPr>
              <w:ind w:left="18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ind w:left="300"/>
              <w:spacing w:after="0"/>
              <w:rPr>
                <w:sz w:val="20"/>
                <w:szCs w:val="20"/>
                <w:color w:val="auto"/>
              </w:rPr>
            </w:pPr>
            <w:r>
              <w:rPr>
                <w:rFonts w:ascii="Arial" w:cs="Arial" w:eastAsia="Arial" w:hAnsi="Arial"/>
                <w:sz w:val="17"/>
                <w:szCs w:val="17"/>
                <w:color w:val="0000FF"/>
              </w:rPr>
              <w:t>618</w:t>
            </w:r>
          </w:p>
        </w:tc>
        <w:tc>
          <w:tcPr>
            <w:tcW w:w="460" w:type="dxa"/>
            <w:vAlign w:val="bottom"/>
            <w:vMerge w:val="restart"/>
          </w:tcPr>
          <w:p>
            <w:pPr>
              <w:ind w:left="32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360" w:type="dxa"/>
            <w:vAlign w:val="bottom"/>
            <w:gridSpan w:val="3"/>
            <w:vMerge w:val="restart"/>
          </w:tcPr>
          <w:p>
            <w:pPr>
              <w:ind w:left="1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22"/>
                <w:szCs w:val="22"/>
                <w:color w:val="auto"/>
              </w:rPr>
            </w:pPr>
          </w:p>
        </w:tc>
        <w:tc>
          <w:tcPr>
            <w:tcW w:w="1200" w:type="dxa"/>
            <w:vAlign w:val="bottom"/>
            <w:gridSpan w:val="2"/>
            <w:vMerge w:val="restart"/>
          </w:tcPr>
          <w:p>
            <w:pPr>
              <w:ind w:left="280"/>
              <w:spacing w:after="0"/>
              <w:rPr>
                <w:sz w:val="20"/>
                <w:szCs w:val="20"/>
                <w:color w:val="auto"/>
              </w:rPr>
            </w:pPr>
            <w:r>
              <w:rPr>
                <w:rFonts w:ascii="Arial" w:cs="Arial" w:eastAsia="Arial" w:hAnsi="Arial"/>
                <w:sz w:val="17"/>
                <w:szCs w:val="17"/>
                <w:color w:val="0000FF"/>
              </w:rPr>
              <w:t>97,128</w:t>
            </w:r>
            <w:r>
              <w:rPr>
                <w:rFonts w:ascii="Arial" w:cs="Arial" w:eastAsia="Arial" w:hAnsi="Arial"/>
                <w:sz w:val="22"/>
                <w:szCs w:val="22"/>
                <w:color w:val="008000"/>
                <w:vertAlign w:val="superscript"/>
              </w:rPr>
              <w:t>(3)</w:t>
            </w:r>
          </w:p>
        </w:tc>
        <w:tc>
          <w:tcPr>
            <w:tcW w:w="940" w:type="dxa"/>
            <w:vAlign w:val="bottom"/>
            <w:vMerge w:val="restart"/>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7"/>
                <w:szCs w:val="17"/>
                <w:color w:val="0000FF"/>
              </w:rPr>
              <w:t>share</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40" w:type="dxa"/>
            <w:vAlign w:val="bottom"/>
            <w:gridSpan w:val="5"/>
            <w:vMerge w:val="continue"/>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2"/>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34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700" w:type="dxa"/>
            <w:vAlign w:val="bottom"/>
          </w:tcPr>
          <w:p>
            <w:pPr>
              <w:spacing w:after="0"/>
              <w:rPr>
                <w:sz w:val="4"/>
                <w:szCs w:val="4"/>
                <w:color w:val="auto"/>
              </w:rPr>
            </w:pPr>
          </w:p>
        </w:tc>
        <w:tc>
          <w:tcPr>
            <w:tcW w:w="4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3"/>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500" w:type="dxa"/>
            <w:vAlign w:val="bottom"/>
            <w:tcBorders>
              <w:bottom w:val="single" w:sz="8" w:color="2C2C2C"/>
            </w:tcBorders>
            <w:gridSpan w:val="4"/>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2040" w:type="dxa"/>
            <w:vAlign w:val="bottom"/>
            <w:tcBorders>
              <w:bottom w:val="single" w:sz="8" w:color="2C2C2C"/>
            </w:tcBorders>
            <w:gridSpan w:val="6"/>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20"/>
          </w:tcPr>
          <w:p>
            <w:pPr>
              <w:jc w:val="center"/>
              <w:ind w:right="6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20" w:type="dxa"/>
            <w:vAlign w:val="bottom"/>
            <w:gridSpan w:val="16"/>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5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  if any</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4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3"/>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4"/>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40" w:right="3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dividend equivalent rights accrued on the Reporting Person's Deferred Stock Units, which become exercisable proportionately with the Deferred Stock Units to which they relate and may only be settled in Class A or Class C Common Stock of Clearway Energy, Inc. as determined by the Deferred Stock Units to which they relate.</w:t>
      </w:r>
    </w:p>
    <w:p>
      <w:pPr>
        <w:spacing w:after="0" w:line="15" w:lineRule="exact"/>
        <w:rPr>
          <w:rFonts w:ascii="Arial" w:cs="Arial" w:eastAsia="Arial" w:hAnsi="Arial"/>
          <w:sz w:val="13"/>
          <w:szCs w:val="13"/>
          <w:color w:val="008000"/>
        </w:rPr>
      </w:pPr>
    </w:p>
    <w:p>
      <w:pPr>
        <w:ind w:left="40" w:right="16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4,655 dividend equivalent rights that may only be settled in Class A Common Stock. There has been a de minimus adjustment of 3 shares to the number of dividend equivalent rights as a result of rounding fractional shares.</w:t>
      </w:r>
    </w:p>
    <w:p>
      <w:pPr>
        <w:spacing w:after="0" w:line="15" w:lineRule="exact"/>
        <w:rPr>
          <w:rFonts w:ascii="Arial" w:cs="Arial" w:eastAsia="Arial" w:hAnsi="Arial"/>
          <w:sz w:val="13"/>
          <w:szCs w:val="13"/>
          <w:color w:val="008000"/>
        </w:rPr>
      </w:pPr>
    </w:p>
    <w:p>
      <w:pPr>
        <w:ind w:left="40" w:right="4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Includes 10,887 dividend equivalent rights that may only be settled in Class C Common Stock. There has been a de minimus adjustment of 2 shares to the number of dividend equivalent rights as a result of rounding fractional shares.</w:t>
      </w:r>
    </w:p>
    <w:p>
      <w:pPr>
        <w:spacing w:after="0" w:line="28"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Kevin P. Malcarney, by</w:t>
            </w:r>
          </w:p>
        </w:tc>
        <w:tc>
          <w:tcPr>
            <w:tcW w:w="240" w:type="dxa"/>
            <w:vAlign w:val="bottom"/>
          </w:tcPr>
          <w:p>
            <w:pPr>
              <w:spacing w:after="0"/>
              <w:rPr>
                <w:sz w:val="16"/>
                <w:szCs w:val="16"/>
                <w:color w:val="auto"/>
              </w:rPr>
            </w:pP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12/03/2021</w:t>
            </w:r>
          </w:p>
        </w:tc>
        <w:tc>
          <w:tcPr>
            <w:tcW w:w="0" w:type="dxa"/>
            <w:vAlign w:val="bottom"/>
          </w:tcPr>
          <w:p>
            <w:pPr>
              <w:spacing w:after="0"/>
              <w:rPr>
                <w:sz w:val="1"/>
                <w:szCs w:val="1"/>
                <w:color w:val="auto"/>
              </w:rPr>
            </w:pPr>
          </w:p>
        </w:tc>
      </w:tr>
      <w:tr>
        <w:trPr>
          <w:trHeight w:val="87"/>
        </w:trPr>
        <w:tc>
          <w:tcPr>
            <w:tcW w:w="1300" w:type="dxa"/>
            <w:vAlign w:val="bottom"/>
            <w:vMerge w:val="restart"/>
          </w:tcPr>
          <w:p>
            <w:pPr>
              <w:spacing w:after="0" w:line="194" w:lineRule="exact"/>
              <w:rPr>
                <w:sz w:val="20"/>
                <w:szCs w:val="20"/>
                <w:color w:val="auto"/>
              </w:rPr>
            </w:pPr>
            <w:r>
              <w:rPr>
                <w:rFonts w:ascii="Arial" w:cs="Arial" w:eastAsia="Arial" w:hAnsi="Arial"/>
                <w:sz w:val="17"/>
                <w:szCs w:val="17"/>
                <w:color w:val="0000FF"/>
                <w:w w:val="94"/>
              </w:rPr>
              <w:t>Power of Attorney</w:t>
            </w:r>
          </w:p>
        </w:tc>
        <w:tc>
          <w:tcPr>
            <w:tcW w:w="78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68551"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2021-12-03T15:42:41Z</dcterms:created>
  <dcterms:modified xsi:type="dcterms:W3CDTF">2021-12-03T15:42:41Z</dcterms:modified>
</cp:coreProperties>
</file>