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245"/>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45"/>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245"/>
        <w:spacing w:after="0"/>
        <w:rPr>
          <w:sz w:val="20"/>
          <w:szCs w:val="20"/>
          <w:color w:val="auto"/>
        </w:rPr>
      </w:pPr>
      <w:r>
        <w:rPr>
          <w:rFonts w:ascii="Arial" w:cs="Arial" w:eastAsia="Arial" w:hAnsi="Arial"/>
          <w:sz w:val="22"/>
          <w:szCs w:val="22"/>
          <w:b w:val="1"/>
          <w:bCs w:val="1"/>
          <w:color w:val="auto"/>
        </w:rPr>
        <w:t>SCHEDULE 13D</w:t>
      </w:r>
    </w:p>
    <w:p>
      <w:pPr>
        <w:spacing w:after="0" w:line="22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ind w:right="-225"/>
        <w:spacing w:after="0"/>
        <w:rPr>
          <w:sz w:val="20"/>
          <w:szCs w:val="20"/>
          <w:color w:val="auto"/>
        </w:rPr>
      </w:pPr>
      <w:r>
        <w:rPr>
          <w:rFonts w:ascii="Arial" w:cs="Arial" w:eastAsia="Arial" w:hAnsi="Arial"/>
          <w:sz w:val="32"/>
          <w:szCs w:val="32"/>
          <w:b w:val="1"/>
          <w:bCs w:val="1"/>
          <w:color w:val="auto"/>
        </w:rPr>
        <w:t>CLEARWAY ENERGY, INC.</w:t>
      </w:r>
    </w:p>
    <w:p>
      <w:pPr>
        <w:spacing w:after="0" w:line="64"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ind w:left="4386"/>
        <w:spacing w:after="0"/>
        <w:rPr>
          <w:sz w:val="20"/>
          <w:szCs w:val="20"/>
          <w:color w:val="auto"/>
        </w:rPr>
      </w:pPr>
      <w:r>
        <w:rPr>
          <w:rFonts w:ascii="Arial" w:cs="Arial" w:eastAsia="Arial" w:hAnsi="Arial"/>
          <w:sz w:val="18"/>
          <w:szCs w:val="18"/>
          <w:b w:val="1"/>
          <w:bCs w:val="1"/>
          <w:color w:val="auto"/>
        </w:rPr>
        <w:t>Class A common stock</w:t>
      </w:r>
    </w:p>
    <w:p>
      <w:pPr>
        <w:spacing w:after="0" w:line="27" w:lineRule="exact"/>
        <w:rPr>
          <w:sz w:val="24"/>
          <w:szCs w:val="24"/>
          <w:color w:val="auto"/>
        </w:rPr>
      </w:pPr>
    </w:p>
    <w:p>
      <w:pPr>
        <w:ind w:left="4386"/>
        <w:spacing w:after="0"/>
        <w:rPr>
          <w:sz w:val="20"/>
          <w:szCs w:val="20"/>
          <w:color w:val="auto"/>
        </w:rPr>
      </w:pPr>
      <w:r>
        <w:rPr>
          <w:rFonts w:ascii="Arial" w:cs="Arial" w:eastAsia="Arial" w:hAnsi="Arial"/>
          <w:sz w:val="18"/>
          <w:szCs w:val="18"/>
          <w:b w:val="1"/>
          <w:bCs w:val="1"/>
          <w:color w:val="auto"/>
        </w:rPr>
        <w:t>Class C common stock</w:t>
      </w:r>
    </w:p>
    <w:p>
      <w:pPr>
        <w:spacing w:after="0" w:line="22"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ind w:left="3846"/>
        <w:spacing w:after="0"/>
        <w:rPr>
          <w:sz w:val="20"/>
          <w:szCs w:val="20"/>
          <w:color w:val="auto"/>
        </w:rPr>
      </w:pPr>
      <w:r>
        <w:rPr>
          <w:rFonts w:ascii="Arial" w:cs="Arial" w:eastAsia="Arial" w:hAnsi="Arial"/>
          <w:sz w:val="18"/>
          <w:szCs w:val="18"/>
          <w:b w:val="1"/>
          <w:bCs w:val="1"/>
          <w:color w:val="auto"/>
        </w:rPr>
        <w:t>18539 C 105 (Class A common stock)</w:t>
      </w:r>
    </w:p>
    <w:p>
      <w:pPr>
        <w:spacing w:after="0" w:line="27" w:lineRule="exact"/>
        <w:rPr>
          <w:sz w:val="24"/>
          <w:szCs w:val="24"/>
          <w:color w:val="auto"/>
        </w:rPr>
      </w:pPr>
    </w:p>
    <w:p>
      <w:pPr>
        <w:ind w:left="3846"/>
        <w:spacing w:after="0"/>
        <w:rPr>
          <w:sz w:val="20"/>
          <w:szCs w:val="20"/>
          <w:color w:val="auto"/>
        </w:rPr>
      </w:pPr>
      <w:r>
        <w:rPr>
          <w:rFonts w:ascii="Arial" w:cs="Arial" w:eastAsia="Arial" w:hAnsi="Arial"/>
          <w:sz w:val="18"/>
          <w:szCs w:val="18"/>
          <w:b w:val="1"/>
          <w:bCs w:val="1"/>
          <w:color w:val="auto"/>
        </w:rPr>
        <w:t>18539 C 204 (Class C common stock)</w:t>
      </w:r>
    </w:p>
    <w:p>
      <w:pPr>
        <w:spacing w:after="0" w:line="35"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Global Infrastructure Management, LLC</w:t>
      </w:r>
    </w:p>
    <w:p>
      <w:pPr>
        <w:spacing w:after="0" w:line="27"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Attention: Joseph Blum</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1345 Avenue of the Americas, 30th Floor,</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New York, New York 10105</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(212) 315-8100</w:t>
      </w:r>
    </w:p>
    <w:p>
      <w:pPr>
        <w:spacing w:after="0" w:line="35"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August 31, 2018</w:t>
      </w:r>
    </w:p>
    <w:p>
      <w:pPr>
        <w:spacing w:after="0" w:line="40"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6"/>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o</w:t>
      </w:r>
    </w:p>
    <w:p>
      <w:pPr>
        <w:spacing w:after="0" w:line="45" w:lineRule="exact"/>
        <w:rPr>
          <w:sz w:val="24"/>
          <w:szCs w:val="24"/>
          <w:color w:val="auto"/>
        </w:rPr>
      </w:pPr>
    </w:p>
    <w:p>
      <w:pPr>
        <w:ind w:left="206" w:right="1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13d-7(b)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45720</wp:posOffset>
            </wp:positionV>
            <wp:extent cx="1724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159" w:lineRule="exact"/>
        <w:rPr>
          <w:sz w:val="24"/>
          <w:szCs w:val="24"/>
          <w:color w:val="auto"/>
        </w:rPr>
      </w:pPr>
    </w:p>
    <w:p>
      <w:pPr>
        <w:ind w:left="206" w:right="240" w:hanging="4"/>
        <w:spacing w:after="0" w:line="267" w:lineRule="auto"/>
        <w:tabs>
          <w:tab w:leader="none" w:pos="306"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53" w:lineRule="exact"/>
        <w:rPr>
          <w:sz w:val="24"/>
          <w:szCs w:val="24"/>
          <w:color w:val="auto"/>
        </w:rPr>
      </w:pPr>
    </w:p>
    <w:p>
      <w:pPr>
        <w:ind w:left="206" w:right="40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207645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265"/>
        <w:spacing w:after="0"/>
        <w:rPr>
          <w:sz w:val="20"/>
          <w:szCs w:val="20"/>
          <w:color w:val="auto"/>
        </w:rPr>
      </w:pPr>
      <w:r>
        <w:rPr>
          <w:rFonts w:ascii="Arial" w:cs="Arial" w:eastAsia="Arial" w:hAnsi="Arial"/>
          <w:sz w:val="18"/>
          <w:szCs w:val="18"/>
          <w:b w:val="1"/>
          <w:bCs w:val="1"/>
          <w:color w:val="auto"/>
        </w:rPr>
        <w:t>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646" w:hanging="646"/>
        <w:spacing w:after="0"/>
        <w:tabs>
          <w:tab w:leader="none" w:pos="646"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646"/>
        <w:spacing w:after="0"/>
        <w:rPr>
          <w:rFonts w:ascii="Arial" w:cs="Arial" w:eastAsia="Arial" w:hAnsi="Arial"/>
          <w:sz w:val="18"/>
          <w:szCs w:val="18"/>
          <w:color w:val="auto"/>
        </w:rPr>
      </w:pPr>
      <w:r>
        <w:rPr>
          <w:rFonts w:ascii="Arial" w:cs="Arial" w:eastAsia="Arial" w:hAnsi="Arial"/>
          <w:sz w:val="18"/>
          <w:szCs w:val="18"/>
          <w:color w:val="auto"/>
        </w:rPr>
        <w:t>Global Infrastructure Investors III,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377190</wp:posOffset>
            </wp:positionH>
            <wp:positionV relativeFrom="paragraph">
              <wp:posOffset>91440</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646" w:hanging="646"/>
        <w:spacing w:after="0"/>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1646" w:hanging="998"/>
        <w:spacing w:after="0"/>
        <w:tabs>
          <w:tab w:leader="none" w:pos="1646"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1646" w:hanging="998"/>
        <w:spacing w:after="0"/>
        <w:tabs>
          <w:tab w:leader="none" w:pos="1646"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986155</wp:posOffset>
            </wp:positionH>
            <wp:positionV relativeFrom="paragraph">
              <wp:posOffset>48895</wp:posOffset>
            </wp:positionV>
            <wp:extent cx="5977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986155</wp:posOffset>
            </wp:positionH>
            <wp:positionV relativeFrom="paragraph">
              <wp:posOffset>-207645</wp:posOffset>
            </wp:positionV>
            <wp:extent cx="5977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646" w:hanging="646"/>
        <w:spacing w:after="0"/>
        <w:tabs>
          <w:tab w:leader="none" w:pos="646"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377190</wp:posOffset>
            </wp:positionH>
            <wp:positionV relativeFrom="paragraph">
              <wp:posOffset>100330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646" w:hanging="646"/>
        <w:spacing w:after="0"/>
        <w:tabs>
          <w:tab w:leader="none" w:pos="646"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646"/>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377190</wp:posOffset>
            </wp:positionH>
            <wp:positionV relativeFrom="paragraph">
              <wp:posOffset>91440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286"/>
          </w:cols>
          <w:pgMar w:left="694" w:top="436" w:right="919" w:bottom="0" w:gutter="0" w:footer="0" w:header="0"/>
        </w:sectPr>
      </w:pPr>
    </w:p>
    <w:bookmarkStart w:id="1" w:name="page2"/>
    <w:bookmarkEnd w:id="1"/>
    <w:p>
      <w:pPr>
        <w:ind w:left="400"/>
        <w:spacing w:after="0"/>
        <w:tabs>
          <w:tab w:leader="none" w:pos="1020" w:val="left"/>
          <w:tab w:leader="none" w:pos="732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7700" w:hanging="646"/>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7</w:t>
            </w:r>
          </w:p>
        </w:tc>
        <w:tc>
          <w:tcPr>
            <w:tcW w:w="95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14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ind w:left="260"/>
              <w:spacing w:after="0"/>
              <w:rPr>
                <w:sz w:val="20"/>
                <w:szCs w:val="20"/>
                <w:color w:val="auto"/>
              </w:rPr>
            </w:pPr>
            <w:r>
              <w:rPr>
                <w:rFonts w:ascii="Arial" w:cs="Arial" w:eastAsia="Arial" w:hAnsi="Arial"/>
                <w:sz w:val="18"/>
                <w:szCs w:val="18"/>
                <w:color w:val="auto"/>
              </w:rPr>
              <w:t>8</w:t>
            </w:r>
          </w:p>
        </w:tc>
        <w:tc>
          <w:tcPr>
            <w:tcW w:w="95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22"/>
                <w:szCs w:val="22"/>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42,738,750 shares of Class A common stock; 42,738,750 shares of Class C common stock</w:t>
            </w:r>
          </w:p>
        </w:tc>
        <w:tc>
          <w:tcPr>
            <w:tcW w:w="0" w:type="dxa"/>
            <w:vAlign w:val="bottom"/>
          </w:tcPr>
          <w:p>
            <w:pPr>
              <w:spacing w:after="0"/>
              <w:rPr>
                <w:sz w:val="1"/>
                <w:szCs w:val="1"/>
                <w:color w:val="auto"/>
              </w:rPr>
            </w:pPr>
          </w:p>
        </w:tc>
      </w:tr>
      <w:tr>
        <w:trPr>
          <w:trHeight w:val="109"/>
        </w:trPr>
        <w:tc>
          <w:tcPr>
            <w:tcW w:w="11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9"/>
                <w:szCs w:val="9"/>
                <w:color w:val="auto"/>
              </w:rPr>
            </w:pPr>
          </w:p>
        </w:tc>
        <w:tc>
          <w:tcPr>
            <w:tcW w:w="9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ind w:left="260"/>
              <w:spacing w:after="0"/>
              <w:rPr>
                <w:sz w:val="20"/>
                <w:szCs w:val="20"/>
                <w:color w:val="auto"/>
              </w:rPr>
            </w:pPr>
            <w:r>
              <w:rPr>
                <w:rFonts w:ascii="Arial" w:cs="Arial" w:eastAsia="Arial" w:hAnsi="Arial"/>
                <w:sz w:val="18"/>
                <w:szCs w:val="18"/>
                <w:color w:val="auto"/>
              </w:rPr>
              <w:t>9</w:t>
            </w:r>
          </w:p>
        </w:tc>
        <w:tc>
          <w:tcPr>
            <w:tcW w:w="95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3"/>
                <w:szCs w:val="23"/>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1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10</w:t>
            </w:r>
          </w:p>
        </w:tc>
        <w:tc>
          <w:tcPr>
            <w:tcW w:w="95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42,738,750 shares of Class A common stock; 42,738,750 shares of Class C common stock</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040" w:right="5520" w:hanging="646"/>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42,738,750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hanging="646"/>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55.3% of Class A common stock; 38.2% of Class C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40" w:hanging="646"/>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-645160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102870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40" w:right="7940" w:hanging="646"/>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Global Infrastructure GP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36195</wp:posOffset>
            </wp:positionV>
            <wp:extent cx="65862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40" w:hanging="646"/>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040" w:hanging="998"/>
        <w:spacing w:after="0"/>
        <w:tabs>
          <w:tab w:leader="none" w:pos="2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040" w:hanging="998"/>
        <w:spacing w:after="0"/>
        <w:tabs>
          <w:tab w:leader="none" w:pos="2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48895</wp:posOffset>
            </wp:positionV>
            <wp:extent cx="5977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-207645</wp:posOffset>
            </wp:positionV>
            <wp:extent cx="5977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hanging="646"/>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p>
    <w:p>
      <w:pPr>
        <w:sectPr>
          <w:pgSz w:w="11900" w:h="16838" w:orient="portrait"/>
          <w:cols w:equalWidth="0" w:num="1">
            <w:col w:w="11360"/>
          </w:cols>
          <w:pgMar w:left="300" w:top="598" w:right="239" w:bottom="0" w:gutter="0" w:footer="0" w:header="0"/>
        </w:sectPr>
      </w:pPr>
    </w:p>
    <w:bookmarkStart w:id="2" w:name="page3"/>
    <w:bookmarkEnd w:id="2"/>
    <w:p>
      <w:pPr>
        <w:ind w:left="1040" w:hanging="646"/>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tabs>
          <w:tab w:leader="none" w:pos="1020" w:val="left"/>
          <w:tab w:leader="none" w:pos="732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7700" w:hanging="646"/>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7</w:t>
            </w:r>
          </w:p>
        </w:tc>
        <w:tc>
          <w:tcPr>
            <w:tcW w:w="95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14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ind w:left="260"/>
              <w:spacing w:after="0"/>
              <w:rPr>
                <w:sz w:val="20"/>
                <w:szCs w:val="20"/>
                <w:color w:val="auto"/>
              </w:rPr>
            </w:pPr>
            <w:r>
              <w:rPr>
                <w:rFonts w:ascii="Arial" w:cs="Arial" w:eastAsia="Arial" w:hAnsi="Arial"/>
                <w:sz w:val="18"/>
                <w:szCs w:val="18"/>
                <w:color w:val="auto"/>
              </w:rPr>
              <w:t>8</w:t>
            </w:r>
          </w:p>
        </w:tc>
        <w:tc>
          <w:tcPr>
            <w:tcW w:w="95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22"/>
                <w:szCs w:val="22"/>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42,738,750 shares of Class A common stock; 42,738,750 shares of Class C common stock</w:t>
            </w:r>
          </w:p>
        </w:tc>
        <w:tc>
          <w:tcPr>
            <w:tcW w:w="0" w:type="dxa"/>
            <w:vAlign w:val="bottom"/>
          </w:tcPr>
          <w:p>
            <w:pPr>
              <w:spacing w:after="0"/>
              <w:rPr>
                <w:sz w:val="1"/>
                <w:szCs w:val="1"/>
                <w:color w:val="auto"/>
              </w:rPr>
            </w:pPr>
          </w:p>
        </w:tc>
      </w:tr>
      <w:tr>
        <w:trPr>
          <w:trHeight w:val="109"/>
        </w:trPr>
        <w:tc>
          <w:tcPr>
            <w:tcW w:w="11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9"/>
                <w:szCs w:val="9"/>
                <w:color w:val="auto"/>
              </w:rPr>
            </w:pPr>
          </w:p>
        </w:tc>
        <w:tc>
          <w:tcPr>
            <w:tcW w:w="9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ind w:left="260"/>
              <w:spacing w:after="0"/>
              <w:rPr>
                <w:sz w:val="20"/>
                <w:szCs w:val="20"/>
                <w:color w:val="auto"/>
              </w:rPr>
            </w:pPr>
            <w:r>
              <w:rPr>
                <w:rFonts w:ascii="Arial" w:cs="Arial" w:eastAsia="Arial" w:hAnsi="Arial"/>
                <w:sz w:val="18"/>
                <w:szCs w:val="18"/>
                <w:color w:val="auto"/>
              </w:rPr>
              <w:t>9</w:t>
            </w:r>
          </w:p>
        </w:tc>
        <w:tc>
          <w:tcPr>
            <w:tcW w:w="95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3"/>
                <w:szCs w:val="23"/>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1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10</w:t>
            </w:r>
          </w:p>
        </w:tc>
        <w:tc>
          <w:tcPr>
            <w:tcW w:w="95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42,738,750 shares of Class A common stock; 42,738,750 shares of Class C common stock</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040" w:right="5520" w:hanging="646"/>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42,738,750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hanging="646"/>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55.3% of Class A common stock; 38.2% of Class C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40" w:hanging="646"/>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-645160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102870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40" w:hanging="646"/>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GIP III Zephyr Acquisition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40" w:hanging="6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040" w:hanging="998"/>
        <w:spacing w:after="0"/>
        <w:tabs>
          <w:tab w:leader="none" w:pos="2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1236345</wp:posOffset>
            </wp:positionH>
            <wp:positionV relativeFrom="paragraph">
              <wp:posOffset>48895</wp:posOffset>
            </wp:positionV>
            <wp:extent cx="5977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ectPr>
          <w:pgSz w:w="11900" w:h="16838" w:orient="portrait"/>
          <w:cols w:equalWidth="0" w:num="1">
            <w:col w:w="11360"/>
          </w:cols>
          <w:pgMar w:left="300" w:top="706" w:right="239" w:bottom="0" w:gutter="0" w:footer="0" w:header="0"/>
        </w:sectPr>
      </w:pPr>
    </w:p>
    <w:bookmarkStart w:id="3" w:name="page4"/>
    <w:bookmarkEnd w:id="3"/>
    <w:p>
      <w:pPr>
        <w:ind w:left="2040" w:hanging="998"/>
        <w:spacing w:after="0"/>
        <w:tabs>
          <w:tab w:leader="none" w:pos="2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1236345</wp:posOffset>
            </wp:positionH>
            <wp:positionV relativeFrom="paragraph">
              <wp:posOffset>-499110</wp:posOffset>
            </wp:positionV>
            <wp:extent cx="5977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hanging="646"/>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tabs>
          <w:tab w:leader="none" w:pos="1020" w:val="left"/>
          <w:tab w:leader="none" w:pos="732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107950</wp:posOffset>
            </wp:positionV>
            <wp:extent cx="6586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7700" w:hanging="646"/>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7</w:t>
            </w:r>
          </w:p>
        </w:tc>
        <w:tc>
          <w:tcPr>
            <w:tcW w:w="95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14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ind w:left="260"/>
              <w:spacing w:after="0"/>
              <w:rPr>
                <w:sz w:val="20"/>
                <w:szCs w:val="20"/>
                <w:color w:val="auto"/>
              </w:rPr>
            </w:pPr>
            <w:r>
              <w:rPr>
                <w:rFonts w:ascii="Arial" w:cs="Arial" w:eastAsia="Arial" w:hAnsi="Arial"/>
                <w:sz w:val="18"/>
                <w:szCs w:val="18"/>
                <w:color w:val="auto"/>
              </w:rPr>
              <w:t>8</w:t>
            </w:r>
          </w:p>
        </w:tc>
        <w:tc>
          <w:tcPr>
            <w:tcW w:w="95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22"/>
                <w:szCs w:val="22"/>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42,738,750 shares of Class A common stock; 42,738,750 shares of Class C common stock</w:t>
            </w:r>
          </w:p>
        </w:tc>
        <w:tc>
          <w:tcPr>
            <w:tcW w:w="0" w:type="dxa"/>
            <w:vAlign w:val="bottom"/>
          </w:tcPr>
          <w:p>
            <w:pPr>
              <w:spacing w:after="0"/>
              <w:rPr>
                <w:sz w:val="1"/>
                <w:szCs w:val="1"/>
                <w:color w:val="auto"/>
              </w:rPr>
            </w:pPr>
          </w:p>
        </w:tc>
      </w:tr>
      <w:tr>
        <w:trPr>
          <w:trHeight w:val="109"/>
        </w:trPr>
        <w:tc>
          <w:tcPr>
            <w:tcW w:w="11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9"/>
                <w:szCs w:val="9"/>
                <w:color w:val="auto"/>
              </w:rPr>
            </w:pPr>
          </w:p>
        </w:tc>
        <w:tc>
          <w:tcPr>
            <w:tcW w:w="9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ind w:left="260"/>
              <w:spacing w:after="0"/>
              <w:rPr>
                <w:sz w:val="20"/>
                <w:szCs w:val="20"/>
                <w:color w:val="auto"/>
              </w:rPr>
            </w:pPr>
            <w:r>
              <w:rPr>
                <w:rFonts w:ascii="Arial" w:cs="Arial" w:eastAsia="Arial" w:hAnsi="Arial"/>
                <w:sz w:val="18"/>
                <w:szCs w:val="18"/>
                <w:color w:val="auto"/>
              </w:rPr>
              <w:t>9</w:t>
            </w:r>
          </w:p>
        </w:tc>
        <w:tc>
          <w:tcPr>
            <w:tcW w:w="95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3"/>
                <w:szCs w:val="23"/>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1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10</w:t>
            </w:r>
          </w:p>
        </w:tc>
        <w:tc>
          <w:tcPr>
            <w:tcW w:w="95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42,738,750 shares of Class A common stock; 42,738,750 shares of Class C common stock</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040" w:right="5520" w:hanging="646"/>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42,738,750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66040</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100330</wp:posOffset>
            </wp:positionV>
            <wp:extent cx="6586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40" w:hanging="646"/>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55.3% of Class A common stock; 38.2% of Class C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040" w:hanging="646"/>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91440</wp:posOffset>
            </wp:positionV>
            <wp:extent cx="6586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-645160</wp:posOffset>
            </wp:positionV>
            <wp:extent cx="6586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102870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40" w:right="8180" w:hanging="646"/>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Clearway Energy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36195</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360"/>
          </w:cols>
          <w:pgMar w:left="300" w:top="125" w:right="239" w:bottom="0" w:gutter="0" w:footer="0" w:header="0"/>
        </w:sectPr>
      </w:pPr>
    </w:p>
    <w:bookmarkStart w:id="4" w:name="page5"/>
    <w:bookmarkEnd w:id="4"/>
    <w:p>
      <w:pPr>
        <w:ind w:left="1100" w:hanging="646"/>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00" w:hanging="998"/>
        <w:spacing w:after="0"/>
        <w:tabs>
          <w:tab w:leader="none" w:pos="2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998"/>
        <w:spacing w:after="0"/>
        <w:tabs>
          <w:tab w:leader="none" w:pos="2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48895</wp:posOffset>
            </wp:positionV>
            <wp:extent cx="5977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77255" cy="8890"/>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-207645</wp:posOffset>
            </wp:positionV>
            <wp:extent cx="5977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100" w:hanging="646"/>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91440</wp:posOffset>
            </wp:positionV>
            <wp:extent cx="6586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tabs>
          <w:tab w:leader="none" w:pos="1080" w:val="left"/>
          <w:tab w:leader="none" w:pos="738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107950</wp:posOffset>
            </wp:positionV>
            <wp:extent cx="65862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00" w:right="7700" w:hanging="646"/>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7</w:t>
            </w:r>
          </w:p>
        </w:tc>
        <w:tc>
          <w:tcPr>
            <w:tcW w:w="95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7"/>
        </w:trPr>
        <w:tc>
          <w:tcPr>
            <w:tcW w:w="1140" w:type="dxa"/>
            <w:vAlign w:val="bottom"/>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ind w:left="260"/>
              <w:spacing w:after="0"/>
              <w:rPr>
                <w:sz w:val="20"/>
                <w:szCs w:val="20"/>
                <w:color w:val="auto"/>
              </w:rPr>
            </w:pPr>
            <w:r>
              <w:rPr>
                <w:rFonts w:ascii="Arial" w:cs="Arial" w:eastAsia="Arial" w:hAnsi="Arial"/>
                <w:sz w:val="18"/>
                <w:szCs w:val="18"/>
                <w:color w:val="auto"/>
              </w:rPr>
              <w:t>8</w:t>
            </w:r>
          </w:p>
        </w:tc>
        <w:tc>
          <w:tcPr>
            <w:tcW w:w="95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0"/>
                <w:szCs w:val="20"/>
                <w:color w:val="auto"/>
              </w:rPr>
            </w:pPr>
            <w:r>
              <w:rPr>
                <w:rFonts w:ascii="Arial" w:cs="Arial" w:eastAsia="Arial" w:hAnsi="Arial"/>
                <w:sz w:val="18"/>
                <w:szCs w:val="18"/>
                <w:color w:val="auto"/>
              </w:rPr>
              <w:t>Shares</w:t>
            </w:r>
          </w:p>
        </w:tc>
        <w:tc>
          <w:tcPr>
            <w:tcW w:w="720" w:type="dxa"/>
            <w:vAlign w:val="bottom"/>
          </w:tcPr>
          <w:p>
            <w:pPr>
              <w:spacing w:after="0"/>
              <w:rPr>
                <w:sz w:val="22"/>
                <w:szCs w:val="22"/>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42,738,750 shares of Class A common stock; 42,738,750 shares of Class C common stock</w:t>
            </w:r>
          </w:p>
        </w:tc>
        <w:tc>
          <w:tcPr>
            <w:tcW w:w="0" w:type="dxa"/>
            <w:vAlign w:val="bottom"/>
          </w:tcPr>
          <w:p>
            <w:pPr>
              <w:spacing w:after="0"/>
              <w:rPr>
                <w:sz w:val="1"/>
                <w:szCs w:val="1"/>
                <w:color w:val="auto"/>
              </w:rPr>
            </w:pPr>
          </w:p>
        </w:tc>
      </w:tr>
      <w:tr>
        <w:trPr>
          <w:trHeight w:val="109"/>
        </w:trPr>
        <w:tc>
          <w:tcPr>
            <w:tcW w:w="11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9"/>
                <w:szCs w:val="9"/>
                <w:color w:val="auto"/>
              </w:rPr>
            </w:pPr>
          </w:p>
        </w:tc>
        <w:tc>
          <w:tcPr>
            <w:tcW w:w="9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1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9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ind w:left="260"/>
              <w:spacing w:after="0"/>
              <w:rPr>
                <w:sz w:val="20"/>
                <w:szCs w:val="20"/>
                <w:color w:val="auto"/>
              </w:rPr>
            </w:pPr>
            <w:r>
              <w:rPr>
                <w:rFonts w:ascii="Arial" w:cs="Arial" w:eastAsia="Arial" w:hAnsi="Arial"/>
                <w:sz w:val="18"/>
                <w:szCs w:val="18"/>
                <w:color w:val="auto"/>
              </w:rPr>
              <w:t>9</w:t>
            </w:r>
          </w:p>
        </w:tc>
        <w:tc>
          <w:tcPr>
            <w:tcW w:w="95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23"/>
                <w:szCs w:val="23"/>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76"/>
        </w:trPr>
        <w:tc>
          <w:tcPr>
            <w:tcW w:w="114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rPr>
              <w:t>10</w:t>
            </w:r>
          </w:p>
        </w:tc>
        <w:tc>
          <w:tcPr>
            <w:tcW w:w="95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500" w:type="dxa"/>
            <w:vAlign w:val="bottom"/>
          </w:tcPr>
          <w:p>
            <w:pPr>
              <w:ind w:left="40"/>
              <w:spacing w:after="0"/>
              <w:rPr>
                <w:sz w:val="20"/>
                <w:szCs w:val="20"/>
                <w:color w:val="auto"/>
              </w:rPr>
            </w:pPr>
            <w:r>
              <w:rPr>
                <w:rFonts w:ascii="Arial" w:cs="Arial" w:eastAsia="Arial" w:hAnsi="Arial"/>
                <w:sz w:val="18"/>
                <w:szCs w:val="18"/>
                <w:color w:val="auto"/>
              </w:rPr>
              <w:t>42,738,750 shares of Class A common stock; 42,738,750 shares of Class C common stock</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1100" w:right="5520" w:hanging="646"/>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42,738,750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66040</wp:posOffset>
            </wp:positionV>
            <wp:extent cx="65862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100330</wp:posOffset>
            </wp:positionV>
            <wp:extent cx="6586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55.3% of Class A common stock; 38.2% of Class C common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100" w:hanging="646"/>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91440</wp:posOffset>
            </wp:positionV>
            <wp:extent cx="6586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-645160</wp:posOffset>
            </wp:positionV>
            <wp:extent cx="6586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ectPr>
          <w:pgSz w:w="11900" w:h="16838" w:orient="portrait"/>
          <w:cols w:equalWidth="0" w:num="1">
            <w:col w:w="11420"/>
          </w:cols>
          <w:pgMar w:left="240" w:top="598" w:right="239" w:bottom="0" w:gutter="0" w:footer="0" w:header="0"/>
        </w:sectPr>
      </w:pPr>
    </w:p>
    <w:bookmarkStart w:id="5" w:name="page6"/>
    <w:bookmarkEnd w:id="5"/>
    <w:p>
      <w:pPr>
        <w:jc w:val="both"/>
        <w:ind w:right="60" w:firstLine="648"/>
        <w:spacing w:after="0" w:line="264" w:lineRule="auto"/>
        <w:rPr>
          <w:sz w:val="20"/>
          <w:szCs w:val="20"/>
          <w:color w:val="auto"/>
        </w:rPr>
      </w:pPr>
      <w:r>
        <w:rPr>
          <w:rFonts w:ascii="Arial" w:cs="Arial" w:eastAsia="Arial" w:hAnsi="Arial"/>
          <w:sz w:val="18"/>
          <w:szCs w:val="18"/>
          <w:color w:val="auto"/>
        </w:rPr>
        <w:t>This statement on Schedule 13D (the “</w:t>
      </w:r>
      <w:r>
        <w:rPr>
          <w:rFonts w:ascii="Arial" w:cs="Arial" w:eastAsia="Arial" w:hAnsi="Arial"/>
          <w:sz w:val="18"/>
          <w:szCs w:val="18"/>
          <w:u w:val="single" w:color="auto"/>
          <w:color w:val="auto"/>
        </w:rPr>
        <w:t>Schedule 13D</w:t>
      </w:r>
      <w:r>
        <w:rPr>
          <w:rFonts w:ascii="Arial" w:cs="Arial" w:eastAsia="Arial" w:hAnsi="Arial"/>
          <w:sz w:val="18"/>
          <w:szCs w:val="18"/>
          <w:color w:val="auto"/>
        </w:rPr>
        <w:t>”) relates to the Class A common stock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and Class C common stock (“</w:t>
      </w:r>
      <w:r>
        <w:rPr>
          <w:rFonts w:ascii="Arial" w:cs="Arial" w:eastAsia="Arial" w:hAnsi="Arial"/>
          <w:sz w:val="18"/>
          <w:szCs w:val="18"/>
          <w:u w:val="single" w:color="auto"/>
          <w:color w:val="auto"/>
        </w:rPr>
        <w:t>Class C Common Stock</w:t>
      </w:r>
      <w:r>
        <w:rPr>
          <w:rFonts w:ascii="Arial" w:cs="Arial" w:eastAsia="Arial" w:hAnsi="Arial"/>
          <w:sz w:val="18"/>
          <w:szCs w:val="18"/>
          <w:color w:val="auto"/>
        </w:rPr>
        <w:t>”) of Clearway Energy, Inc. (formerly known as NRG Yield,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whose principal executive offices are located at 804 Carnegie Center, Princeton, New Jersey 08540.</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Schedule 13D is being filed by the following persons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Global Infrastructure Investors III, LLC (“</w:t>
      </w:r>
      <w:r>
        <w:rPr>
          <w:rFonts w:ascii="Arial" w:cs="Arial" w:eastAsia="Arial" w:hAnsi="Arial"/>
          <w:sz w:val="18"/>
          <w:szCs w:val="18"/>
          <w:u w:val="single" w:color="auto"/>
          <w:color w:val="auto"/>
        </w:rPr>
        <w:t>Global Investors</w:t>
      </w:r>
      <w:r>
        <w:rPr>
          <w:rFonts w:ascii="Arial" w:cs="Arial" w:eastAsia="Arial" w:hAnsi="Arial"/>
          <w:sz w:val="18"/>
          <w:szCs w:val="18"/>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Global Infrastructure GP III, L.P. (“</w:t>
      </w:r>
      <w:r>
        <w:rPr>
          <w:rFonts w:ascii="Arial" w:cs="Arial" w:eastAsia="Arial" w:hAnsi="Arial"/>
          <w:sz w:val="18"/>
          <w:szCs w:val="18"/>
          <w:u w:val="single" w:color="auto"/>
          <w:color w:val="auto"/>
        </w:rPr>
        <w:t>Global GP</w:t>
      </w:r>
      <w:r>
        <w:rPr>
          <w:rFonts w:ascii="Arial" w:cs="Arial" w:eastAsia="Arial" w:hAnsi="Arial"/>
          <w:sz w:val="18"/>
          <w:szCs w:val="18"/>
          <w:color w:val="auto"/>
        </w:rPr>
        <w: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GIP III Zephyr Acquisition Partners, L.P. (“</w:t>
      </w:r>
      <w:r>
        <w:rPr>
          <w:rFonts w:ascii="Arial" w:cs="Arial" w:eastAsia="Arial" w:hAnsi="Arial"/>
          <w:sz w:val="18"/>
          <w:szCs w:val="18"/>
          <w:u w:val="single" w:color="auto"/>
          <w:color w:val="auto"/>
        </w:rPr>
        <w:t>GIP</w:t>
      </w:r>
      <w:r>
        <w:rPr>
          <w:rFonts w:ascii="Arial" w:cs="Arial" w:eastAsia="Arial" w:hAnsi="Arial"/>
          <w:sz w:val="18"/>
          <w:szCs w:val="18"/>
          <w:color w:val="auto"/>
        </w:rPr>
        <w:t>”),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Clearway Energy Group LLC </w:t>
      </w:r>
      <w:r>
        <w:rPr>
          <w:rFonts w:ascii="Arial" w:cs="Arial" w:eastAsia="Arial" w:hAnsi="Arial"/>
          <w:sz w:val="17"/>
          <w:szCs w:val="17"/>
          <w:color w:val="auto"/>
        </w:rPr>
        <w:t>(formerly known as Zephyr Renewables LLC) (“</w:t>
      </w:r>
      <w:r>
        <w:rPr>
          <w:rFonts w:ascii="Arial" w:cs="Arial" w:eastAsia="Arial" w:hAnsi="Arial"/>
          <w:sz w:val="17"/>
          <w:szCs w:val="17"/>
          <w:u w:val="single" w:color="auto"/>
          <w:color w:val="auto"/>
        </w:rPr>
        <w:t>Clearway Energy Group</w:t>
      </w:r>
      <w:r>
        <w:rPr>
          <w:rFonts w:ascii="Arial" w:cs="Arial" w:eastAsia="Arial" w:hAnsi="Arial"/>
          <w:sz w:val="17"/>
          <w:szCs w:val="17"/>
          <w:color w:val="auto"/>
        </w:rPr>
        <w:t>”).</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Global GP is organized under the laws of the Cayman Islands. Each of the other Reporting Persons is organized under the laws of the State of Delaware. The business address of each of the Reporting Persons is c/o Global Infrastructure Management, LLC, 1345 Avenue of the Americas, 30th Floor, New York, New York 10105. The principal business of each of Global Investors, Global GP and GIP is investing in securities, including of the Issuer. The principal business of Clearway Energy Group is holding equity securities and directing and managing the business operations of the entities in which it holds such equity securities.</w:t>
      </w:r>
    </w:p>
    <w:p>
      <w:pPr>
        <w:spacing w:after="0" w:line="18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Information with respect to the directors and officers of Global Investors and Clearway Energy Group (collectively, the “</w:t>
      </w:r>
      <w:r>
        <w:rPr>
          <w:rFonts w:ascii="Arial" w:cs="Arial" w:eastAsia="Arial" w:hAnsi="Arial"/>
          <w:sz w:val="18"/>
          <w:szCs w:val="18"/>
          <w:u w:val="single" w:color="auto"/>
          <w:color w:val="auto"/>
        </w:rPr>
        <w:t>Related Persons</w:t>
      </w:r>
      <w:r>
        <w:rPr>
          <w:rFonts w:ascii="Arial" w:cs="Arial" w:eastAsia="Arial" w:hAnsi="Arial"/>
          <w:sz w:val="18"/>
          <w:szCs w:val="18"/>
          <w:color w:val="auto"/>
        </w:rPr>
        <w:t>”), including name, business address, present principal occupation or employment and citizenship is listed on the attached Schedule A, which is incorporated herein by reference.</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last five years, none of the Reporting Persons or Related Persons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closing of the transactions contemplated by the Purchase and Sale Agreement (the “</w:t>
      </w:r>
      <w:r>
        <w:rPr>
          <w:rFonts w:ascii="Arial" w:cs="Arial" w:eastAsia="Arial" w:hAnsi="Arial"/>
          <w:sz w:val="16"/>
          <w:szCs w:val="16"/>
          <w:u w:val="single" w:color="auto"/>
          <w:color w:val="auto"/>
        </w:rPr>
        <w:t>Purchase and Sale Agreement</w:t>
      </w:r>
      <w:r>
        <w:rPr>
          <w:rFonts w:ascii="Arial" w:cs="Arial" w:eastAsia="Arial" w:hAnsi="Arial"/>
          <w:sz w:val="16"/>
          <w:szCs w:val="16"/>
          <w:color w:val="auto"/>
        </w:rPr>
        <w:t>”), dated 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February 6, 2018, by and among NRG Energy, Inc. (“</w:t>
      </w:r>
      <w:r>
        <w:rPr>
          <w:rFonts w:ascii="Arial" w:cs="Arial" w:eastAsia="Arial" w:hAnsi="Arial"/>
          <w:sz w:val="17"/>
          <w:szCs w:val="17"/>
          <w:u w:val="single" w:color="auto"/>
          <w:color w:val="auto"/>
        </w:rPr>
        <w:t>NRG</w:t>
      </w:r>
      <w:r>
        <w:rPr>
          <w:rFonts w:ascii="Arial" w:cs="Arial" w:eastAsia="Arial" w:hAnsi="Arial"/>
          <w:sz w:val="17"/>
          <w:szCs w:val="17"/>
          <w:color w:val="auto"/>
        </w:rPr>
        <w:t>”), NRG Repowering Holdings LLC (“</w:t>
      </w:r>
      <w:r>
        <w:rPr>
          <w:rFonts w:ascii="Arial" w:cs="Arial" w:eastAsia="Arial" w:hAnsi="Arial"/>
          <w:sz w:val="17"/>
          <w:szCs w:val="17"/>
          <w:u w:val="single" w:color="auto"/>
          <w:color w:val="auto"/>
        </w:rPr>
        <w:t>Repowering</w:t>
      </w:r>
      <w:r>
        <w:rPr>
          <w:rFonts w:ascii="Arial" w:cs="Arial" w:eastAsia="Arial" w:hAnsi="Arial"/>
          <w:sz w:val="17"/>
          <w:szCs w:val="17"/>
          <w:color w:val="auto"/>
        </w:rPr>
        <w:t>” and, collectively with NRG, “</w:t>
      </w:r>
      <w:r>
        <w:rPr>
          <w:rFonts w:ascii="Arial" w:cs="Arial" w:eastAsia="Arial" w:hAnsi="Arial"/>
          <w:sz w:val="17"/>
          <w:szCs w:val="17"/>
          <w:u w:val="single" w:color="auto"/>
          <w:color w:val="auto"/>
        </w:rPr>
        <w:t>NRG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Energy</w:t>
      </w:r>
      <w:r>
        <w:rPr>
          <w:rFonts w:ascii="Arial" w:cs="Arial" w:eastAsia="Arial" w:hAnsi="Arial"/>
          <w:sz w:val="17"/>
          <w:szCs w:val="17"/>
          <w:color w:val="auto"/>
        </w:rPr>
        <w:t>”) and GIP (the “</w:t>
      </w:r>
      <w:r>
        <w:rPr>
          <w:rFonts w:ascii="Arial" w:cs="Arial" w:eastAsia="Arial" w:hAnsi="Arial"/>
          <w:sz w:val="17"/>
          <w:szCs w:val="17"/>
          <w:u w:val="single" w:color="auto"/>
          <w:color w:val="auto"/>
        </w:rPr>
        <w:t>PSA</w:t>
      </w:r>
      <w:r>
        <w:rPr>
          <w:rFonts w:ascii="Arial" w:cs="Arial" w:eastAsia="Arial" w:hAnsi="Arial"/>
          <w:sz w:val="17"/>
          <w:szCs w:val="17"/>
          <w:color w:val="auto"/>
        </w:rPr>
        <w:t>”), for aggregate consideration of approximately $1,348,000,000, GIP acquired from NRG Energy 100% of the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membership interests of Clearway Energy Group. Clearway Energy Group owns, among other assets, (1) 100% of the 42,738,750 shares of Class B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and 100% of the 42,738,750 shares of Class D common stock of the Issuer outstanding, and (2) 100% of the 42,738,750 Class B units (“</w:t>
      </w:r>
      <w:r>
        <w:rPr>
          <w:rFonts w:ascii="Arial" w:cs="Arial" w:eastAsia="Arial" w:hAnsi="Arial"/>
          <w:sz w:val="16"/>
          <w:szCs w:val="16"/>
          <w:u w:val="single" w:color="auto"/>
          <w:color w:val="auto"/>
        </w:rPr>
        <w:t>Class B Units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100% of the 42,738,750 Class D units (“</w:t>
      </w:r>
      <w:r>
        <w:rPr>
          <w:rFonts w:ascii="Arial" w:cs="Arial" w:eastAsia="Arial" w:hAnsi="Arial"/>
          <w:sz w:val="17"/>
          <w:szCs w:val="17"/>
          <w:u w:val="single" w:color="auto"/>
          <w:color w:val="auto"/>
        </w:rPr>
        <w:t>Class D Units</w:t>
      </w:r>
      <w:r>
        <w:rPr>
          <w:rFonts w:ascii="Arial" w:cs="Arial" w:eastAsia="Arial" w:hAnsi="Arial"/>
          <w:sz w:val="17"/>
          <w:szCs w:val="17"/>
          <w:color w:val="auto"/>
        </w:rPr>
        <w:t>”) of Clearway Energy LLC (formerly known as NRG Yield LLC), a Delaware limited liability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w:t>
      </w:r>
      <w:r>
        <w:rPr>
          <w:rFonts w:ascii="Arial" w:cs="Arial" w:eastAsia="Arial" w:hAnsi="Arial"/>
          <w:sz w:val="17"/>
          <w:szCs w:val="17"/>
          <w:u w:val="single" w:color="auto"/>
          <w:color w:val="auto"/>
        </w:rPr>
        <w:t>Clearway LLC</w:t>
      </w:r>
      <w:r>
        <w:rPr>
          <w:rFonts w:ascii="Arial" w:cs="Arial" w:eastAsia="Arial" w:hAnsi="Arial"/>
          <w:sz w:val="17"/>
          <w:szCs w:val="17"/>
          <w:color w:val="auto"/>
        </w:rPr>
        <w:t>”), outstanding. The sale of such shares and units described above by NRG Energy to GIP shall be referred to herein as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Securities Transaction.</w:t>
      </w:r>
      <w:r>
        <w:rPr>
          <w:rFonts w:ascii="Arial" w:cs="Arial" w:eastAsia="Arial" w:hAnsi="Arial"/>
          <w:sz w:val="17"/>
          <w:szCs w:val="17"/>
          <w:color w:val="auto"/>
        </w:rPr>
        <w:t>” The foregoing description of the PSA does not purport to be complete and is qualified in its entirety by the full text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such agreement, which is attached as an exhibit to this Schedule 13D and is incorporated herein by reference.</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GIP obtained funds to purchase the securities described herein through capital contributions from its partners.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3 of this Schedule 13D is incorporated herein by reference.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Services Agreements</w:t>
      </w:r>
    </w:p>
    <w:p>
      <w:pPr>
        <w:spacing w:after="0" w:line="225" w:lineRule="exact"/>
        <w:rPr>
          <w:sz w:val="20"/>
          <w:szCs w:val="20"/>
          <w:color w:val="auto"/>
        </w:rPr>
      </w:pPr>
    </w:p>
    <w:p>
      <w:pPr>
        <w:ind w:firstLine="654"/>
        <w:spacing w:after="0" w:line="257" w:lineRule="auto"/>
        <w:rPr>
          <w:sz w:val="20"/>
          <w:szCs w:val="20"/>
          <w:color w:val="auto"/>
        </w:rPr>
      </w:pPr>
      <w:r>
        <w:rPr>
          <w:rFonts w:ascii="Arial" w:cs="Arial" w:eastAsia="Arial" w:hAnsi="Arial"/>
          <w:sz w:val="18"/>
          <w:szCs w:val="18"/>
          <w:color w:val="auto"/>
        </w:rPr>
        <w:t>On August 31, 2018, in connection with the consummation of the Company Securities Transaction, the Issuer, Clearway LLC and Clearway Energy Operating LLC (formerly known as NRG Yield Operating LLC) (“</w:t>
      </w:r>
      <w:r>
        <w:rPr>
          <w:rFonts w:ascii="Arial" w:cs="Arial" w:eastAsia="Arial" w:hAnsi="Arial"/>
          <w:sz w:val="18"/>
          <w:szCs w:val="18"/>
          <w:u w:val="single" w:color="auto"/>
          <w:color w:val="auto"/>
        </w:rPr>
        <w:t>Clearway Operating LLC</w:t>
      </w:r>
      <w:r>
        <w:rPr>
          <w:rFonts w:ascii="Arial" w:cs="Arial" w:eastAsia="Arial" w:hAnsi="Arial"/>
          <w:sz w:val="18"/>
          <w:szCs w:val="18"/>
          <w:color w:val="auto"/>
        </w:rPr>
        <w:t>”) entered into a Master Services Agreement with Clearway Energy Group (the “</w:t>
      </w:r>
      <w:r>
        <w:rPr>
          <w:rFonts w:ascii="Arial" w:cs="Arial" w:eastAsia="Arial" w:hAnsi="Arial"/>
          <w:sz w:val="18"/>
          <w:szCs w:val="18"/>
          <w:u w:val="single" w:color="auto"/>
          <w:color w:val="auto"/>
        </w:rPr>
        <w:t>NYLD MSA</w:t>
      </w:r>
      <w:r>
        <w:rPr>
          <w:rFonts w:ascii="Arial" w:cs="Arial" w:eastAsia="Arial" w:hAnsi="Arial"/>
          <w:sz w:val="18"/>
          <w:szCs w:val="18"/>
          <w:color w:val="auto"/>
        </w:rPr>
        <w:t>”), pursuant to which Clearway Energy Group and certain of its affiliates or third party service providers will provide certain services to the Issuer and certain of its subsidiaries following the consummation of the Company Securities Transaction, in exchange for the payment of a fee in respect of such services.</w:t>
      </w:r>
    </w:p>
    <w:p>
      <w:pPr>
        <w:spacing w:after="0" w:line="188" w:lineRule="exact"/>
        <w:rPr>
          <w:sz w:val="20"/>
          <w:szCs w:val="20"/>
          <w:color w:val="auto"/>
        </w:rPr>
      </w:pPr>
    </w:p>
    <w:p>
      <w:pPr>
        <w:ind w:firstLine="654"/>
        <w:spacing w:after="0" w:line="279" w:lineRule="auto"/>
        <w:rPr>
          <w:sz w:val="20"/>
          <w:szCs w:val="20"/>
          <w:color w:val="auto"/>
        </w:rPr>
      </w:pPr>
      <w:r>
        <w:rPr>
          <w:rFonts w:ascii="Arial" w:cs="Arial" w:eastAsia="Arial" w:hAnsi="Arial"/>
          <w:sz w:val="17"/>
          <w:szCs w:val="17"/>
          <w:color w:val="auto"/>
        </w:rPr>
        <w:t>On August 31, 2018, in connection with the consummation of the Company Securities Transaction, the Issuer, Clearway LLC and Clearway Operating LLC entered into a Master Services Agreement with Clearway Energy Group (the “</w:t>
      </w:r>
      <w:r>
        <w:rPr>
          <w:rFonts w:ascii="Arial" w:cs="Arial" w:eastAsia="Arial" w:hAnsi="Arial"/>
          <w:sz w:val="17"/>
          <w:szCs w:val="17"/>
          <w:u w:val="single" w:color="auto"/>
          <w:color w:val="auto"/>
        </w:rPr>
        <w:t>Clearway Energy Group MSA</w:t>
      </w:r>
      <w:r>
        <w:rPr>
          <w:rFonts w:ascii="Arial" w:cs="Arial" w:eastAsia="Arial" w:hAnsi="Arial"/>
          <w:sz w:val="17"/>
          <w:szCs w:val="17"/>
          <w:color w:val="auto"/>
        </w:rPr>
        <w:t>”), pursuant to which the Issuer and certain of its affiliates or third party service providers will provide certain services to Clearway Energy Group and certain of its subsidiaries following the consummation of the Company Securities Transaction, in exchange for the payment of a fee in respect of such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ROFO Agreement</w:t>
      </w:r>
    </w:p>
    <w:p>
      <w:pPr>
        <w:spacing w:after="0" w:line="225" w:lineRule="exact"/>
        <w:rPr>
          <w:sz w:val="20"/>
          <w:szCs w:val="20"/>
          <w:color w:val="auto"/>
        </w:rPr>
      </w:pPr>
    </w:p>
    <w:p>
      <w:pPr>
        <w:ind w:right="140" w:firstLine="654"/>
        <w:spacing w:after="0" w:line="276" w:lineRule="auto"/>
        <w:rPr>
          <w:sz w:val="20"/>
          <w:szCs w:val="20"/>
          <w:color w:val="auto"/>
        </w:rPr>
      </w:pPr>
      <w:r>
        <w:rPr>
          <w:rFonts w:ascii="Arial" w:cs="Arial" w:eastAsia="Arial" w:hAnsi="Arial"/>
          <w:sz w:val="17"/>
          <w:szCs w:val="17"/>
          <w:color w:val="auto"/>
        </w:rPr>
        <w:t>On August 31, 2018, in connection with the consummation of the Company Securities Transaction, the Issuer entered into a right of first offer agreement with Clearway Energy Group (the “</w:t>
      </w:r>
      <w:r>
        <w:rPr>
          <w:rFonts w:ascii="Arial" w:cs="Arial" w:eastAsia="Arial" w:hAnsi="Arial"/>
          <w:sz w:val="17"/>
          <w:szCs w:val="17"/>
          <w:u w:val="single" w:color="auto"/>
          <w:color w:val="auto"/>
        </w:rPr>
        <w:t>ROFO Agreement</w:t>
      </w:r>
      <w:r>
        <w:rPr>
          <w:rFonts w:ascii="Arial" w:cs="Arial" w:eastAsia="Arial" w:hAnsi="Arial"/>
          <w:sz w:val="17"/>
          <w:szCs w:val="17"/>
          <w:color w:val="auto"/>
        </w:rPr>
        <w:t>”), and solely for purposes of Section 2.4 thereof, GIP, pursuant to which Clearway Energy Group granted the Issuer and its subsidiaries a right of first offer on any proposed sale or transfer of certain assets owned by Clearway Energy Group. The ROFO Agreement also provides the Issuer the right to make an equity investment of up to $190,000,000 in one or more distributed generation portfolios developed or owned by Clearway Energy Group or its subsidiaries after August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and Governance Agreement</w:t>
      </w:r>
    </w:p>
    <w:p>
      <w:pPr>
        <w:spacing w:after="0" w:line="225" w:lineRule="exact"/>
        <w:rPr>
          <w:sz w:val="20"/>
          <w:szCs w:val="20"/>
          <w:color w:val="auto"/>
        </w:rPr>
      </w:pPr>
    </w:p>
    <w:p>
      <w:pPr>
        <w:ind w:right="60" w:firstLine="654"/>
        <w:spacing w:after="0" w:line="342" w:lineRule="auto"/>
        <w:rPr>
          <w:sz w:val="20"/>
          <w:szCs w:val="20"/>
          <w:color w:val="auto"/>
        </w:rPr>
      </w:pPr>
      <w:r>
        <w:rPr>
          <w:rFonts w:ascii="Arial" w:cs="Arial" w:eastAsia="Arial" w:hAnsi="Arial"/>
          <w:sz w:val="16"/>
          <w:szCs w:val="16"/>
          <w:color w:val="auto"/>
        </w:rPr>
        <w:t>On August 31, 2018, in connection with the consummation of the Company Securities Transaction, the Issuer entered into a Voting and Governance Agreement with Clearway Energy Group (the “</w:t>
      </w:r>
      <w:r>
        <w:rPr>
          <w:rFonts w:ascii="Arial" w:cs="Arial" w:eastAsia="Arial" w:hAnsi="Arial"/>
          <w:sz w:val="16"/>
          <w:szCs w:val="16"/>
          <w:u w:val="single" w:color="auto"/>
          <w:color w:val="auto"/>
        </w:rPr>
        <w:t>Voting and Governance Agreement</w:t>
      </w:r>
      <w:r>
        <w:rPr>
          <w:rFonts w:ascii="Arial" w:cs="Arial" w:eastAsia="Arial" w:hAnsi="Arial"/>
          <w:sz w:val="16"/>
          <w:szCs w:val="16"/>
          <w:color w:val="auto"/>
        </w:rPr>
        <w:t>”) relating to certain governance matters of the Issuer, including the</w:t>
      </w:r>
    </w:p>
    <w:p>
      <w:pPr>
        <w:sectPr>
          <w:pgSz w:w="11900" w:h="16838" w:orient="portrait"/>
          <w:cols w:equalWidth="0" w:num="1">
            <w:col w:w="11380"/>
          </w:cols>
          <w:pgMar w:left="240" w:top="125" w:right="279" w:bottom="0"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t>composition of the board of directors of the Issuer (the “</w:t>
      </w:r>
      <w:r>
        <w:rPr>
          <w:rFonts w:ascii="Arial" w:cs="Arial" w:eastAsia="Arial" w:hAnsi="Arial"/>
          <w:sz w:val="18"/>
          <w:szCs w:val="18"/>
          <w:u w:val="single" w:color="auto"/>
          <w:color w:val="auto"/>
        </w:rPr>
        <w:t>Board</w:t>
      </w:r>
      <w:r>
        <w:rPr>
          <w:rFonts w:ascii="Arial" w:cs="Arial" w:eastAsia="Arial" w:hAnsi="Arial"/>
          <w:sz w:val="18"/>
          <w:szCs w:val="18"/>
          <w:color w:val="auto"/>
        </w:rPr>
        <w:t>”), implementation of a proposal for an amendment of the Restated Certificate of Incorporation of the Issuer (the “</w:t>
      </w:r>
      <w:r>
        <w:rPr>
          <w:rFonts w:ascii="Arial" w:cs="Arial" w:eastAsia="Arial" w:hAnsi="Arial"/>
          <w:sz w:val="18"/>
          <w:szCs w:val="18"/>
          <w:u w:val="single" w:color="auto"/>
          <w:color w:val="auto"/>
        </w:rPr>
        <w:t>Charter</w:t>
      </w:r>
      <w:r>
        <w:rPr>
          <w:rFonts w:ascii="Arial" w:cs="Arial" w:eastAsia="Arial" w:hAnsi="Arial"/>
          <w:sz w:val="18"/>
          <w:szCs w:val="18"/>
          <w:color w:val="auto"/>
        </w:rPr>
        <w:t>”) to stagger the Board and employment status of the CEO of the Issuer.</w:t>
      </w:r>
    </w:p>
    <w:p>
      <w:pPr>
        <w:spacing w:after="0" w:line="170" w:lineRule="exact"/>
        <w:rPr>
          <w:sz w:val="20"/>
          <w:szCs w:val="20"/>
          <w:color w:val="auto"/>
        </w:rPr>
      </w:pPr>
    </w:p>
    <w:p>
      <w:pPr>
        <w:ind w:right="80" w:firstLine="654"/>
        <w:spacing w:after="0" w:line="264" w:lineRule="auto"/>
        <w:rPr>
          <w:sz w:val="20"/>
          <w:szCs w:val="20"/>
          <w:color w:val="auto"/>
        </w:rPr>
      </w:pPr>
      <w:r>
        <w:rPr>
          <w:rFonts w:ascii="Arial" w:cs="Arial" w:eastAsia="Arial" w:hAnsi="Arial"/>
          <w:sz w:val="18"/>
          <w:szCs w:val="18"/>
          <w:color w:val="auto"/>
        </w:rPr>
        <w:t>Pursuant to the terms of the Voting and Governance Agreement, upon closing of the Company Securities Transaction, Clearway Energy Group shall have the right to designate five of the nine members of the Board. As of the date hereof, Clearway Energy Group has designated Messrs. Nathaniel Anschuetz, Jonathan Bram, Bruce MacLennan, E. Stanley O’Neal and Scott Stanley as directors.</w:t>
      </w:r>
    </w:p>
    <w:p>
      <w:pPr>
        <w:spacing w:after="0" w:line="181" w:lineRule="exact"/>
        <w:rPr>
          <w:sz w:val="20"/>
          <w:szCs w:val="20"/>
          <w:color w:val="auto"/>
        </w:rPr>
      </w:pPr>
    </w:p>
    <w:p>
      <w:pPr>
        <w:ind w:right="520" w:firstLine="654"/>
        <w:spacing w:after="0" w:line="277" w:lineRule="auto"/>
        <w:rPr>
          <w:sz w:val="20"/>
          <w:szCs w:val="20"/>
          <w:color w:val="auto"/>
        </w:rPr>
      </w:pPr>
      <w:r>
        <w:rPr>
          <w:rFonts w:ascii="Arial" w:cs="Arial" w:eastAsia="Arial" w:hAnsi="Arial"/>
          <w:sz w:val="18"/>
          <w:szCs w:val="18"/>
          <w:color w:val="auto"/>
        </w:rPr>
        <w:t>The Voting and Governance Agreement shall terminate upon the Reporting Persons and their affiliates (excluding the Issuer and its controlled companies) owning less than 50% of the voting interest of the Issuer.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Liability Company Agreement</w:t>
      </w:r>
    </w:p>
    <w:p>
      <w:pPr>
        <w:spacing w:after="0" w:line="225" w:lineRule="exact"/>
        <w:rPr>
          <w:sz w:val="20"/>
          <w:szCs w:val="20"/>
          <w:color w:val="auto"/>
        </w:rPr>
      </w:pPr>
    </w:p>
    <w:p>
      <w:pPr>
        <w:ind w:right="420" w:firstLine="654"/>
        <w:spacing w:after="0" w:line="264" w:lineRule="auto"/>
        <w:rPr>
          <w:sz w:val="20"/>
          <w:szCs w:val="20"/>
          <w:color w:val="auto"/>
        </w:rPr>
      </w:pPr>
      <w:r>
        <w:rPr>
          <w:rFonts w:ascii="Arial" w:cs="Arial" w:eastAsia="Arial" w:hAnsi="Arial"/>
          <w:sz w:val="18"/>
          <w:szCs w:val="18"/>
          <w:color w:val="auto"/>
        </w:rPr>
        <w:t>On August 31, 2018, the Issuer entered into the Fourth Amended and Restated Limited Liability Company Agreement of Clearway LLC with Clearway Energy Group (the “</w:t>
      </w:r>
      <w:r>
        <w:rPr>
          <w:rFonts w:ascii="Arial" w:cs="Arial" w:eastAsia="Arial" w:hAnsi="Arial"/>
          <w:sz w:val="18"/>
          <w:szCs w:val="18"/>
          <w:u w:val="single" w:color="auto"/>
          <w:color w:val="auto"/>
        </w:rPr>
        <w:t>Fourth Amended and Restated Limited Liability Company Agreement</w:t>
      </w:r>
      <w:r>
        <w:rPr>
          <w:rFonts w:ascii="Arial" w:cs="Arial" w:eastAsia="Arial" w:hAnsi="Arial"/>
          <w:sz w:val="18"/>
          <w:szCs w:val="18"/>
          <w:color w:val="auto"/>
        </w:rPr>
        <w:t>”), which sets forth the rights and obligations of the Issuer, as managing member, and Clearway Energy Group, as member, of Clearway LLC.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August 31, 2018, the rights and obligations of NRG under the Amended and Restated Exchange Agreement dated as of May 14, 2015, among the Issuer, Clearway LLC and the other parties thereto (the “</w:t>
      </w:r>
      <w:r>
        <w:rPr>
          <w:rFonts w:ascii="Arial" w:cs="Arial" w:eastAsia="Arial" w:hAnsi="Arial"/>
          <w:sz w:val="16"/>
          <w:szCs w:val="16"/>
          <w:u w:val="single" w:color="auto"/>
          <w:color w:val="auto"/>
        </w:rPr>
        <w:t>Exchange Agreement</w:t>
      </w:r>
      <w:r>
        <w:rPr>
          <w:rFonts w:ascii="Arial" w:cs="Arial" w:eastAsia="Arial" w:hAnsi="Arial"/>
          <w:sz w:val="16"/>
          <w:szCs w:val="16"/>
          <w:color w:val="auto"/>
        </w:rPr>
        <w:t>”), were assigned to Clearway Energy Group in connection with the closing of the transactions contemplated by the Purchase and Sale Agreement. Pursuant to the Exchange Agreement, each Class B Unit is exchangeable at any time for shares of Class A Common Stock, and each Class D Unit is exchangeable at any time for shares of Class C Common Stock, in each case, on a one-for-one basis, subject to equitable adjustments for stock splits, stock dividends and reclassifications. As the holder exchanges the Class B Units for shares of Class A Common Stock, and exchanges of Class D Units for shares of Class C Common Stock, in each case, pursuant to the Exchange Agreement, an equivalent number of shares of Class B Common Stock and Class D Common Stock issued to the holder will automatically be cancelled, as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firstLine="654"/>
        <w:spacing w:after="0" w:line="257" w:lineRule="auto"/>
        <w:rPr>
          <w:sz w:val="20"/>
          <w:szCs w:val="20"/>
          <w:color w:val="auto"/>
        </w:rPr>
      </w:pPr>
      <w:r>
        <w:rPr>
          <w:rFonts w:ascii="Arial" w:cs="Arial" w:eastAsia="Arial" w:hAnsi="Arial"/>
          <w:sz w:val="18"/>
          <w:szCs w:val="18"/>
          <w:color w:val="auto"/>
        </w:rPr>
        <w:t xml:space="preserve">On August 31, 2018, the </w:t>
      </w:r>
      <w:r>
        <w:rPr>
          <w:rFonts w:ascii="Arial" w:cs="Arial" w:eastAsia="Arial" w:hAnsi="Arial"/>
          <w:sz w:val="17"/>
          <w:szCs w:val="17"/>
          <w:color w:val="auto"/>
        </w:rPr>
        <w:t>rights and obligations of NRG under the Registration Rights Agreement dated as of July 22, 2013 between NRG and the Issuer</w:t>
      </w:r>
      <w:r>
        <w:rPr>
          <w:rFonts w:ascii="Arial" w:cs="Arial" w:eastAsia="Arial" w:hAnsi="Arial"/>
          <w:sz w:val="18"/>
          <w:szCs w:val="18"/>
          <w:color w:val="auto"/>
        </w:rPr>
        <w:t xml:space="preserve"> </w:t>
      </w:r>
      <w:r>
        <w:rPr>
          <w:rFonts w:ascii="Arial" w:cs="Arial" w:eastAsia="Arial" w:hAnsi="Arial"/>
          <w:sz w:val="17"/>
          <w:szCs w:val="17"/>
          <w:color w:val="auto"/>
        </w:rPr>
        <w:t xml:space="preserve">(the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xml:space="preserve">”) were assigned to </w:t>
      </w:r>
      <w:r>
        <w:rPr>
          <w:rFonts w:ascii="Arial" w:cs="Arial" w:eastAsia="Arial" w:hAnsi="Arial"/>
          <w:sz w:val="18"/>
          <w:szCs w:val="18"/>
          <w:color w:val="auto"/>
        </w:rPr>
        <w:t>Clearway Energy Group in connection with the closing of the transactions contemplated by the</w:t>
      </w:r>
      <w:r>
        <w:rPr>
          <w:rFonts w:ascii="Arial" w:cs="Arial" w:eastAsia="Arial" w:hAnsi="Arial"/>
          <w:sz w:val="17"/>
          <w:szCs w:val="17"/>
          <w:color w:val="auto"/>
        </w:rPr>
        <w:t xml:space="preserve"> </w:t>
      </w:r>
      <w:r>
        <w:rPr>
          <w:rFonts w:ascii="Arial" w:cs="Arial" w:eastAsia="Arial" w:hAnsi="Arial"/>
          <w:sz w:val="18"/>
          <w:szCs w:val="18"/>
          <w:color w:val="auto"/>
        </w:rPr>
        <w:t>Purchase and Sale Agreement. Pursuant to the Registration Rights Agreement, Clearway Energy Group and its affiliates are entitled to demand registration rights, including the right to demand that a shelf registration statement be filed, and “piggyback” registration rights, for shares of Class A Common Stock issuable upon exchange of Class B Units held by such persons.</w:t>
      </w:r>
    </w:p>
    <w:p>
      <w:pPr>
        <w:spacing w:after="0" w:line="188" w:lineRule="exact"/>
        <w:rPr>
          <w:sz w:val="20"/>
          <w:szCs w:val="20"/>
          <w:color w:val="auto"/>
        </w:rPr>
      </w:pPr>
    </w:p>
    <w:p>
      <w:pPr>
        <w:ind w:right="140" w:firstLine="654"/>
        <w:spacing w:after="0" w:line="259" w:lineRule="auto"/>
        <w:rPr>
          <w:sz w:val="20"/>
          <w:szCs w:val="20"/>
          <w:color w:val="auto"/>
        </w:rPr>
      </w:pPr>
      <w:r>
        <w:rPr>
          <w:rFonts w:ascii="Arial" w:cs="Arial" w:eastAsia="Arial" w:hAnsi="Arial"/>
          <w:sz w:val="18"/>
          <w:szCs w:val="18"/>
          <w:color w:val="auto"/>
        </w:rPr>
        <w:t>The foregoing descriptions of the NYLD MSA, Clearway Energy Group MSA, ROFO Agreement, Voting and Governance Agreement, Fourth Amended and Restated Limited Liability Company Agreement, Exchange Agreement and Registration Rights Agreement do not purport to be complete and are subject to, and qualified in their entirety by, the full text of such agreements, which are attached as exhibits to this Schedule 13D and are incorporated herein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Reporting Persons acquired the securities described in this Schedule 13D for investment purposes and intend to review their investments in the Issuer on a continuing basis. Any actions the Reporting Persons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pacing w:after="0" w:line="17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Reporting Persons may acquire additional securities of the Issuer, or retain or sell all or a portion of the securities then held, in the open market or in privately negotiated transactions, including in connection with grants under Clearway Energy Group’s LTIP (as described below). In addition, the Reporting Persons and their designees to the Board may engage in discussions with management, the Board, and security holders of the Issuer and other relevant parties or encourage, cause or seek to cause the Issuer or such persons to consider or explore extraordinary corporate transactions, such as: a merger, reorganization or other transaction that could result in the de-listing or de-registration of the Class A Common Stock and/or Class C Common Stock; sales or acquisitions of assets or businesses; changes to the capitalization or distribution policy of the Issuer; or other material changes to the Issuer’s business or corporate structure, including changes in management or the composition of the Board. There can be no assurance, however, that any Reporting Person will propose such a transaction, that any proposed transaction would receive the requisite approvals from the respective governing bodies and unitholders, as applicable, or that any such transaction would be successfully implemented.</w:t>
      </w:r>
    </w:p>
    <w:p>
      <w:pPr>
        <w:spacing w:after="0" w:line="18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aggregate number and percentage of shares of Class A Common Stock and Class C Common Stock beneficially owned by each Reporting Person and, for each Reporting Person, the number of shares as to which there is sole power to vote or to direct the vote, shared power to vote or to direct the</w:t>
      </w:r>
    </w:p>
    <w:p>
      <w:pPr>
        <w:sectPr>
          <w:pgSz w:w="11900" w:h="16838" w:orient="portrait"/>
          <w:cols w:equalWidth="0" w:num="1">
            <w:col w:w="11400"/>
          </w:cols>
          <w:pgMar w:left="240" w:top="125" w:right="259" w:bottom="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vote, sole power to dispose or to direct the disposition, or shared power to dispose or to direct the disposition are set forth on rows 7 through 11 and row 13 of the cover pages of the Schedule 13D and are incorporated herein by reference.</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Calculations of the percentage of shares of stock beneficially owned assumes that there are a total of 34,586,250 shares of Class A Common Stock and 69,129,643 shares of Class C Common Stock, respectively, outstanding as of July 31, 2018, as reported in the Issuer’s Quarterly Report on Form 10-Q filed with the Securities and Exchange Commission on August 2, 2018, and take into account the number of Class B Units and Class D Units beneficially owned by the Reporting Persons, as applicable.</w:t>
      </w:r>
    </w:p>
    <w:p>
      <w:pPr>
        <w:spacing w:after="0" w:line="187" w:lineRule="exact"/>
        <w:rPr>
          <w:sz w:val="20"/>
          <w:szCs w:val="20"/>
          <w:color w:val="auto"/>
        </w:rPr>
      </w:pPr>
    </w:p>
    <w:p>
      <w:pPr>
        <w:ind w:right="40" w:firstLine="648"/>
        <w:spacing w:after="0" w:line="294" w:lineRule="auto"/>
        <w:rPr>
          <w:sz w:val="20"/>
          <w:szCs w:val="20"/>
          <w:color w:val="auto"/>
        </w:rPr>
      </w:pPr>
      <w:r>
        <w:rPr>
          <w:rFonts w:ascii="Arial" w:cs="Arial" w:eastAsia="Arial" w:hAnsi="Arial"/>
          <w:sz w:val="17"/>
          <w:szCs w:val="17"/>
          <w:color w:val="auto"/>
        </w:rPr>
        <w:t xml:space="preserve">Clearway Energy Group </w:t>
      </w:r>
      <w:r>
        <w:rPr>
          <w:rFonts w:ascii="Arial" w:cs="Arial" w:eastAsia="Arial" w:hAnsi="Arial"/>
          <w:sz w:val="16"/>
          <w:szCs w:val="16"/>
          <w:color w:val="auto"/>
        </w:rPr>
        <w:t>is the record holder of 42,738,750 Class B Units and 42,738,750 Class D Units. Pursuant to the terms of the Exchange</w:t>
      </w:r>
      <w:r>
        <w:rPr>
          <w:rFonts w:ascii="Arial" w:cs="Arial" w:eastAsia="Arial" w:hAnsi="Arial"/>
          <w:sz w:val="17"/>
          <w:szCs w:val="17"/>
          <w:color w:val="auto"/>
        </w:rPr>
        <w:t xml:space="preserve"> </w:t>
      </w:r>
      <w:r>
        <w:rPr>
          <w:rFonts w:ascii="Arial" w:cs="Arial" w:eastAsia="Arial" w:hAnsi="Arial"/>
          <w:sz w:val="16"/>
          <w:szCs w:val="16"/>
          <w:color w:val="auto"/>
        </w:rPr>
        <w:t>Agreement, each Class B Unit is exchangeable at any time for shares of Class A Common Stock, and each Class D Unit is exchangeable at any time for shares of Class C Common Stock, in each case, on a one-for-one basis, subject to equitable adjustments for stock splits, stock dividends and reclassifications.</w:t>
      </w:r>
    </w:p>
    <w:p>
      <w:pPr>
        <w:spacing w:after="0" w:line="16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Global Investors is the sole general partner of Global GP, which is the general partner of GIP, which is the general partner of Clearway Energy Group. As a result, each of Global Investors, Global GP and GIP may be deemed to share beneficial ownership of the Class A Common Stock and Class C Common Stock beneficially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Class A Common Stock and Class C Common Stock beneficially owned by Global Investors. Such individuals expressly disclaim any such beneficial ownership.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 of the Related Persons beneficially owns any shares of Class A Common Stock or Class C Common Stock.</w:t>
      </w:r>
    </w:p>
    <w:p>
      <w:pPr>
        <w:spacing w:after="0" w:line="225" w:lineRule="exact"/>
        <w:rPr>
          <w:sz w:val="20"/>
          <w:szCs w:val="20"/>
          <w:color w:val="auto"/>
        </w:rPr>
      </w:pPr>
    </w:p>
    <w:p>
      <w:pPr>
        <w:ind w:left="660" w:right="80" w:hanging="652"/>
        <w:spacing w:after="0" w:line="277" w:lineRule="auto"/>
        <w:tabs>
          <w:tab w:leader="none" w:pos="6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described in this Schedule 13D, during the past 60 days none of the Reporting Persons or Related Persons has effected any transactions in Class A Common Stock or Class C Common Stock.</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 Items 3 and 6 of this Schedule 13D is incorporated herein by reference.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Immediately following the closing of the transactions contemplated by the Purchase and Sale Agreement, Clearway Energy Group, as the Borrower, GIP and NRG Renew Operation &amp; Maintenance LLC (“RENOM”), each as Guarantors, entered into a Credit Agreement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with Natixis, New York Branch, as Administrative Agent and a Lender. A portion of the proceeds from the borrowings of the initial term loans under the Credit Agreement were used to make dividend payments and distributions to the holders of equity interests of Clearway Energy Group. As security for their obligations under the Credit Agreement, Clearway Energy Group, GIP and RENOM have pledged substantially all of their assets, including all of the Class B Common Stock and Class D Common Stock of the Issuer and all of the Class B Units and Class D Units of Clearway LLC.</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Following the closing of the transactions contemplated by the Purchase and Sale Agreement, Clearway Energy Group implemented its long-term incentive plan, Clearway Energy Group LLC Long Term Equity Incentive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Plan (the “</w:t>
      </w:r>
      <w:r>
        <w:rPr>
          <w:rFonts w:ascii="Arial" w:cs="Arial" w:eastAsia="Arial" w:hAnsi="Arial"/>
          <w:sz w:val="18"/>
          <w:szCs w:val="18"/>
          <w:u w:val="single" w:color="auto"/>
          <w:color w:val="auto"/>
        </w:rPr>
        <w:t>LTIP</w:t>
      </w:r>
      <w:r>
        <w:rPr>
          <w:rFonts w:ascii="Arial" w:cs="Arial" w:eastAsia="Arial" w:hAnsi="Arial"/>
          <w:sz w:val="18"/>
          <w:szCs w:val="18"/>
          <w:color w:val="auto"/>
        </w:rPr>
        <w:t>”). Pursuant to the LTIP, Clearway Energy Group expects to make grants of shares of Class A Common Stock and/or Class C Common Stock to certain of its employees.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Except as set forth herein, none of the Reporting Persons or Related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Materials to be Filed as Exhibits</w:t>
            </w:r>
          </w:p>
        </w:tc>
        <w:tc>
          <w:tcPr>
            <w:tcW w:w="0" w:type="dxa"/>
            <w:vAlign w:val="bottom"/>
          </w:tcPr>
          <w:p>
            <w:pPr>
              <w:spacing w:after="0"/>
              <w:rPr>
                <w:sz w:val="1"/>
                <w:szCs w:val="1"/>
                <w:color w:val="auto"/>
              </w:rPr>
            </w:pPr>
          </w:p>
        </w:tc>
      </w:tr>
      <w:tr>
        <w:trPr>
          <w:trHeight w:val="342"/>
        </w:trPr>
        <w:tc>
          <w:tcPr>
            <w:tcW w:w="88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5900" w:type="dxa"/>
            <w:vAlign w:val="bottom"/>
            <w:vMerge w:val="restart"/>
          </w:tcPr>
          <w:p>
            <w:pPr>
              <w:ind w:left="518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880" w:type="dxa"/>
            <w:vAlign w:val="bottom"/>
          </w:tcPr>
          <w:p>
            <w:pPr>
              <w:ind w:left="340"/>
              <w:spacing w:after="0"/>
              <w:rPr>
                <w:sz w:val="20"/>
                <w:szCs w:val="20"/>
                <w:color w:val="auto"/>
              </w:rPr>
            </w:pPr>
            <w:r>
              <w:rPr>
                <w:rFonts w:ascii="Arial" w:cs="Arial" w:eastAsia="Arial" w:hAnsi="Arial"/>
                <w:sz w:val="14"/>
                <w:szCs w:val="14"/>
                <w:b w:val="1"/>
                <w:bCs w:val="1"/>
                <w:color w:val="auto"/>
                <w:w w:val="98"/>
              </w:rPr>
              <w:t>Number</w:t>
            </w:r>
          </w:p>
        </w:tc>
        <w:tc>
          <w:tcPr>
            <w:tcW w:w="5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-8890</wp:posOffset>
            </wp:positionV>
            <wp:extent cx="69551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ind w:left="1560" w:hanging="1228"/>
        <w:spacing w:after="0"/>
        <w:tabs>
          <w:tab w:leader="none" w:pos="1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09" w:lineRule="exact"/>
        <w:rPr>
          <w:sz w:val="20"/>
          <w:szCs w:val="20"/>
          <w:color w:val="auto"/>
        </w:rPr>
      </w:pPr>
    </w:p>
    <w:p>
      <w:pPr>
        <w:ind w:left="1560" w:right="100" w:hanging="1228"/>
        <w:spacing w:after="0" w:line="264" w:lineRule="auto"/>
        <w:tabs>
          <w:tab w:leader="none" w:pos="1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Purchase and Sale Agreement, dated February 6, 2018, by and among NRG Energy, Inc., NRG Repowering Holdings LLC and GIP III Zephyr Acquisition Partners, L.P. (incorporated by reference to Exhibit 2.9 to the Annual Report on Form 10-K of NRG Energy, Inc. for the year ended December 31, 2017 filed on March 1, 2018).</w:t>
      </w:r>
    </w:p>
    <w:p>
      <w:pPr>
        <w:spacing w:after="0" w:line="181" w:lineRule="exact"/>
        <w:rPr>
          <w:sz w:val="20"/>
          <w:szCs w:val="20"/>
          <w:color w:val="auto"/>
        </w:rPr>
      </w:pPr>
    </w:p>
    <w:p>
      <w:pPr>
        <w:ind w:left="1560" w:right="160" w:hanging="1228"/>
        <w:spacing w:after="0" w:line="259" w:lineRule="auto"/>
        <w:tabs>
          <w:tab w:leader="none" w:pos="1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Master Services Agreement, dated as of August 31, 2018, by and among Clearway Energy, Inc. (formerly known as NRG Yield, Inc.), Clearway Energy LLC (formerly known as NRG Yield LLC), Clearway Energy Operating LLC (formerly known as NRG Yield Operating LLC) and Clearway Energy Group LLC (formerly known as Zephyr Renewables LLC) (incorporated by reference to Exhibit 10.1 to the Issuer’s Current Report on Form 8-K filed on September 5, 2018).</w:t>
      </w:r>
    </w:p>
    <w:p>
      <w:pPr>
        <w:spacing w:after="0" w:line="187" w:lineRule="exact"/>
        <w:rPr>
          <w:sz w:val="20"/>
          <w:szCs w:val="20"/>
          <w:color w:val="auto"/>
        </w:rPr>
      </w:pPr>
    </w:p>
    <w:p>
      <w:pPr>
        <w:ind w:left="1560" w:right="160" w:hanging="1228"/>
        <w:spacing w:after="0" w:line="259" w:lineRule="auto"/>
        <w:tabs>
          <w:tab w:leader="none" w:pos="1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Master Services Agreement, dated as of August 31, 2018, by and among Clearway Energy, Inc. (formerly known as NRG Yield, Inc.), Clearway Energy LLC (formerly known as NRG Yield LLC), Clearway Energy Operating LLC (formerly known as NRG Yield Operating LLC) and Clearway Energy Group LLC (formerly known as Zephyr Renewables LLC) (incorporated by reference to Exhibit 10.2 to the Issuer’s Current Report on Form 8-K filed on September 5, 2018).</w:t>
      </w:r>
    </w:p>
    <w:p>
      <w:pPr>
        <w:spacing w:after="0" w:line="187" w:lineRule="exact"/>
        <w:rPr>
          <w:sz w:val="20"/>
          <w:szCs w:val="20"/>
          <w:color w:val="auto"/>
        </w:rPr>
      </w:pPr>
    </w:p>
    <w:p>
      <w:pPr>
        <w:ind w:left="1560" w:hanging="1228"/>
        <w:spacing w:after="0"/>
        <w:tabs>
          <w:tab w:leader="none" w:pos="15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Right of First Offer Agreement, dated as of August 31, 2018, by and among Clearway Energy, Inc. (formerly known as NRG</w:t>
      </w:r>
    </w:p>
    <w:p>
      <w:pPr>
        <w:spacing w:after="0" w:line="34" w:lineRule="exact"/>
        <w:rPr>
          <w:rFonts w:ascii="Arial" w:cs="Arial" w:eastAsia="Arial" w:hAnsi="Arial"/>
          <w:sz w:val="17"/>
          <w:szCs w:val="17"/>
          <w:color w:val="auto"/>
        </w:rPr>
      </w:pPr>
    </w:p>
    <w:p>
      <w:pPr>
        <w:ind w:left="1560"/>
        <w:spacing w:after="0"/>
        <w:rPr>
          <w:rFonts w:ascii="Arial" w:cs="Arial" w:eastAsia="Arial" w:hAnsi="Arial"/>
          <w:sz w:val="17"/>
          <w:szCs w:val="17"/>
          <w:color w:val="auto"/>
        </w:rPr>
      </w:pPr>
      <w:r>
        <w:rPr>
          <w:rFonts w:ascii="Arial" w:cs="Arial" w:eastAsia="Arial" w:hAnsi="Arial"/>
          <w:sz w:val="17"/>
          <w:szCs w:val="17"/>
          <w:color w:val="auto"/>
        </w:rPr>
        <w:t>Yield, Inc.), Clearway Energy Group LLC (formerly known as Zephyr Renewables LLC) and solely for purposes of Section 2.4, GIP</w:t>
      </w:r>
    </w:p>
    <w:p>
      <w:pPr>
        <w:sectPr>
          <w:pgSz w:w="11900" w:h="16838" w:orient="portrait"/>
          <w:cols w:equalWidth="0" w:num="1">
            <w:col w:w="11380"/>
          </w:cols>
          <w:pgMar w:left="240" w:top="125" w:right="279" w:bottom="0" w:gutter="0" w:footer="0" w:header="0"/>
        </w:sectPr>
      </w:pPr>
    </w:p>
    <w:bookmarkStart w:id="8" w:name="page9"/>
    <w:bookmarkEnd w:id="8"/>
    <w:p>
      <w:pPr>
        <w:ind w:left="1560" w:right="420" w:firstLine="1"/>
        <w:spacing w:after="0" w:line="277" w:lineRule="auto"/>
        <w:tabs>
          <w:tab w:leader="none" w:pos="17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Zephyr Acquisition Partners, L.P. (incorporated by reference to Exhibit 10.3 to the Issuer’s Current Report on Form 8-K filed on September 5, 2018).</w:t>
      </w:r>
    </w:p>
    <w:p>
      <w:pPr>
        <w:spacing w:after="0" w:line="170" w:lineRule="exact"/>
        <w:rPr>
          <w:sz w:val="20"/>
          <w:szCs w:val="20"/>
          <w:color w:val="auto"/>
        </w:rPr>
      </w:pPr>
    </w:p>
    <w:p>
      <w:pPr>
        <w:ind w:left="1560" w:right="480" w:hanging="1228"/>
        <w:spacing w:after="0" w:line="264" w:lineRule="auto"/>
        <w:tabs>
          <w:tab w:leader="none" w:pos="1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Voting and Governance Agreement, dated as of August 31, 2018, by and between Clearway Energy, Inc. (formerly known as NRG Yield, Inc.) and Clearway Energy Group LLC (formerly known as Zephyr Renewables LLC) (incorporated by reference to Exhibit 10.4 to the Issuer’s Current Report on Form 8-K filed on September 5, 2018).</w:t>
      </w:r>
    </w:p>
    <w:p>
      <w:pPr>
        <w:spacing w:after="0" w:line="181" w:lineRule="exact"/>
        <w:rPr>
          <w:sz w:val="20"/>
          <w:szCs w:val="20"/>
          <w:color w:val="auto"/>
        </w:rPr>
      </w:pPr>
    </w:p>
    <w:p>
      <w:pPr>
        <w:ind w:left="1560" w:right="380" w:hanging="1228"/>
        <w:spacing w:after="0" w:line="259" w:lineRule="auto"/>
        <w:tabs>
          <w:tab w:leader="none" w:pos="1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Fourth Amended and Restated Limited Liability Company Agreement of Clearway Energy LLC (formerly known as NRG Yield LLC), dated as of August 31, 2018, by and between Clearway Energy, Inc. (formerly known as NRG Yield, Inc.) and Clearway Energy Group LLC (formerly known as Zephyr Renewables LLC) (incorporated by reference to Exhibit 10.6 to the Issuer’s Current Report on Form 8-K filed on September 5, 2018).</w:t>
      </w:r>
    </w:p>
    <w:p>
      <w:pPr>
        <w:spacing w:after="0" w:line="187" w:lineRule="exact"/>
        <w:rPr>
          <w:sz w:val="20"/>
          <w:szCs w:val="20"/>
          <w:color w:val="auto"/>
        </w:rPr>
      </w:pPr>
    </w:p>
    <w:p>
      <w:pPr>
        <w:ind w:left="1560" w:right="300" w:hanging="1228"/>
        <w:spacing w:after="0" w:line="264" w:lineRule="auto"/>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Amended and Restated Exchange Agreement, dated as of May 14, 2015, by and among NRG Energy, Inc., Clearway Energy, Inc. (formerly known as NRG Yield, Inc.) and Clearway Energy LLC (formerly known as NRG Yield LLC) (incorporated by reference to Exhibit 4.3 of the Issuer’s Current Report on Form 8-K filed on May 15, 2015).</w:t>
      </w:r>
    </w:p>
    <w:p>
      <w:pPr>
        <w:spacing w:after="0" w:line="181" w:lineRule="exact"/>
        <w:rPr>
          <w:sz w:val="20"/>
          <w:szCs w:val="20"/>
          <w:color w:val="auto"/>
        </w:rPr>
      </w:pPr>
    </w:p>
    <w:p>
      <w:pPr>
        <w:jc w:val="both"/>
        <w:ind w:left="1560" w:right="460" w:hanging="1228"/>
        <w:spacing w:after="0" w:line="264" w:lineRule="auto"/>
        <w:tabs>
          <w:tab w:leader="none" w:pos="1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Registration Rights Agreement, dated as of July 22, 2013, by and between NRG Energy, Inc. and Clearway Energy LLC (formerly known as NRG Yield LLC) (incorporated by reference to Exhibit 10.1 to the Issuer’s Current Report on Form 8-K filed on July 26, 2013).</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September 10, 2018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GLOBAL INFRASTRUCTURE INVESTORS III,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Bram</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Bram</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GLOBAL INFRASTRUCTURE GP III, L.P.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Global Infrastructure Investors III, LLC, 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Bram</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Bram</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GIP III ZEPHYR ACQUISITION PARTNERS, L.P.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Global Infrastructure GP III, L.P., its general partner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Global Infrastructure Investors III, LLC, 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Bram</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Bram</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CLEARWAY ENERGY GROUP </w:t>
      </w:r>
      <w:r>
        <w:rPr>
          <w:rFonts w:ascii="Arial" w:cs="Arial" w:eastAsia="Arial" w:hAnsi="Arial"/>
          <w:sz w:val="17"/>
          <w:szCs w:val="17"/>
          <w:b w:val="1"/>
          <w:bCs w:val="1"/>
          <w:color w:val="auto"/>
        </w:rPr>
        <w:t>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Cornelius</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Craig Cornelius</w:t>
            </w:r>
          </w:p>
        </w:tc>
        <w:tc>
          <w:tcPr>
            <w:tcW w:w="40" w:type="dxa"/>
            <w:vAlign w:val="bottom"/>
          </w:tcPr>
          <w:p>
            <w:pPr>
              <w:spacing w:after="0"/>
              <w:rPr>
                <w:sz w:val="16"/>
                <w:szCs w:val="16"/>
                <w:color w:val="auto"/>
              </w:rPr>
            </w:pPr>
          </w:p>
        </w:tc>
      </w:tr>
      <w:tr>
        <w:trPr>
          <w:trHeight w:val="230"/>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590"/>
              <w:spacing w:after="0"/>
              <w:rPr>
                <w:sz w:val="20"/>
                <w:szCs w:val="20"/>
                <w:color w:val="auto"/>
              </w:rPr>
            </w:pPr>
            <w:r>
              <w:rPr>
                <w:rFonts w:ascii="Arial" w:cs="Arial" w:eastAsia="Arial" w:hAnsi="Arial"/>
                <w:sz w:val="18"/>
                <w:szCs w:val="18"/>
                <w:color w:val="auto"/>
              </w:rPr>
              <w:t>10</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The name, present principal occupation or employment and citizenship of each of the executive officers and directors of Global Infrastructure Investors III, LLC and Clearway Energy Group LLC are set forth below. Unless otherwise noted, the business address of each individual affiliated with</w:t>
      </w:r>
    </w:p>
    <w:p>
      <w:pPr>
        <w:sectPr>
          <w:pgSz w:w="11900" w:h="16838" w:orient="portrait"/>
          <w:cols w:equalWidth="0" w:num="1">
            <w:col w:w="11460"/>
          </w:cols>
          <w:pgMar w:left="240" w:top="125" w:right="199" w:bottom="0" w:gutter="0" w:footer="0" w:header="0"/>
        </w:sectPr>
      </w:pPr>
    </w:p>
    <w:bookmarkStart w:id="9" w:name="page10"/>
    <w:bookmarkEnd w:id="9"/>
    <w:p>
      <w:pPr>
        <w:ind w:right="440"/>
        <w:spacing w:after="0" w:line="277" w:lineRule="auto"/>
        <w:rPr>
          <w:sz w:val="20"/>
          <w:szCs w:val="20"/>
          <w:color w:val="auto"/>
        </w:rPr>
      </w:pPr>
      <w:r>
        <w:rPr>
          <w:rFonts w:ascii="Arial" w:cs="Arial" w:eastAsia="Arial" w:hAnsi="Arial"/>
          <w:sz w:val="18"/>
          <w:szCs w:val="18"/>
          <w:color w:val="auto"/>
        </w:rPr>
        <w:t>Global Infrastructure Investors III, LLC is c/o Global Infrastructure Management, LLC, 1345 Avenue of the Americas, 30th Floor, New York, New York 10105.</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Global Infrastructure Investors III, LLC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spacing w:after="0"/>
              <w:rPr>
                <w:sz w:val="14"/>
                <w:szCs w:val="14"/>
                <w:color w:val="auto"/>
              </w:rPr>
            </w:pPr>
          </w:p>
        </w:tc>
        <w:tc>
          <w:tcPr>
            <w:tcW w:w="45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3"/>
              </w:rPr>
              <w:t>Present Principal Occupation or</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Citizenship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1920" w:type="dxa"/>
            <w:vAlign w:val="bottom"/>
          </w:tcPr>
          <w:p>
            <w:pPr>
              <w:spacing w:after="0"/>
              <w:rPr>
                <w:sz w:val="14"/>
                <w:szCs w:val="14"/>
                <w:color w:val="auto"/>
              </w:rPr>
            </w:pPr>
          </w:p>
        </w:tc>
        <w:tc>
          <w:tcPr>
            <w:tcW w:w="458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95"/>
              </w:rPr>
              <w:t>Employment</w:t>
            </w:r>
          </w:p>
        </w:tc>
        <w:tc>
          <w:tcPr>
            <w:tcW w:w="22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Adebayo Ogunlesi</w:t>
            </w:r>
          </w:p>
        </w:tc>
        <w:tc>
          <w:tcPr>
            <w:tcW w:w="22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Managing Partner / Founding Partner of Global Infrastructure Partners</w:t>
            </w: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Joseph Blum</w:t>
            </w:r>
          </w:p>
        </w:tc>
        <w:tc>
          <w:tcPr>
            <w:tcW w:w="6500" w:type="dxa"/>
            <w:vAlign w:val="bottom"/>
            <w:gridSpan w:val="4"/>
          </w:tcPr>
          <w:p>
            <w:pPr>
              <w:jc w:val="center"/>
              <w:ind w:right="200"/>
              <w:spacing w:after="0"/>
              <w:rPr>
                <w:sz w:val="20"/>
                <w:szCs w:val="20"/>
                <w:color w:val="auto"/>
              </w:rPr>
            </w:pPr>
            <w:r>
              <w:rPr>
                <w:rFonts w:ascii="Arial" w:cs="Arial" w:eastAsia="Arial" w:hAnsi="Arial"/>
                <w:sz w:val="18"/>
                <w:szCs w:val="18"/>
                <w:color w:val="auto"/>
                <w:w w:val="91"/>
              </w:rPr>
              <w:t>General Counsel and Chief Compliance Officer of Global Infrastructure Partners</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Bram</w:t>
            </w:r>
          </w:p>
        </w:tc>
        <w:tc>
          <w:tcPr>
            <w:tcW w:w="65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0"/>
              </w:rPr>
              <w:t>Founding Partner of Global Infrastructure Partners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William Brilliant</w:t>
            </w:r>
          </w:p>
        </w:tc>
        <w:tc>
          <w:tcPr>
            <w:tcW w:w="650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Partner of Global Infrastructure Partners</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Harris</w:t>
            </w:r>
          </w:p>
        </w:tc>
        <w:tc>
          <w:tcPr>
            <w:tcW w:w="65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0"/>
              </w:rPr>
              <w:t>Founding Partner of Global Infrastructure Partners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Scott Hatton</w:t>
            </w:r>
          </w:p>
        </w:tc>
        <w:tc>
          <w:tcPr>
            <w:tcW w:w="650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Partner of Global Infrastructure Partners</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McGhee</w:t>
            </w:r>
          </w:p>
        </w:tc>
        <w:tc>
          <w:tcPr>
            <w:tcW w:w="65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0"/>
              </w:rPr>
              <w:t>Founding Partner of Global Infrastructure Partners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Gary Pritchard</w:t>
            </w:r>
          </w:p>
        </w:tc>
        <w:tc>
          <w:tcPr>
            <w:tcW w:w="650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Partner of Global Infrastructure Partners</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Rajaram Rao</w:t>
            </w:r>
          </w:p>
        </w:tc>
        <w:tc>
          <w:tcPr>
            <w:tcW w:w="65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1"/>
              </w:rPr>
              <w:t>Partner of Global Infrastructure Partners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William Woodburn</w:t>
            </w:r>
          </w:p>
        </w:tc>
        <w:tc>
          <w:tcPr>
            <w:tcW w:w="65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Founding Partner of Global Infrastructure Partners</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Salim Samaha</w:t>
            </w:r>
          </w:p>
        </w:tc>
        <w:tc>
          <w:tcPr>
            <w:tcW w:w="65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1"/>
              </w:rPr>
              <w:t>Partner of Global Infrastructure Partners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Robert Stewart</w:t>
            </w:r>
          </w:p>
        </w:tc>
        <w:tc>
          <w:tcPr>
            <w:tcW w:w="650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Partner of Global Infrastructure Partners</w:t>
            </w: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Australia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Levitt</w:t>
            </w:r>
          </w:p>
        </w:tc>
        <w:tc>
          <w:tcPr>
            <w:tcW w:w="65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2"/>
              </w:rPr>
              <w:t>Chief Operating Officer of Global Infrastructure Partners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Gregg Myers</w:t>
            </w:r>
          </w:p>
        </w:tc>
        <w:tc>
          <w:tcPr>
            <w:tcW w:w="650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Managing Director of Finance and Accounting of Global Infrastructure Partners</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O’Brien</w:t>
            </w:r>
          </w:p>
        </w:tc>
        <w:tc>
          <w:tcPr>
            <w:tcW w:w="65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2"/>
              </w:rPr>
              <w:t>Chief Risk Officer of Global Infrastructure Partners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Clearway Energy Group LLC</w:t>
            </w:r>
          </w:p>
        </w:tc>
        <w:tc>
          <w:tcPr>
            <w:tcW w:w="2260" w:type="dxa"/>
            <w:vAlign w:val="bottom"/>
            <w:gridSpan w:val="2"/>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5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Present Principal Occupation or Employment</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Citizenship</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Nathaniel Anschuetz</w:t>
            </w:r>
          </w:p>
        </w:tc>
        <w:tc>
          <w:tcPr>
            <w:tcW w:w="22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Vice Principal at Global Infrastructure Partners</w:t>
            </w: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Jonathan Bram</w:t>
            </w:r>
          </w:p>
        </w:tc>
        <w:tc>
          <w:tcPr>
            <w:tcW w:w="65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Founding Partner of Global Infrastructure Partners</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Callahan</w:t>
            </w:r>
          </w:p>
        </w:tc>
        <w:tc>
          <w:tcPr>
            <w:tcW w:w="65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1"/>
              </w:rPr>
              <w:t>Operating Principal of Global Infrastructure Partners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Bruce MacLennan</w:t>
            </w:r>
          </w:p>
        </w:tc>
        <w:tc>
          <w:tcPr>
            <w:tcW w:w="6500" w:type="dxa"/>
            <w:vAlign w:val="bottom"/>
            <w:gridSpan w:val="4"/>
          </w:tcPr>
          <w:p>
            <w:pPr>
              <w:jc w:val="center"/>
              <w:ind w:right="220"/>
              <w:spacing w:after="0"/>
              <w:rPr>
                <w:sz w:val="20"/>
                <w:szCs w:val="20"/>
                <w:color w:val="auto"/>
              </w:rPr>
            </w:pPr>
            <w:r>
              <w:rPr>
                <w:rFonts w:ascii="Arial" w:cs="Arial" w:eastAsia="Arial" w:hAnsi="Arial"/>
                <w:sz w:val="18"/>
                <w:szCs w:val="18"/>
                <w:color w:val="auto"/>
                <w:w w:val="91"/>
              </w:rPr>
              <w:t>Partner of Global Infrastructure Partners</w:t>
            </w:r>
          </w:p>
        </w:tc>
        <w:tc>
          <w:tcPr>
            <w:tcW w:w="228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Stanley</w:t>
            </w:r>
          </w:p>
        </w:tc>
        <w:tc>
          <w:tcPr>
            <w:tcW w:w="65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1"/>
              </w:rPr>
              <w:t>Operating Partner of Global Infrastructure Partners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Craig Cornelius</w:t>
            </w:r>
          </w:p>
        </w:tc>
        <w:tc>
          <w:tcPr>
            <w:tcW w:w="650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Chief Executive Officer of Clearway Energy Group</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Hein</w:t>
            </w:r>
          </w:p>
        </w:tc>
        <w:tc>
          <w:tcPr>
            <w:tcW w:w="65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0"/>
              </w:rPr>
              <w:t>General Counsel of Clearway Energy Group</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color w:val="auto"/>
              </w:rPr>
              <w:t>Randy Hickok</w:t>
            </w:r>
          </w:p>
        </w:tc>
        <w:tc>
          <w:tcPr>
            <w:tcW w:w="6500" w:type="dxa"/>
            <w:vAlign w:val="bottom"/>
            <w:gridSpan w:val="4"/>
          </w:tcPr>
          <w:p>
            <w:pPr>
              <w:jc w:val="center"/>
              <w:ind w:right="220"/>
              <w:spacing w:after="0"/>
              <w:rPr>
                <w:sz w:val="20"/>
                <w:szCs w:val="20"/>
                <w:color w:val="auto"/>
              </w:rPr>
            </w:pPr>
            <w:r>
              <w:rPr>
                <w:rFonts w:ascii="Arial" w:cs="Arial" w:eastAsia="Arial" w:hAnsi="Arial"/>
                <w:sz w:val="18"/>
                <w:szCs w:val="18"/>
                <w:color w:val="auto"/>
                <w:w w:val="92"/>
              </w:rPr>
              <w:t>Chief Operating Officer of Clearway Energy Group</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gridSpan w:val="2"/>
          </w:tcPr>
          <w:p>
            <w:pPr>
              <w:jc w:val="right"/>
              <w:ind w:right="1002"/>
              <w:spacing w:after="0"/>
              <w:rPr>
                <w:sz w:val="20"/>
                <w:szCs w:val="20"/>
                <w:color w:val="auto"/>
              </w:rPr>
            </w:pPr>
            <w:r>
              <w:rPr>
                <w:rFonts w:ascii="Arial" w:cs="Arial" w:eastAsia="Arial" w:hAnsi="Arial"/>
                <w:sz w:val="18"/>
                <w:szCs w:val="18"/>
                <w:color w:val="auto"/>
              </w:rPr>
              <w:t>11</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4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0" w:name="page11"/>
    <w:bookmarkEnd w:id="10"/>
    <w:p>
      <w:pPr>
        <w:jc w:val="right"/>
        <w:ind w:right="40"/>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undersigned hereby agree that they are filing this statement jointly pursuant to Rule 13d-1(k)(1). 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7"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In accordance with Rule 13d-1(k)(1) promulgated under the Securities Exchange Act of 1934, as amended, the undersigned hereby agree to the joint filing with each other on behalf of each of them of such a statement on Schedule 13D with respect to the Class A Common Stock and Class C Common Stock of Clearway Energy, Inc. beneficially owned by each of them. This Joint Filing Agreement shall be included as an exhibit to such Schedule 13D.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hereby execute this Joint Filing Agreement as of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September, 2018.</w:t>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GLOBAL INFRASTRUCTURE INVESTORS III, LLC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Bram</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Bram</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GLOBAL INFRASTRUCTURE GP III, L.P.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Global Infrastructure Investors III, LLC, 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Bram</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Bram</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GIP III ZEPHYR ACQUISITION PARTNERS, L.P.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Global Infrastructure GP III, L.P., its general partner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Global Infrastructure Investors III, LLC, 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Bram</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Bram</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Partner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CLEARWAY ENERGY GROUP </w:t>
      </w:r>
      <w:r>
        <w:rPr>
          <w:rFonts w:ascii="Arial" w:cs="Arial" w:eastAsia="Arial" w:hAnsi="Arial"/>
          <w:sz w:val="17"/>
          <w:szCs w:val="17"/>
          <w:b w:val="1"/>
          <w:bCs w:val="1"/>
          <w:color w:val="auto"/>
        </w:rPr>
        <w:t>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Cornelius</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Craig Cornelius</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bullet"/>
      <w:start w:val="1"/>
    </w:lvl>
  </w:abstractNum>
  <w:abstractNum w:abstractNumId="2">
    <w:nsid w:val="333AB105"/>
    <w:multiLevelType w:val="hybridMultilevel"/>
    <w:lvl w:ilvl="0">
      <w:lvlJc w:val="left"/>
      <w:lvlText w:val="2"/>
      <w:numFmt w:val="bullet"/>
      <w:start w:val="1"/>
    </w:lvl>
    <w:lvl w:ilvl="1">
      <w:lvlJc w:val="left"/>
      <w:lvlText w:val="(%2)"/>
      <w:numFmt w:val="lowerLetter"/>
      <w:start w:val="1"/>
    </w:lvl>
  </w:abstractNum>
  <w:abstractNum w:abstractNumId="3">
    <w:nsid w:val="721DA317"/>
    <w:multiLevelType w:val="hybridMultilevel"/>
    <w:lvl w:ilvl="0">
      <w:lvlJc w:val="left"/>
      <w:lvlText w:val="3"/>
      <w:numFmt w:val="bullet"/>
      <w:start w:val="1"/>
    </w:lvl>
  </w:abstractNum>
  <w:abstractNum w:abstractNumId="4">
    <w:nsid w:val="2443A858"/>
    <w:multiLevelType w:val="hybridMultilevel"/>
    <w:lvl w:ilvl="0">
      <w:lvlJc w:val="left"/>
      <w:lvlText w:val="4"/>
      <w:numFmt w:val="bullet"/>
      <w:start w:val="1"/>
    </w:lvl>
  </w:abstractNum>
  <w:abstractNum w:abstractNumId="5">
    <w:nsid w:val="2D1D5AE9"/>
    <w:multiLevelType w:val="hybridMultilevel"/>
    <w:lvl w:ilvl="0">
      <w:lvlJc w:val="left"/>
      <w:lvlText w:val="6"/>
      <w:numFmt w:val="bullet"/>
      <w:start w:val="1"/>
    </w:lvl>
  </w:abstractNum>
  <w:abstractNum w:abstractNumId="6">
    <w:nsid w:val="6763845E"/>
    <w:multiLevelType w:val="hybridMultilevel"/>
    <w:lvl w:ilvl="0">
      <w:lvlJc w:val="left"/>
      <w:lvlText w:val="%1"/>
      <w:numFmt w:val="decimal"/>
      <w:start w:val="11"/>
    </w:lvl>
  </w:abstractNum>
  <w:abstractNum w:abstractNumId="7">
    <w:nsid w:val="75A2A8D4"/>
    <w:multiLevelType w:val="hybridMultilevel"/>
    <w:lvl w:ilvl="0">
      <w:lvlJc w:val="left"/>
      <w:lvlText w:val="%1"/>
      <w:numFmt w:val="decimal"/>
      <w:start w:val="13"/>
    </w:lvl>
  </w:abstractNum>
  <w:abstractNum w:abstractNumId="8">
    <w:nsid w:val="8EDBDAB"/>
    <w:multiLevelType w:val="hybridMultilevel"/>
    <w:lvl w:ilvl="0">
      <w:lvlJc w:val="left"/>
      <w:lvlText w:val="1"/>
      <w:numFmt w:val="bullet"/>
      <w:start w:val="1"/>
    </w:lvl>
  </w:abstractNum>
  <w:abstractNum w:abstractNumId="9">
    <w:nsid w:val="79838CB2"/>
    <w:multiLevelType w:val="hybridMultilevel"/>
    <w:lvl w:ilvl="0">
      <w:lvlJc w:val="left"/>
      <w:lvlText w:val="2"/>
      <w:numFmt w:val="bullet"/>
      <w:start w:val="1"/>
    </w:lvl>
    <w:lvl w:ilvl="1">
      <w:lvlJc w:val="left"/>
      <w:lvlText w:val="(%2)"/>
      <w:numFmt w:val="lowerLetter"/>
      <w:start w:val="1"/>
    </w:lvl>
  </w:abstractNum>
  <w:abstractNum w:abstractNumId="10">
    <w:nsid w:val="4353D0CD"/>
    <w:multiLevelType w:val="hybridMultilevel"/>
    <w:lvl w:ilvl="0">
      <w:lvlJc w:val="left"/>
      <w:lvlText w:val="3"/>
      <w:numFmt w:val="bullet"/>
      <w:start w:val="1"/>
    </w:lvl>
  </w:abstractNum>
  <w:abstractNum w:abstractNumId="11">
    <w:nsid w:val="B03E0C6"/>
    <w:multiLevelType w:val="hybridMultilevel"/>
    <w:lvl w:ilvl="0">
      <w:lvlJc w:val="left"/>
      <w:lvlText w:val="4"/>
      <w:numFmt w:val="bullet"/>
      <w:start w:val="1"/>
    </w:lvl>
  </w:abstractNum>
  <w:abstractNum w:abstractNumId="12">
    <w:nsid w:val="189A769B"/>
    <w:multiLevelType w:val="hybridMultilevel"/>
    <w:lvl w:ilvl="0">
      <w:lvlJc w:val="left"/>
      <w:lvlText w:val="6"/>
      <w:numFmt w:val="bullet"/>
      <w:start w:val="1"/>
    </w:lvl>
  </w:abstractNum>
  <w:abstractNum w:abstractNumId="13">
    <w:nsid w:val="54E49EB4"/>
    <w:multiLevelType w:val="hybridMultilevel"/>
    <w:lvl w:ilvl="0">
      <w:lvlJc w:val="left"/>
      <w:lvlText w:val="%1"/>
      <w:numFmt w:val="decimal"/>
      <w:start w:val="11"/>
    </w:lvl>
  </w:abstractNum>
  <w:abstractNum w:abstractNumId="14">
    <w:nsid w:val="71F32454"/>
    <w:multiLevelType w:val="hybridMultilevel"/>
    <w:lvl w:ilvl="0">
      <w:lvlJc w:val="left"/>
      <w:lvlText w:val="%1"/>
      <w:numFmt w:val="decimal"/>
      <w:start w:val="13"/>
    </w:lvl>
  </w:abstractNum>
  <w:abstractNum w:abstractNumId="15">
    <w:nsid w:val="2CA88611"/>
    <w:multiLevelType w:val="hybridMultilevel"/>
    <w:lvl w:ilvl="0">
      <w:lvlJc w:val="left"/>
      <w:lvlText w:val="1"/>
      <w:numFmt w:val="bullet"/>
      <w:start w:val="1"/>
    </w:lvl>
  </w:abstractNum>
  <w:abstractNum w:abstractNumId="16">
    <w:nsid w:val="836C40E"/>
    <w:multiLevelType w:val="hybridMultilevel"/>
    <w:lvl w:ilvl="0">
      <w:lvlJc w:val="left"/>
      <w:lvlText w:val="2"/>
      <w:numFmt w:val="bullet"/>
      <w:start w:val="1"/>
    </w:lvl>
    <w:lvl w:ilvl="1">
      <w:lvlJc w:val="left"/>
      <w:lvlText w:val="(%2)"/>
      <w:numFmt w:val="lowerLetter"/>
      <w:start w:val="1"/>
    </w:lvl>
  </w:abstractNum>
  <w:abstractNum w:abstractNumId="17">
    <w:nsid w:val="2901D82"/>
    <w:multiLevelType w:val="hybridMultilevel"/>
    <w:lvl w:ilvl="0">
      <w:lvlJc w:val="left"/>
      <w:lvlText w:val="(%1)"/>
      <w:numFmt w:val="lowerLetter"/>
      <w:start w:val="2"/>
    </w:lvl>
  </w:abstractNum>
  <w:abstractNum w:abstractNumId="18">
    <w:nsid w:val="3A95F874"/>
    <w:multiLevelType w:val="hybridMultilevel"/>
    <w:lvl w:ilvl="0">
      <w:lvlJc w:val="left"/>
      <w:lvlText w:val="4"/>
      <w:numFmt w:val="bullet"/>
      <w:start w:val="1"/>
    </w:lvl>
  </w:abstractNum>
  <w:abstractNum w:abstractNumId="19">
    <w:nsid w:val="8138641"/>
    <w:multiLevelType w:val="hybridMultilevel"/>
    <w:lvl w:ilvl="0">
      <w:lvlJc w:val="left"/>
      <w:lvlText w:val="6"/>
      <w:numFmt w:val="bullet"/>
      <w:start w:val="1"/>
    </w:lvl>
  </w:abstractNum>
  <w:abstractNum w:abstractNumId="20">
    <w:nsid w:val="1E7FF521"/>
    <w:multiLevelType w:val="hybridMultilevel"/>
    <w:lvl w:ilvl="0">
      <w:lvlJc w:val="left"/>
      <w:lvlText w:val="%1"/>
      <w:numFmt w:val="decimal"/>
      <w:start w:val="11"/>
    </w:lvl>
  </w:abstractNum>
  <w:abstractNum w:abstractNumId="21">
    <w:nsid w:val="7C3DBD3D"/>
    <w:multiLevelType w:val="hybridMultilevel"/>
    <w:lvl w:ilvl="0">
      <w:lvlJc w:val="left"/>
      <w:lvlText w:val="%1"/>
      <w:numFmt w:val="decimal"/>
      <w:start w:val="13"/>
    </w:lvl>
  </w:abstractNum>
  <w:abstractNum w:abstractNumId="22">
    <w:nsid w:val="737B8DDC"/>
    <w:multiLevelType w:val="hybridMultilevel"/>
    <w:lvl w:ilvl="0">
      <w:lvlJc w:val="left"/>
      <w:lvlText w:val="1"/>
      <w:numFmt w:val="bullet"/>
      <w:start w:val="1"/>
    </w:lvl>
  </w:abstractNum>
  <w:abstractNum w:abstractNumId="23">
    <w:nsid w:val="6CEAF087"/>
    <w:multiLevelType w:val="hybridMultilevel"/>
    <w:lvl w:ilvl="0">
      <w:lvlJc w:val="left"/>
      <w:lvlText w:val="2"/>
      <w:numFmt w:val="bullet"/>
      <w:start w:val="1"/>
    </w:lvl>
    <w:lvl w:ilvl="1">
      <w:lvlJc w:val="left"/>
      <w:lvlText w:val="(%2)"/>
      <w:numFmt w:val="lowerLetter"/>
      <w:start w:val="1"/>
    </w:lvl>
  </w:abstractNum>
  <w:abstractNum w:abstractNumId="24">
    <w:nsid w:val="22221A70"/>
    <w:multiLevelType w:val="hybridMultilevel"/>
    <w:lvl w:ilvl="0">
      <w:lvlJc w:val="left"/>
      <w:lvlText w:val="3"/>
      <w:numFmt w:val="bullet"/>
      <w:start w:val="1"/>
    </w:lvl>
  </w:abstractNum>
  <w:abstractNum w:abstractNumId="25">
    <w:nsid w:val="4516DDE9"/>
    <w:multiLevelType w:val="hybridMultilevel"/>
    <w:lvl w:ilvl="0">
      <w:lvlJc w:val="left"/>
      <w:lvlText w:val="4"/>
      <w:numFmt w:val="bullet"/>
      <w:start w:val="1"/>
    </w:lvl>
  </w:abstractNum>
  <w:abstractNum w:abstractNumId="26">
    <w:nsid w:val="3006C83E"/>
    <w:multiLevelType w:val="hybridMultilevel"/>
    <w:lvl w:ilvl="0">
      <w:lvlJc w:val="left"/>
      <w:lvlText w:val="6"/>
      <w:numFmt w:val="bullet"/>
      <w:start w:val="1"/>
    </w:lvl>
  </w:abstractNum>
  <w:abstractNum w:abstractNumId="27">
    <w:nsid w:val="614FD4A1"/>
    <w:multiLevelType w:val="hybridMultilevel"/>
    <w:lvl w:ilvl="0">
      <w:lvlJc w:val="left"/>
      <w:lvlText w:val="%1"/>
      <w:numFmt w:val="decimal"/>
      <w:start w:val="11"/>
    </w:lvl>
  </w:abstractNum>
  <w:abstractNum w:abstractNumId="28">
    <w:nsid w:val="419AC241"/>
    <w:multiLevelType w:val="hybridMultilevel"/>
    <w:lvl w:ilvl="0">
      <w:lvlJc w:val="left"/>
      <w:lvlText w:val="%1"/>
      <w:numFmt w:val="decimal"/>
      <w:start w:val="13"/>
    </w:lvl>
  </w:abstractNum>
  <w:abstractNum w:abstractNumId="29">
    <w:nsid w:val="5577F8E1"/>
    <w:multiLevelType w:val="hybridMultilevel"/>
    <w:lvl w:ilvl="0">
      <w:lvlJc w:val="left"/>
      <w:lvlText w:val="(%1)"/>
      <w:numFmt w:val="lowerLetter"/>
      <w:start w:val="3"/>
    </w:lvl>
  </w:abstractNum>
  <w:abstractNum w:abstractNumId="30">
    <w:nsid w:val="440BADFC"/>
    <w:multiLevelType w:val="hybridMultilevel"/>
    <w:lvl w:ilvl="0">
      <w:lvlJc w:val="left"/>
      <w:lvlText w:val="1"/>
      <w:numFmt w:val="bullet"/>
      <w:start w:val="1"/>
    </w:lvl>
  </w:abstractNum>
  <w:abstractNum w:abstractNumId="31">
    <w:nsid w:val="5072367"/>
    <w:multiLevelType w:val="hybridMultilevel"/>
    <w:lvl w:ilvl="0">
      <w:lvlJc w:val="left"/>
      <w:lvlText w:val="2"/>
      <w:numFmt w:val="bullet"/>
      <w:start w:val="1"/>
    </w:lvl>
  </w:abstractNum>
  <w:abstractNum w:abstractNumId="32">
    <w:nsid w:val="3804823E"/>
    <w:multiLevelType w:val="hybridMultilevel"/>
    <w:lvl w:ilvl="0">
      <w:lvlJc w:val="left"/>
      <w:lvlText w:val="3"/>
      <w:numFmt w:val="bullet"/>
      <w:start w:val="1"/>
    </w:lvl>
  </w:abstractNum>
  <w:abstractNum w:abstractNumId="33">
    <w:nsid w:val="77465F01"/>
    <w:multiLevelType w:val="hybridMultilevel"/>
    <w:lvl w:ilvl="0">
      <w:lvlJc w:val="left"/>
      <w:lvlText w:val="4"/>
      <w:numFmt w:val="bullet"/>
      <w:start w:val="1"/>
    </w:lvl>
  </w:abstractNum>
  <w:abstractNum w:abstractNumId="34">
    <w:nsid w:val="7724C67E"/>
    <w:multiLevelType w:val="hybridMultilevel"/>
    <w:lvl w:ilvl="0">
      <w:lvlJc w:val="left"/>
      <w:lvlText w:val="5"/>
      <w:numFmt w:val="bullet"/>
      <w:start w:val="1"/>
    </w:lvl>
  </w:abstractNum>
  <w:abstractNum w:abstractNumId="35">
    <w:nsid w:val="5C482A97"/>
    <w:multiLevelType w:val="hybridMultilevel"/>
    <w:lvl w:ilvl="0">
      <w:lvlJc w:val="left"/>
      <w:lvlText w:val="%1"/>
      <w:numFmt w:val="upperLetter"/>
      <w:start w:val="61"/>
    </w:lvl>
  </w:abstractNum>
  <w:abstractNum w:abstractNumId="36">
    <w:nsid w:val="2463B9EA"/>
    <w:multiLevelType w:val="hybridMultilevel"/>
    <w:lvl w:ilvl="0">
      <w:lvlJc w:val="left"/>
      <w:lvlText w:val="6"/>
      <w:numFmt w:val="bullet"/>
      <w:start w:val="1"/>
    </w:lvl>
  </w:abstractNum>
  <w:abstractNum w:abstractNumId="37">
    <w:nsid w:val="5E884ADC"/>
    <w:multiLevelType w:val="hybridMultilevel"/>
    <w:lvl w:ilvl="0">
      <w:lvlJc w:val="left"/>
      <w:lvlText w:val="7"/>
      <w:numFmt w:val="bullet"/>
      <w:start w:val="1"/>
    </w:lvl>
  </w:abstractNum>
  <w:abstractNum w:abstractNumId="38">
    <w:nsid w:val="51EAD36B"/>
    <w:multiLevelType w:val="hybridMultilevel"/>
    <w:lvl w:ilvl="0">
      <w:lvlJc w:val="left"/>
      <w:lvlText w:val="8"/>
      <w:numFmt w:val="bullet"/>
      <w:start w:val="1"/>
    </w:lvl>
  </w:abstractNum>
  <w:abstractNum w:abstractNumId="39">
    <w:nsid w:val="2D517796"/>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2019-12-08T05:06:42Z</dcterms:created>
  <dcterms:modified xsi:type="dcterms:W3CDTF">2019-12-08T05:06:42Z</dcterms:modified>
</cp:coreProperties>
</file>