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3" w:lineRule="exact"/>
        <w:rPr>
          <w:sz w:val="24"/>
          <w:szCs w:val="24"/>
          <w:color w:val="auto"/>
        </w:rPr>
      </w:pPr>
    </w:p>
    <w:p>
      <w:pPr>
        <w:jc w:val="center"/>
        <w:ind w:left="360" w:right="2560"/>
        <w:spacing w:after="0" w:line="259"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240.13d-1(b), (c), AND (d) AND AMENDMENTS THERETO FILED PURSUANT TO § 240.13d-2</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700" w:hanging="69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jc w:val="both"/>
        <w:ind w:right="9480"/>
        <w:spacing w:after="0" w:line="229" w:lineRule="exact"/>
        <w:rPr>
          <w:rFonts w:ascii="MS PGothic" w:cs="MS PGothic" w:eastAsia="MS PGothic" w:hAnsi="MS PGothic"/>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Page 2 of 9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Energy Income Partners, LLC</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right w:val="single" w:sz="8" w:color="auto"/>
            </w:tcBorders>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1,988,913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IF THE AGGREGATE AMOUNT IN ROW (9) EXCLUDES CERTAIN SHARES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20" w:type="dxa"/>
            <w:vAlign w:val="bottom"/>
            <w:tcBorders>
              <w:lef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tcBorders>
            <w:gridSpan w:val="6"/>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Page 3 of 9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J. Murchie</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right w:val="single" w:sz="8" w:color="auto"/>
            </w:tcBorders>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1,988,913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IF THE AGGREGATE AMOUNT IN ROW (9) EXCLUDES CERTAIN SHARES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20" w:type="dxa"/>
            <w:vAlign w:val="bottom"/>
            <w:tcBorders>
              <w:lef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tcBorders>
            <w:gridSpan w:val="6"/>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Page 4 of 9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Eva Pao</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2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right w:val="single" w:sz="8" w:color="auto"/>
            </w:tcBorders>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1,988,913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IF THE AGGREGATE AMOUNT IN ROW (9) EXCLUDES CERTAIN SHARES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20" w:type="dxa"/>
            <w:vAlign w:val="bottom"/>
            <w:tcBorders>
              <w:lef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tcBorders>
            <w:gridSpan w:val="6"/>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Page 5 of 9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Saul Ballesteros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right w:val="single" w:sz="8" w:color="auto"/>
            </w:tcBorders>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1,988,913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IF THE AGGREGATE AMOUNT IN ROW (9) EXCLUDES CERTAIN SHARES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20" w:type="dxa"/>
            <w:vAlign w:val="bottom"/>
            <w:tcBorders>
              <w:lef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tcBorders>
            <w:gridSpan w:val="6"/>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8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13G</w:t>
            </w:r>
          </w:p>
        </w:tc>
        <w:tc>
          <w:tcPr>
            <w:tcW w:w="6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Page 6 of 9 Pages</w:t>
            </w:r>
          </w:p>
        </w:tc>
        <w:tc>
          <w:tcPr>
            <w:tcW w:w="4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K. Tysseland</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820" w:type="dxa"/>
            <w:vAlign w:val="bottom"/>
            <w:tcBorders>
              <w:left w:val="single" w:sz="8" w:color="auto"/>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4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USA</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BENEFICIALLY</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continue"/>
          </w:tcPr>
          <w:p>
            <w:pPr>
              <w:spacing w:after="0"/>
              <w:rPr>
                <w:sz w:val="12"/>
                <w:szCs w:val="12"/>
                <w:color w:val="auto"/>
              </w:rPr>
            </w:pPr>
          </w:p>
        </w:tc>
        <w:tc>
          <w:tcPr>
            <w:tcW w:w="260" w:type="dxa"/>
            <w:vAlign w:val="bottom"/>
            <w:gridSpan w:val="2"/>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bottom w:val="single" w:sz="8" w:color="auto"/>
            </w:tcBorders>
            <w:gridSpan w:val="2"/>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right w:val="single" w:sz="8" w:color="auto"/>
            </w:tcBorders>
            <w:vMerge w:val="continue"/>
          </w:tcPr>
          <w:p>
            <w:pPr>
              <w:spacing w:after="0"/>
              <w:rPr>
                <w:sz w:val="22"/>
                <w:szCs w:val="22"/>
                <w:color w:val="auto"/>
              </w:rPr>
            </w:pPr>
          </w:p>
        </w:tc>
        <w:tc>
          <w:tcPr>
            <w:tcW w:w="260" w:type="dxa"/>
            <w:vAlign w:val="bottom"/>
            <w:gridSpan w:val="2"/>
          </w:tcPr>
          <w:p>
            <w:pPr>
              <w:spacing w:after="0"/>
              <w:rPr>
                <w:sz w:val="22"/>
                <w:szCs w:val="22"/>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312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35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2460" w:type="dxa"/>
            <w:vAlign w:val="bottom"/>
            <w:tcBorders>
              <w:right w:val="single" w:sz="8" w:color="auto"/>
            </w:tcBorders>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auto"/>
            </w:tcBorders>
          </w:tcPr>
          <w:p>
            <w:pPr>
              <w:spacing w:after="0"/>
              <w:rPr>
                <w:sz w:val="7"/>
                <w:szCs w:val="7"/>
                <w:color w:val="auto"/>
              </w:rPr>
            </w:pPr>
          </w:p>
        </w:tc>
        <w:tc>
          <w:tcPr>
            <w:tcW w:w="120" w:type="dxa"/>
            <w:vAlign w:val="bottom"/>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12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9"/>
        </w:trPr>
        <w:tc>
          <w:tcPr>
            <w:tcW w:w="8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1,988,913</w:t>
            </w: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3"/>
          </w:tcPr>
          <w:p>
            <w:pPr>
              <w:spacing w:after="0"/>
              <w:rPr>
                <w:sz w:val="18"/>
                <w:szCs w:val="18"/>
                <w:color w:val="auto"/>
              </w:rPr>
            </w:pPr>
          </w:p>
        </w:tc>
        <w:tc>
          <w:tcPr>
            <w:tcW w:w="3540" w:type="dxa"/>
            <w:vAlign w:val="bottom"/>
            <w:tcBorders>
              <w:bottom w:val="single" w:sz="8" w:color="auto"/>
            </w:tcBorders>
            <w:gridSpan w:val="2"/>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1,988,913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IF THE AGGREGATE AMOUNT IN ROW (9) EXCLUDES CERTAIN SHARES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820" w:type="dxa"/>
            <w:vAlign w:val="bottom"/>
            <w:tcBorders>
              <w:lef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820" w:type="dxa"/>
            <w:vAlign w:val="bottom"/>
            <w:tcBorders>
              <w:left w:val="single" w:sz="8" w:color="auto"/>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780" w:type="dxa"/>
            <w:vAlign w:val="bottom"/>
            <w:tcBorders>
              <w:bottom w:val="single" w:sz="8" w:color="auto"/>
            </w:tcBorders>
            <w:gridSpan w:val="6"/>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6780" w:type="dxa"/>
            <w:vAlign w:val="bottom"/>
            <w:tcBorders>
              <w:bottom w:val="single" w:sz="8" w:color="auto"/>
            </w:tcBorders>
            <w:gridSpan w:val="6"/>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2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Borders>
              <w:right w:val="single" w:sz="8" w:color="auto"/>
            </w:tcBorders>
          </w:tcPr>
          <w:p>
            <w:pPr>
              <w:spacing w:after="0"/>
              <w:rPr>
                <w:sz w:val="24"/>
                <w:szCs w:val="24"/>
                <w:color w:val="auto"/>
              </w:rPr>
            </w:pPr>
          </w:p>
        </w:tc>
        <w:tc>
          <w:tcPr>
            <w:tcW w:w="67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1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6" w:name="page7"/>
    <w:bookmarkEnd w:id="6"/>
    <w:p>
      <w:pPr>
        <w:ind w:left="120"/>
        <w:spacing w:after="0"/>
        <w:tabs>
          <w:tab w:leader="none" w:pos="5460" w:val="left"/>
          <w:tab w:leader="none" w:pos="7740" w:val="left"/>
        </w:tabs>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7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-116840</wp:posOffset>
            </wp:positionV>
            <wp:extent cx="228028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28854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8540" cy="154305"/>
                    </a:xfrm>
                    <a:prstGeom prst="rect">
                      <a:avLst/>
                    </a:prstGeom>
                    <a:noFill/>
                  </pic:spPr>
                </pic:pic>
              </a:graphicData>
            </a:graphic>
          </wp:anchor>
        </w:drawing>
      </w:r>
    </w:p>
    <w:p>
      <w:pPr>
        <w:sectPr>
          <w:pgSz w:w="11900" w:h="16838" w:orient="portrait"/>
          <w:cols w:equalWidth="0" w:num="1">
            <w:col w:w="11120"/>
          </w:cols>
          <w:pgMar w:left="320" w:top="927" w:right="459" w:bottom="1014"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c>
          <w:tcPr>
            <w:tcW w:w="852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Clearway Energy, Inc.</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14"/>
        </w:trPr>
        <w:tc>
          <w:tcPr>
            <w:tcW w:w="1040" w:type="dxa"/>
            <w:vAlign w:val="bottom"/>
          </w:tcPr>
          <w:p>
            <w:pPr>
              <w:spacing w:after="0"/>
              <w:rPr>
                <w:sz w:val="24"/>
                <w:szCs w:val="24"/>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300 Carnegie Center</w:t>
            </w: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Princeton, New Jersey 08540</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14"/>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Eva Pao</w:t>
            </w:r>
          </w:p>
        </w:tc>
        <w:tc>
          <w:tcPr>
            <w:tcW w:w="852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Saul Ballesteros</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John Tysseland</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14"/>
        </w:trPr>
        <w:tc>
          <w:tcPr>
            <w:tcW w:w="104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 Wright Street</w:t>
            </w:r>
          </w:p>
        </w:tc>
        <w:tc>
          <w:tcPr>
            <w:tcW w:w="85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Westport, Connecticut 06880</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8520" w:type="dxa"/>
            <w:vAlign w:val="bottom"/>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Energy Income Partners, LLC is a Delaware limited liability company</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James Murchie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(iii)</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Eva Pao is a citizen of the United States of America</w:t>
            </w:r>
          </w:p>
        </w:tc>
      </w:tr>
      <w:tr>
        <w:trPr>
          <w:trHeight w:val="216"/>
        </w:trPr>
        <w:tc>
          <w:tcPr>
            <w:tcW w:w="10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Saul Ballesteros is a citizen of the United States of America</w:t>
            </w:r>
          </w:p>
        </w:tc>
      </w:tr>
      <w:tr>
        <w:trPr>
          <w:trHeight w:val="234"/>
        </w:trPr>
        <w:tc>
          <w:tcPr>
            <w:tcW w:w="104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w:t>
            </w:r>
          </w:p>
        </w:tc>
        <w:tc>
          <w:tcPr>
            <w:tcW w:w="9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John Tysseland is a citizen of the United States of America</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Common Stock</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CUSIP Number:</w:t>
            </w:r>
          </w:p>
        </w:tc>
        <w:tc>
          <w:tcPr>
            <w:tcW w:w="8520" w:type="dxa"/>
            <w:vAlign w:val="bottom"/>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18539C105</w:t>
            </w:r>
          </w:p>
        </w:tc>
        <w:tc>
          <w:tcPr>
            <w:tcW w:w="852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0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60"/>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8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04"/>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414"/>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w:t>
            </w:r>
          </w:p>
        </w:tc>
      </w:t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432"/>
        </w:trPr>
        <w:tc>
          <w:tcPr>
            <w:tcW w:w="10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tcPr>
          <w:p>
            <w:pPr>
              <w:ind w:left="200"/>
              <w:spacing w:after="0"/>
              <w:rPr>
                <w:sz w:val="20"/>
                <w:szCs w:val="20"/>
                <w:color w:val="auto"/>
              </w:rPr>
            </w:pPr>
            <w:r>
              <w:rPr>
                <w:rFonts w:ascii="Wingdings" w:cs="Wingdings" w:eastAsia="Wingdings" w:hAnsi="Wingdings"/>
                <w:sz w:val="18"/>
                <w:szCs w:val="18"/>
                <w:b w:val="1"/>
                <w:bCs w:val="1"/>
                <w:color w:val="auto"/>
              </w:rPr>
              <w:t>o</w:t>
            </w: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27" w:right="459" w:bottom="1014" w:gutter="0" w:footer="0" w:header="0"/>
          <w:type w:val="continuous"/>
        </w:sectPr>
      </w:pPr>
    </w:p>
    <w:bookmarkStart w:id="7" w:name="page8"/>
    <w:bookmarkEnd w:id="7"/>
    <w:p>
      <w:pPr>
        <w:ind w:left="120"/>
        <w:spacing w:after="0"/>
        <w:tabs>
          <w:tab w:leader="none" w:pos="5460" w:val="left"/>
          <w:tab w:leader="none" w:pos="7740" w:val="left"/>
        </w:tabs>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-116840</wp:posOffset>
            </wp:positionV>
            <wp:extent cx="2280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28854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8540" cy="1543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Provide the following information regarding the aggregate number and percentage of the class of securities of the issuer identified in Item</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This Schedule 13G is being filed on behalf of (i) Energy Income Partners, LLC, a Delaware limited liability company; (ii) James J.</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Murchie; (iii) Eva Pao; (iv) Saul Ballesteros; and (v) John K. Tysseland.</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Ownership as of December 31, 2023, is incorporated by reference to items (5) - (9) and (11) of each of the cover pages of the Reporting</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Persons.</w:t>
            </w:r>
          </w:p>
        </w:tc>
        <w:tc>
          <w:tcPr>
            <w:tcW w:w="93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James J. Murchie, Eva Pao and John Tysseland are the Portfolio Managers with respect to portfolios managed by Energy Income</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Partners, LLC. Saul Ballesteros is a control person of Energy Income Partners, LLC.</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78"/>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80" w:type="dxa"/>
            <w:vAlign w:val="bottom"/>
          </w:tcPr>
          <w:p>
            <w:pPr>
              <w:spacing w:after="0"/>
              <w:rPr>
                <w:sz w:val="24"/>
                <w:szCs w:val="24"/>
                <w:color w:val="auto"/>
              </w:rPr>
            </w:pPr>
          </w:p>
        </w:tc>
        <w:tc>
          <w:tcPr>
            <w:tcW w:w="10260" w:type="dxa"/>
            <w:vAlign w:val="bottom"/>
            <w:gridSpan w:val="2"/>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14"/>
        </w:trPr>
        <w:tc>
          <w:tcPr>
            <w:tcW w:w="98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Income Partners, LLC</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Murchie</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(iii)</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 Pao</w:t>
            </w:r>
          </w:p>
        </w:tc>
      </w:tr>
      <w:tr>
        <w:trPr>
          <w:trHeight w:val="216"/>
        </w:trPr>
        <w:tc>
          <w:tcPr>
            <w:tcW w:w="980" w:type="dxa"/>
            <w:vAlign w:val="bottom"/>
          </w:tcPr>
          <w:p>
            <w:pPr>
              <w:spacing w:after="0"/>
              <w:rPr>
                <w:sz w:val="18"/>
                <w:szCs w:val="18"/>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Saul Ballesteros; and</w:t>
            </w:r>
          </w:p>
        </w:tc>
      </w:tr>
      <w:tr>
        <w:trPr>
          <w:trHeight w:val="234"/>
        </w:trPr>
        <w:tc>
          <w:tcPr>
            <w:tcW w:w="98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K. Tysseland</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14"/>
        </w:trPr>
        <w:tc>
          <w:tcPr>
            <w:tcW w:w="98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Pr>
          <w:p>
            <w:pPr>
              <w:spacing w:after="0"/>
              <w:rPr>
                <w:sz w:val="20"/>
                <w:szCs w:val="20"/>
                <w:color w:val="auto"/>
              </w:rPr>
            </w:pPr>
          </w:p>
        </w:tc>
        <w:tc>
          <w:tcPr>
            <w:tcW w:w="102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having that purpose or effect.</w:t>
            </w:r>
          </w:p>
        </w:tc>
      </w:tr>
      <w:tr>
        <w:trPr>
          <w:trHeight w:val="675"/>
        </w:trPr>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6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usip</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18539C105</w:t>
            </w:r>
          </w:p>
        </w:tc>
        <w:tc>
          <w:tcPr>
            <w:tcW w:w="4040" w:type="dxa"/>
            <w:vAlign w:val="bottom"/>
            <w:tcBorders>
              <w:righ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5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9 of 9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Nandita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Compliance Officer, Energy Income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OF JOINT FILING</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Energy Income Partners, LLC, James J. Murchie, Eva Pao, Saul Ballesteros and John K. Tysseland </w:t>
      </w:r>
      <w:r>
        <w:rPr>
          <w:rFonts w:ascii="Times New Roman" w:cs="Times New Roman" w:eastAsia="Times New Roman" w:hAnsi="Times New Roman"/>
          <w:sz w:val="18"/>
          <w:szCs w:val="18"/>
          <w:color w:val="auto"/>
        </w:rPr>
        <w:t>hereby agree that the Statement on Schedule 13G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this agreement is attached as an exhibit as well as all future amendments to such Statement, shall be filed jointly on behalf of each of them. This agreement is intended to satisfy the requirements of Rule 13d-1(k)(1)(iii) under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J. Murchie</w:t>
            </w:r>
          </w:p>
        </w:tc>
        <w:tc>
          <w:tcPr>
            <w:tcW w:w="562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Energy Income Partners, LLC</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432"/>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Eva Pao</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Eva Pao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Partner</w:t>
            </w:r>
          </w:p>
        </w:tc>
        <w:tc>
          <w:tcPr>
            <w:tcW w:w="5620" w:type="dxa"/>
            <w:vAlign w:val="bottom"/>
          </w:tcPr>
          <w:p>
            <w:pPr>
              <w:spacing w:after="0"/>
              <w:rPr>
                <w:sz w:val="20"/>
                <w:szCs w:val="20"/>
                <w:color w:val="auto"/>
              </w:rPr>
            </w:pPr>
          </w:p>
        </w:tc>
      </w:tr>
      <w:tr>
        <w:trPr>
          <w:trHeight w:val="432"/>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Saul Ballesteros</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Saul Ballesteros</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 Trader</w:t>
            </w:r>
          </w:p>
        </w:tc>
        <w:tc>
          <w:tcPr>
            <w:tcW w:w="5620" w:type="dxa"/>
            <w:vAlign w:val="bottom"/>
          </w:tcPr>
          <w:p>
            <w:pPr>
              <w:spacing w:after="0"/>
              <w:rPr>
                <w:sz w:val="20"/>
                <w:szCs w:val="20"/>
                <w:color w:val="auto"/>
              </w:rPr>
            </w:pPr>
          </w:p>
        </w:tc>
      </w:tr>
      <w:tr>
        <w:trPr>
          <w:trHeight w:val="432"/>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K. Tysseland</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John K. Tysseland</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Portfolio Manager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2024-02-14T13:06:36Z</dcterms:created>
  <dcterms:modified xsi:type="dcterms:W3CDTF">2024-02-14T13:06:36Z</dcterms:modified>
</cp:coreProperties>
</file>