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02/14/2025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67"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6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02/14/2025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480" w:type="dxa"/>
            <w:vAlign w:val="bottom"/>
          </w:tcPr>
          <w:p>
            <w:pPr>
              <w:spacing w:after="0"/>
              <w:rPr>
                <w:sz w:val="21"/>
                <w:szCs w:val="21"/>
                <w:color w:val="auto"/>
              </w:rPr>
            </w:pPr>
          </w:p>
        </w:tc>
        <w:tc>
          <w:tcPr>
            <w:tcW w:w="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958</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vMerge w:val="restart"/>
          </w:tcPr>
          <w:p>
            <w:pPr>
              <w:jc w:val="right"/>
              <w:ind w:right="198"/>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115,157</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60" w:type="dxa"/>
            <w:vAlign w:val="bottom"/>
            <w:tcBorders>
              <w:top w:val="single" w:sz="8" w:color="2C2C2C"/>
            </w:tcBorders>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02/18/2025</w:t>
            </w: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(2)</w:t>
            </w:r>
          </w:p>
        </w:tc>
        <w:tc>
          <w:tcPr>
            <w:tcW w:w="4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1,183</w:t>
            </w:r>
          </w:p>
        </w:tc>
        <w:tc>
          <w:tcPr>
            <w:tcW w:w="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26.13</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116,340</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3"/>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under its Long Term Equity Incentive Program to one or more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7"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2025-02-19T15:47:27Z</dcterms:created>
  <dcterms:modified xsi:type="dcterms:W3CDTF">2025-02-19T15:47:27Z</dcterms:modified>
</cp:coreProperties>
</file>