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Malcarney Kevin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6"/>
          <w:szCs w:val="16"/>
          <w:color w:val="0000FF"/>
        </w:rPr>
        <w:t>SVP, Gen Counsel and Corp Secr</w:t>
      </w:r>
    </w:p>
    <w:p>
      <w:pPr>
        <w:spacing w:after="0" w:line="41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12/01/2020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388</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43,175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2,421 dividend equivalent rights that may only be settled in Class C Common Stock. There has been a de minimus adjustment of 1 shares to the number of dividend equivalent rights as a result of rounding fractional shares.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Kevin P. Malcarney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12/03/2020</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2020-12-03T16:20:23Z</dcterms:created>
  <dcterms:modified xsi:type="dcterms:W3CDTF">2020-12-03T16:20:23Z</dcterms:modified>
</cp:coreProperties>
</file>