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3"/>
          <w:szCs w:val="23"/>
          <w:color w:val="auto"/>
        </w:rPr>
        <w:t>SEC Form 3</w:t>
      </w:r>
    </w:p>
    <w:p>
      <w:pPr>
        <w:spacing w:after="0" w:line="14"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6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Borders>
              <w:top w:val="single" w:sz="8" w:color="2C2C2C"/>
            </w:tcBorders>
          </w:tcPr>
          <w:p>
            <w:pPr>
              <w:jc w:val="center"/>
              <w:spacing w:after="0" w:line="182" w:lineRule="exact"/>
              <w:rPr>
                <w:sz w:val="20"/>
                <w:szCs w:val="20"/>
                <w:color w:val="auto"/>
              </w:rPr>
            </w:pPr>
            <w:r>
              <w:rPr>
                <w:rFonts w:ascii="Arial" w:cs="Arial" w:eastAsia="Arial" w:hAnsi="Arial"/>
                <w:sz w:val="19"/>
                <w:szCs w:val="19"/>
                <w:color w:val="auto"/>
                <w:w w:val="96"/>
              </w:rPr>
              <w:t>OMB APPROVAL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640" w:type="dxa"/>
            <w:vAlign w:val="bottom"/>
          </w:tcPr>
          <w:p>
            <w:pPr>
              <w:spacing w:after="0"/>
              <w:rPr>
                <w:sz w:val="5"/>
                <w:szCs w:val="5"/>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40" w:type="dxa"/>
            <w:vAlign w:val="bottom"/>
          </w:tcPr>
          <w:p>
            <w:pPr>
              <w:spacing w:after="0"/>
              <w:rPr>
                <w:sz w:val="6"/>
                <w:szCs w:val="6"/>
                <w:color w:val="auto"/>
              </w:rPr>
            </w:pPr>
          </w:p>
        </w:tc>
        <w:tc>
          <w:tcPr>
            <w:tcW w:w="6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-377190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-377190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0"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25"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087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08749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type w:val="continuous"/>
        </w:sectPr>
      </w:pPr>
    </w:p>
    <w:p>
      <w:pPr>
        <w:spacing w:after="0" w:line="39" w:lineRule="exact"/>
        <w:rPr>
          <w:sz w:val="24"/>
          <w:szCs w:val="24"/>
          <w:color w:val="auto"/>
        </w:rPr>
      </w:pPr>
    </w:p>
    <w:tbl>
      <w:tblPr>
        <w:tblLayout w:type="fixed"/>
        <w:tblInd w:w="80" w:type="dxa"/>
        <w:tblCellMar>
          <w:top w:w="0" w:type="dxa"/>
          <w:left w:w="0" w:type="dxa"/>
          <w:bottom w:w="0" w:type="dxa"/>
          <w:right w:w="0" w:type="dxa"/>
        </w:tblCellMar>
      </w:tblPr>
      <w:tr>
        <w:trPr>
          <w:trHeight w:val="276"/>
        </w:trPr>
        <w:tc>
          <w:tcPr>
            <w:tcW w:w="312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4"/>
                <w:szCs w:val="24"/>
                <w:color w:val="auto"/>
                <w:vertAlign w:val="superscript"/>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2"/>
            <w:vMerge w:val="restart"/>
          </w:tcPr>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color w:val="0000EE"/>
                </w:rPr>
                <w:t>Jouny Olivier</w:t>
              </w:r>
            </w:hyperlink>
          </w:p>
        </w:tc>
        <w:tc>
          <w:tcPr>
            <w:tcW w:w="1460" w:type="dxa"/>
            <w:vAlign w:val="bottom"/>
          </w:tcPr>
          <w:p>
            <w:pPr>
              <w:ind w:left="160"/>
              <w:spacing w:after="0" w:line="12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1460" w:type="dxa"/>
            <w:vAlign w:val="bottom"/>
          </w:tcPr>
          <w:p>
            <w:pPr>
              <w:ind w:left="160"/>
              <w:spacing w:after="0" w:line="159"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Times New Roman" w:cs="Times New Roman" w:eastAsia="Times New Roman" w:hAnsi="Times New Roman"/>
                <w:sz w:val="19"/>
                <w:szCs w:val="19"/>
                <w:color w:val="0000FF"/>
              </w:rPr>
              <w:t>10/24/2024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2">
        <w:r>
          <w:rPr>
            <w:rFonts w:ascii="Times New Roman" w:cs="Times New Roman" w:eastAsia="Times New Roman" w:hAnsi="Times New Roman"/>
            <w:sz w:val="23"/>
            <w:szCs w:val="23"/>
            <w:u w:val="single" w:color="auto"/>
            <w:color w:val="0000EE"/>
          </w:rPr>
          <w:t>Clearway Energy,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CWEN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15" w:lineRule="exact"/>
        <w:rPr>
          <w:sz w:val="24"/>
          <w:szCs w:val="24"/>
          <w:color w:val="auto"/>
        </w:rPr>
      </w:pPr>
    </w:p>
    <w:p>
      <w:pPr>
        <w:sectPr>
          <w:pgSz w:w="11900" w:h="16838" w:orient="portrait"/>
          <w:cols w:equalWidth="0" w:num="2">
            <w:col w:w="4660" w:space="320"/>
            <w:col w:w="5960"/>
          </w:cols>
          <w:pgMar w:left="480" w:top="225"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298"/>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w w:val="98"/>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91"/>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rPr>
              <w:t>PRINCETON NJ</w:t>
            </w:r>
          </w:p>
        </w:tc>
        <w:tc>
          <w:tcPr>
            <w:tcW w:w="1020" w:type="dxa"/>
            <w:vAlign w:val="bottom"/>
          </w:tcPr>
          <w:p>
            <w:pPr>
              <w:ind w:left="40"/>
              <w:spacing w:after="0"/>
              <w:rPr>
                <w:sz w:val="20"/>
                <w:szCs w:val="20"/>
                <w:color w:val="auto"/>
              </w:rPr>
            </w:pPr>
            <w:r>
              <w:rPr>
                <w:rFonts w:ascii="Times New Roman" w:cs="Times New Roman" w:eastAsia="Times New Roman" w:hAnsi="Times New Roman"/>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80"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84"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spacing w:after="0" w:line="11"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80"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9" w:right="80" w:hanging="9"/>
        <w:spacing w:after="0" w:line="268"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 w:lineRule="exact"/>
        <w:rPr>
          <w:sz w:val="24"/>
          <w:szCs w:val="24"/>
          <w:color w:val="auto"/>
        </w:rPr>
      </w:pPr>
    </w:p>
    <w:p>
      <w:pPr>
        <w:ind w:left="469" w:right="420"/>
        <w:spacing w:after="0" w:line="279" w:lineRule="auto"/>
        <w:rPr>
          <w:sz w:val="20"/>
          <w:szCs w:val="20"/>
          <w:color w:val="auto"/>
        </w:rPr>
      </w:pPr>
      <w:r>
        <w:rPr>
          <w:rFonts w:ascii="Arial" w:cs="Arial" w:eastAsia="Arial" w:hAnsi="Arial"/>
          <w:sz w:val="14"/>
          <w:szCs w:val="14"/>
          <w:color w:val="auto"/>
        </w:rPr>
        <w:t>Form filed by One Reporting Person</w:t>
      </w:r>
    </w:p>
    <w:p>
      <w:pPr>
        <w:ind w:left="469" w:right="400"/>
        <w:spacing w:after="0" w:line="280" w:lineRule="auto"/>
        <w:rPr>
          <w:sz w:val="20"/>
          <w:szCs w:val="20"/>
          <w:color w:val="auto"/>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25" w:right="479" w:bottom="1440" w:gutter="0" w:footer="0" w:header="0"/>
          <w:type w:val="continuous"/>
        </w:sectPr>
      </w:pPr>
    </w:p>
    <w:p>
      <w:pPr>
        <w:spacing w:after="0" w:line="15"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8"/>
        </w:trPr>
        <w:tc>
          <w:tcPr>
            <w:tcW w:w="34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7"/>
                <w:szCs w:val="17"/>
                <w:color w:val="auto"/>
              </w:rPr>
            </w:pPr>
          </w:p>
        </w:tc>
      </w:tr>
      <w:tr>
        <w:trPr>
          <w:trHeight w:val="81"/>
        </w:trPr>
        <w:tc>
          <w:tcPr>
            <w:tcW w:w="340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II - Derivative Securities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(e.g., puts, calls, warrants, options, convertible securities)</w:t>
      </w:r>
    </w:p>
    <w:p>
      <w:pPr>
        <w:spacing w:after="0" w:line="1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2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2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or Indirect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60" w:type="dxa"/>
            <w:vAlign w:val="bottom"/>
          </w:tcPr>
          <w:p>
            <w:pPr>
              <w:spacing w:after="0"/>
              <w:rPr>
                <w:sz w:val="13"/>
                <w:szCs w:val="13"/>
                <w:color w:val="auto"/>
              </w:rPr>
            </w:pPr>
          </w:p>
        </w:tc>
        <w:tc>
          <w:tcPr>
            <w:tcW w:w="1260" w:type="dxa"/>
            <w:vAlign w:val="bottom"/>
          </w:tcPr>
          <w:p>
            <w:pPr>
              <w:ind w:left="640"/>
              <w:spacing w:after="0" w:line="158"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60" w:type="dxa"/>
            <w:vAlign w:val="bottom"/>
            <w:vMerge w:val="continue"/>
          </w:tcPr>
          <w:p>
            <w:pPr>
              <w:spacing w:after="0"/>
              <w:rPr>
                <w:sz w:val="17"/>
                <w:szCs w:val="17"/>
                <w:color w:val="auto"/>
              </w:rPr>
            </w:pPr>
          </w:p>
        </w:tc>
        <w:tc>
          <w:tcPr>
            <w:tcW w:w="1260" w:type="dxa"/>
            <w:vAlign w:val="bottom"/>
          </w:tcPr>
          <w:p>
            <w:pPr>
              <w:ind w:left="6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tbl>
      <w:tblPr>
        <w:tblLayout w:type="fixed"/>
        <w:tblInd w:w="40" w:type="dxa"/>
        <w:tblCellMar>
          <w:top w:w="0" w:type="dxa"/>
          <w:left w:w="0" w:type="dxa"/>
          <w:bottom w:w="0" w:type="dxa"/>
          <w:right w:w="0" w:type="dxa"/>
        </w:tblCellMar>
      </w:tblPr>
      <w:tr>
        <w:trPr>
          <w:trHeight w:val="198"/>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Explanation of Responses: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No securities are beneficially owned.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9"/>
                <w:szCs w:val="19"/>
                <w:color w:val="0000FF"/>
              </w:rPr>
              <w:t>/s/ Kevin P. Malcarney,</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0000FF"/>
              </w:rPr>
              <w:t>11/04/2024</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Times New Roman" w:cs="Times New Roman" w:eastAsia="Times New Roman" w:hAnsi="Times New Roman"/>
                <w:sz w:val="19"/>
                <w:szCs w:val="19"/>
                <w:color w:val="0000FF"/>
                <w:w w:val="97"/>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22" w:lineRule="auto"/>
        <w:tabs>
          <w:tab w:leader="none" w:pos="19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91"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5" w:right="479" w:bottom="1440" w:gutter="0" w:footer="0" w:header="0"/>
          <w:type w:val="continuous"/>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October 24, 2024</w:t>
      </w:r>
    </w:p>
    <w:p>
      <w:pPr>
        <w:spacing w:after="0" w:line="2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POWER OF ATTORNEY</w:t>
      </w:r>
    </w:p>
    <w:p>
      <w:pPr>
        <w:spacing w:after="0" w:line="229"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jc w:val="both"/>
        <w:ind w:left="5" w:hanging="5"/>
        <w:spacing w:after="0" w:line="237" w:lineRule="auto"/>
        <w:tabs>
          <w:tab w:leader="none" w:pos="373"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left="5" w:firstLine="692"/>
        <w:spacing w:after="0" w:line="252" w:lineRule="auto"/>
        <w:rPr>
          <w:sz w:val="20"/>
          <w:szCs w:val="20"/>
          <w:color w:val="auto"/>
        </w:rPr>
      </w:pPr>
      <w:r>
        <w:rPr>
          <w:rFonts w:ascii="Times New Roman" w:cs="Times New Roman" w:eastAsia="Times New Roman" w:hAnsi="Times New Roman"/>
          <w:sz w:val="23"/>
          <w:szCs w:val="23"/>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75" w:lineRule="exact"/>
        <w:rPr>
          <w:sz w:val="20"/>
          <w:szCs w:val="20"/>
          <w:color w:val="auto"/>
        </w:rPr>
      </w:pPr>
    </w:p>
    <w:p>
      <w:pPr>
        <w:jc w:val="both"/>
        <w:ind w:left="5" w:firstLine="692"/>
        <w:spacing w:after="0" w:line="268" w:lineRule="auto"/>
        <w:rPr>
          <w:sz w:val="20"/>
          <w:szCs w:val="20"/>
          <w:color w:val="auto"/>
        </w:rPr>
      </w:pPr>
      <w:r>
        <w:rPr>
          <w:rFonts w:ascii="Times New Roman" w:cs="Times New Roman" w:eastAsia="Times New Roman" w:hAnsi="Times New Roman"/>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Olivier Jouny</w:t>
      </w:r>
    </w:p>
    <w:p>
      <w:pPr>
        <w:spacing w:after="0" w:line="254"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/s/ Olivier Jouny</w:t>
      </w:r>
    </w:p>
    <w:p>
      <w:pPr>
        <w:spacing w:after="0" w:line="21"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color w:val="auto"/>
        </w:rPr>
        <w:t>1</w:t>
      </w:r>
    </w:p>
    <w:sectPr>
      <w:pgSz w:w="11900" w:h="16838" w:orient="portrait"/>
      <w:cols w:equalWidth="0" w:num="1">
        <w:col w:w="10945"/>
      </w:cols>
      <w:pgMar w:left="475"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042558"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2024-11-04T16:33:49Z</dcterms:created>
  <dcterms:modified xsi:type="dcterms:W3CDTF">2024-11-04T16:33:49Z</dcterms:modified>
</cp:coreProperties>
</file>