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6,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60"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760"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760"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780"/>
        <w:spacing w:after="0" w:line="207" w:lineRule="exact"/>
        <w:tabs>
          <w:tab w:leader="none" w:pos="9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900" w:type="dxa"/>
            <w:vAlign w:val="bottom"/>
            <w:tcBorders>
              <w:top w:val="single" w:sz="8" w:color="auto"/>
              <w:left w:val="single" w:sz="8" w:color="auto"/>
              <w:right w:val="single" w:sz="8" w:color="auto"/>
            </w:tcBorders>
          </w:tcPr>
          <w:p>
            <w:pPr>
              <w:spacing w:after="0"/>
              <w:rPr>
                <w:sz w:val="18"/>
                <w:szCs w:val="18"/>
                <w:color w:val="auto"/>
              </w:rPr>
            </w:pPr>
          </w:p>
        </w:tc>
        <w:tc>
          <w:tcPr>
            <w:tcW w:w="3780" w:type="dxa"/>
            <w:vAlign w:val="bottom"/>
            <w:tcBorders>
              <w:top w:val="single" w:sz="8" w:color="auto"/>
              <w:right w:val="single" w:sz="8" w:color="auto"/>
            </w:tcBorders>
          </w:tcPr>
          <w:p>
            <w:pPr>
              <w:spacing w:after="0"/>
              <w:rPr>
                <w:sz w:val="18"/>
                <w:szCs w:val="18"/>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390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Title of each class</w:t>
            </w:r>
          </w:p>
        </w:tc>
        <w:tc>
          <w:tcPr>
            <w:tcW w:w="37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r>
      <w:tr>
        <w:trPr>
          <w:trHeight w:val="21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Class A Common Stock</w:t>
            </w:r>
          </w:p>
        </w:tc>
        <w:tc>
          <w:tcPr>
            <w:tcW w:w="3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CWEN.A</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1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Class C Common Stock</w:t>
            </w:r>
          </w:p>
        </w:tc>
        <w:tc>
          <w:tcPr>
            <w:tcW w:w="3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CWEN</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10"/>
        </w:trPr>
        <w:tc>
          <w:tcPr>
            <w:tcW w:w="39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r>
      <w:tr>
        <w:trPr>
          <w:trHeight w:val="28"/>
        </w:trPr>
        <w:tc>
          <w:tcPr>
            <w:tcW w:w="39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675"/>
        </w:trPr>
        <w:tc>
          <w:tcPr>
            <w:tcW w:w="39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6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Eleventh Supplemental Indenture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6, 2019, Clearway Energy Operating LLC (“Clearway Operating LLC”), a subsidiary of Clearway Energy LLC (“Clearway LLC”), the guarantors currently party to the 2024 Notes Indenture (defined below), Energy Center Fajardo Holdings LLC (the “Guaranteeing Subsidiary”) and Delaware Trust Company (as successor in interest to Law Debenture Trust Company of New York), as trustee (the “Trustee”), entered into the eleventh supplemental indenture (the “Eleventh Supplemental Indenture”), supplementing the indenture, dated as of August 5, 2014 (as amended or supplemented to the date hereof, the “2024 Notes Indenture”), by and among Clearway Operating LLC, the guarantors party thereto and the Trustee, pursuant to which Clearway Operating LLC issued $500,000,000 in aggregate principal amount of its 5.375% Senior Notes due 2024 (the “2024 Notes”). Pursuant to the Eleventh Supplemental Indenture, the Guaranteeing Subsidiary became a guarantor of Clearway Operating LLC’s obligations under the 2024 Notes. Each of Clearway Operating LLC, Clearway LLC and the Guaranteeing Subsidiary are subsidiaries of Clearway Energy, Inc.</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Eleventh Supplemental Indenture does not purport to be complete and is qualified in its entirety by reference to the Eleventh Supplemental Indenture, which is attached as Exhibit 4.1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 Supplemental Indenture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6, 2019, Clearway Operating LLC, the guarantors currently party to the 2026 Notes Indenture (defined below), the Guaranteeing Subsidiary and the Trustee also entered into the seventh supplemental indenture (the “Seventh Supplemental Indenture”), supplementing the indenture, dated as of August 18, 2016 (the “2026 Notes Indenture”), by and among Clearway Operating LLC, the guarantors party thereto and the Trustee, pursuant to which Clearway Operating LLC issued $350,000,000 in aggregate principal amount of its 5.000% Senior Notes due 2026 (the “2026 Notes”). Pursuant to the Seventh Supplemental Indenture, the Guaranteeing Subsidiary became a guarantor of Clearway Operating LLC’s obligations under the 2026 Notes.</w:t>
      </w:r>
    </w:p>
    <w:p>
      <w:pPr>
        <w:spacing w:after="0" w:line="15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Seventh Supplemental Indenture does not purport to be complete and is qualified in its entirety by reference to the Seventh Supplemental Indenture, which is attached as Exhibit 4.2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Supplemental Indenture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6, 2019, Clearway Operating LLC, the guarantors currently party to the 2025 Notes Indenture (defined below), the Guaranteeing Subsidiary and the Trustee also entered into the third supplemental indenture (the “Third Supplemental Indenture”), supplementing the indenture, dated as of October 1, 2018 (the “2025 Notes Indenture”), by and among Clearway Operating LLC, the guarantors party thereto and the Trustee, pursuant to which Clearway Operating LLC issued $600,000,000 in aggregate principal amount of its 5.750% Senior Notes due 2025 (the “2025 Notes”). Pursuant to the Third Supplemental Indenture, the Guaranteeing Subsidiary became a guarantor of Clearway Operating LLC’s obligations under the 2025 Notes.</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Third Supplemental Indenture does not purport to be complete and is qualified in its entirety by reference to the Third Supplemental Indenture, which is attached as Exhibit 4.3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ectPr>
          <w:pgSz w:w="11900" w:h="16838" w:orient="portrait"/>
          <w:cols w:equalWidth="0" w:num="1">
            <w:col w:w="11420"/>
          </w:cols>
          <w:pgMar w:left="240" w:top="904"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4" w:lineRule="exact"/>
        <w:rPr>
          <w:sz w:val="20"/>
          <w:szCs w:val="20"/>
          <w:color w:val="auto"/>
        </w:rPr>
      </w:pPr>
    </w:p>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p>
    <w:p>
      <w:pPr>
        <w:spacing w:after="0" w:line="225" w:lineRule="exact"/>
        <w:rPr>
          <w:sz w:val="20"/>
          <w:szCs w:val="20"/>
          <w:color w:val="auto"/>
        </w:rPr>
      </w:pPr>
    </w:p>
    <w:p>
      <w:pPr>
        <w:ind w:left="4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4.2</w:t>
        </w:r>
      </w:hyperlink>
    </w:p>
    <w:p>
      <w:pPr>
        <w:spacing w:after="0" w:line="225" w:lineRule="exact"/>
        <w:rPr>
          <w:sz w:val="20"/>
          <w:szCs w:val="20"/>
          <w:color w:val="auto"/>
        </w:rPr>
      </w:pPr>
    </w:p>
    <w:p>
      <w:pPr>
        <w:ind w:left="4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4.3</w:t>
        </w:r>
      </w:hyperlink>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449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223" w:lineRule="exact"/>
        <w:rPr>
          <w:sz w:val="20"/>
          <w:szCs w:val="20"/>
          <w:color w:val="auto"/>
        </w:rPr>
      </w:pPr>
    </w:p>
    <w:p>
      <w:pPr>
        <w:ind w:right="20"/>
        <w:spacing w:after="0" w:line="258"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Eleventh Supplemental Indenture, dated as of September 6, 2019, among Clearway Energy Operating LLC, the guarantors named therein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and Delaware Trust Company (as successor in interest to Law Debenture Trust Company of New York).</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Seventh Supplemental Indenture, dated as of September 6, 2019, among Clearway Energy Operating LLC, the guarantors named therein and</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Delaware Trust Company (as successor in interest to Law Debenture Trust Company of New York).</w:t>
        </w:r>
      </w:hyperlink>
    </w:p>
    <w:p>
      <w:pPr>
        <w:spacing w:after="0" w:line="1" w:lineRule="exact"/>
        <w:rPr>
          <w:sz w:val="20"/>
          <w:szCs w:val="20"/>
          <w:color w:val="auto"/>
        </w:rPr>
      </w:pPr>
    </w:p>
    <w:p>
      <w:pPr>
        <w:ind w:right="20"/>
        <w:spacing w:after="0" w:line="250" w:lineRule="auto"/>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Third Supplemental Indenture, dated as of September 6, 2019, among Clearway Energy Operating LLC, the guarantors named therein and</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Delaware Trust Company.</w:t>
        </w:r>
      </w:hyperlink>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880" w:space="380"/>
            <w:col w:w="10160"/>
          </w:cols>
          <w:pgMar w:left="240" w:top="904" w:right="23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Kevin P. Malcarney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ELEVENTH SUPPLEMENTAL INDENTURE</w:t>
      </w:r>
    </w:p>
    <w:p>
      <w:pPr>
        <w:spacing w:after="0" w:line="200" w:lineRule="exact"/>
        <w:rPr>
          <w:sz w:val="20"/>
          <w:szCs w:val="20"/>
          <w:color w:val="auto"/>
        </w:rPr>
      </w:pPr>
    </w:p>
    <w:p>
      <w:pPr>
        <w:spacing w:after="0" w:line="229" w:lineRule="exact"/>
        <w:rPr>
          <w:sz w:val="20"/>
          <w:szCs w:val="20"/>
          <w:color w:val="auto"/>
        </w:rPr>
      </w:pPr>
    </w:p>
    <w:p>
      <w:pPr>
        <w:jc w:val="both"/>
        <w:ind w:right="60" w:firstLine="1556"/>
        <w:spacing w:after="0" w:line="257" w:lineRule="auto"/>
        <w:rPr>
          <w:sz w:val="20"/>
          <w:szCs w:val="20"/>
          <w:color w:val="auto"/>
        </w:rPr>
      </w:pPr>
      <w:r>
        <w:rPr>
          <w:rFonts w:ascii="Arial" w:cs="Arial" w:eastAsia="Arial" w:hAnsi="Arial"/>
          <w:sz w:val="18"/>
          <w:szCs w:val="18"/>
          <w:color w:val="auto"/>
        </w:rPr>
        <w:t>ELEVENTH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September 6, 2019, among Energy Center Fajardo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xml:space="preserve">”), a subsidiary of Clearway Energy Operating LLC (formerly known as NRG Yield O perating LLC) (or its permitted successor), a Delaware limited liability company (the “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80" w:firstLine="155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80" w:firstLine="1556"/>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right="60" w:firstLine="155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right="60" w:firstLine="1556"/>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640" w:hanging="854"/>
        <w:spacing w:after="0"/>
        <w:tabs>
          <w:tab w:leader="none" w:pos="1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jc w:val="both"/>
        <w:ind w:left="80" w:right="60" w:firstLine="706"/>
        <w:spacing w:after="0" w:line="259" w:lineRule="auto"/>
        <w:tabs>
          <w:tab w:leader="none" w:pos="1742"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left="80" w:right="60" w:firstLine="706"/>
        <w:spacing w:after="0" w:line="257" w:lineRule="auto"/>
        <w:tabs>
          <w:tab w:leader="none" w:pos="167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both"/>
        <w:ind w:firstLine="641"/>
        <w:spacing w:after="0" w:line="264" w:lineRule="auto"/>
        <w:tabs>
          <w:tab w:leader="none" w:pos="1701"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firstLine="641"/>
        <w:spacing w:after="0" w:line="277" w:lineRule="auto"/>
        <w:tabs>
          <w:tab w:leader="none" w:pos="159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580" w:hanging="939"/>
        <w:spacing w:after="0"/>
        <w:tabs>
          <w:tab w:leader="none" w:pos="1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right="20" w:firstLine="641"/>
        <w:spacing w:after="0" w:line="264" w:lineRule="auto"/>
        <w:tabs>
          <w:tab w:leader="none" w:pos="1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20" w:top="908" w:right="299" w:bottom="1440" w:gutter="0" w:footer="0" w:header="0"/>
        </w:sectPr>
      </w:pPr>
    </w:p>
    <w:bookmarkStart w:id="5" w:name="page6"/>
    <w:bookmarkEnd w:id="5"/>
    <w:p>
      <w:pPr>
        <w:ind w:right="14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ENERGY CENTER FAJARDO HOLDINGS LLC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[Signature Page to Eleventh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289560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8" w:right="23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[Signature Page to Eleventh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Benjamin Hancock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1" w:lineRule="exact"/>
        <w:rPr>
          <w:sz w:val="20"/>
          <w:szCs w:val="20"/>
          <w:color w:val="auto"/>
        </w:rPr>
      </w:pPr>
    </w:p>
    <w:p>
      <w:pPr>
        <w:jc w:val="right"/>
        <w:ind w:right="2579"/>
        <w:spacing w:after="0"/>
        <w:rPr>
          <w:sz w:val="20"/>
          <w:szCs w:val="20"/>
          <w:color w:val="auto"/>
        </w:rPr>
      </w:pPr>
      <w:r>
        <w:rPr>
          <w:rFonts w:ascii="Arial" w:cs="Arial" w:eastAsia="Arial" w:hAnsi="Arial"/>
          <w:sz w:val="18"/>
          <w:szCs w:val="18"/>
          <w:i w:val="1"/>
          <w:iCs w:val="1"/>
          <w:color w:val="auto"/>
        </w:rPr>
        <w:t>[Signature Page to Eleventh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SEVENTH SUPPLEMENTAL INDENTURE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SEVENTH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September 6, 2019, among Energy Center Fajardo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xml:space="preserve"> a subsidiary of Clearway Energy Operating LLC (formerly known as NRG Yield O perating LLC) (or its permitted successor), a Delaware limited liability company (the “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280" w:hanging="624"/>
        <w:spacing w:after="0"/>
        <w:tabs>
          <w:tab w:leader="none" w:pos="128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386" w:val="left"/>
        </w:tabs>
        <w:numPr>
          <w:ilvl w:val="0"/>
          <w:numId w:val="5"/>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86"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both"/>
        <w:ind w:firstLine="656"/>
        <w:spacing w:after="0" w:line="264" w:lineRule="auto"/>
        <w:tabs>
          <w:tab w:leader="none" w:pos="1413" w:val="left"/>
        </w:tabs>
        <w:numPr>
          <w:ilvl w:val="0"/>
          <w:numId w:val="6"/>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right="20" w:firstLine="656"/>
        <w:spacing w:after="0" w:line="277" w:lineRule="auto"/>
        <w:tabs>
          <w:tab w:leader="none" w:pos="1332" w:val="left"/>
        </w:tabs>
        <w:numPr>
          <w:ilvl w:val="0"/>
          <w:numId w:val="6"/>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280" w:hanging="624"/>
        <w:spacing w:after="0"/>
        <w:tabs>
          <w:tab w:leader="none" w:pos="128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4" w:lineRule="auto"/>
        <w:tabs>
          <w:tab w:leader="none" w:pos="1454" w:val="left"/>
        </w:tabs>
        <w:numPr>
          <w:ilvl w:val="0"/>
          <w:numId w:val="6"/>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010000"/>
        </w:rPr>
      </w:pPr>
    </w:p>
    <w:p>
      <w:pPr>
        <w:jc w:val="both"/>
        <w:ind w:firstLine="656"/>
        <w:spacing w:after="0" w:line="259" w:lineRule="auto"/>
        <w:tabs>
          <w:tab w:leader="none" w:pos="144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ENERGY CENTER FAJARDO HOLDINGS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September 6, 2019, among Energy Center Fajardo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 as trustee under the Indenture referred to below y,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4" w:lineRule="exact"/>
        <w:rPr>
          <w:sz w:val="20"/>
          <w:szCs w:val="20"/>
          <w:color w:val="auto"/>
        </w:rPr>
      </w:pPr>
    </w:p>
    <w:p>
      <w:pPr>
        <w:ind w:left="1600" w:hanging="944"/>
        <w:spacing w:after="0"/>
        <w:tabs>
          <w:tab w:leader="none" w:pos="1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jc w:val="both"/>
        <w:ind w:firstLine="656"/>
        <w:spacing w:after="0" w:line="259" w:lineRule="auto"/>
        <w:tabs>
          <w:tab w:leader="none" w:pos="1674"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674"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ind w:left="-656" w:firstLine="656"/>
        <w:spacing w:after="0" w:line="277" w:lineRule="auto"/>
        <w:tabs>
          <w:tab w:leader="none" w:pos="973"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904" w:hanging="904"/>
        <w:spacing w:after="0"/>
        <w:tabs>
          <w:tab w:leader="none" w:pos="904"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left="-656" w:firstLine="656"/>
        <w:spacing w:after="0" w:line="264"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919"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5" w:name="page16"/>
    <w:bookmarkEnd w:id="1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ENERGY CENTER FAJARDO HOLDINGS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91" w:lineRule="exact"/>
        <w:rPr>
          <w:sz w:val="20"/>
          <w:szCs w:val="20"/>
          <w:color w:val="auto"/>
        </w:rPr>
      </w:pPr>
    </w:p>
    <w:p>
      <w:pPr>
        <w:jc w:val="right"/>
        <w:ind w:right="2679"/>
        <w:spacing w:after="0"/>
        <w:rPr>
          <w:sz w:val="20"/>
          <w:szCs w:val="20"/>
          <w:color w:val="auto"/>
        </w:rPr>
      </w:pPr>
      <w:r>
        <w:rPr>
          <w:rFonts w:ascii="Arial" w:cs="Arial" w:eastAsia="Arial" w:hAnsi="Arial"/>
          <w:sz w:val="18"/>
          <w:szCs w:val="18"/>
          <w:i w:val="1"/>
          <w:iCs w:val="1"/>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2019-12-28T06:09:13Z</dcterms:created>
  <dcterms:modified xsi:type="dcterms:W3CDTF">2019-12-28T06:09:13Z</dcterms:modified>
</cp:coreProperties>
</file>