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7047865" cy="7228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722884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Plotkin Chad</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CLEARWAY ENERGY,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Clearway Energy,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CWEN</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01/02/2022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8" w:right="680" w:hanging="8"/>
        <w:spacing w:after="0" w:line="233"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8"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1108"/>
        <w:spacing w:after="0"/>
        <w:rPr>
          <w:sz w:val="20"/>
          <w:szCs w:val="20"/>
          <w:color w:val="auto"/>
        </w:rPr>
      </w:pPr>
      <w:r>
        <w:rPr>
          <w:rFonts w:ascii="Arial" w:cs="Arial" w:eastAsia="Arial" w:hAnsi="Arial"/>
          <w:sz w:val="16"/>
          <w:szCs w:val="16"/>
          <w:color w:val="0000FF"/>
        </w:rPr>
        <w:t>SVP and CFO</w:t>
      </w:r>
    </w:p>
    <w:p>
      <w:pPr>
        <w:spacing w:after="0" w:line="379" w:lineRule="exact"/>
        <w:rPr>
          <w:sz w:val="24"/>
          <w:szCs w:val="24"/>
          <w:color w:val="auto"/>
        </w:rPr>
      </w:pPr>
    </w:p>
    <w:p>
      <w:pPr>
        <w:sectPr>
          <w:pgSz w:w="11900" w:h="16838" w:orient="portrait"/>
          <w:cols w:equalWidth="0" w:num="3">
            <w:col w:w="3180" w:space="720"/>
            <w:col w:w="3112" w:space="720"/>
            <w:col w:w="3348"/>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60" w:type="dxa"/>
            <w:vAlign w:val="bottom"/>
            <w:gridSpan w:val="6"/>
          </w:tcPr>
          <w:p>
            <w:pPr>
              <w:jc w:val="center"/>
              <w:ind w:right="217"/>
              <w:spacing w:after="0" w:line="146" w:lineRule="exact"/>
              <w:rPr>
                <w:sz w:val="20"/>
                <w:szCs w:val="20"/>
                <w:color w:val="auto"/>
              </w:rPr>
            </w:pPr>
            <w:r>
              <w:rPr>
                <w:rFonts w:ascii="Arial" w:cs="Arial" w:eastAsia="Arial" w:hAnsi="Arial"/>
                <w:sz w:val="13"/>
                <w:szCs w:val="13"/>
                <w:color w:val="auto"/>
                <w:w w:val="96"/>
              </w:rPr>
              <w:t>4. If Amendment, Date of Original Filed (Month/Day/Year)</w:t>
            </w:r>
          </w:p>
        </w:tc>
        <w:tc>
          <w:tcPr>
            <w:tcW w:w="3560" w:type="dxa"/>
            <w:vAlign w:val="bottom"/>
            <w:gridSpan w:val="9"/>
          </w:tcPr>
          <w:p>
            <w:pPr>
              <w:ind w:left="22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560" w:type="dxa"/>
            <w:vAlign w:val="bottom"/>
            <w:gridSpan w:val="9"/>
            <w:vMerge w:val="restart"/>
          </w:tcPr>
          <w:p>
            <w:pPr>
              <w:ind w:left="4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PRINCETON</w:t>
            </w:r>
          </w:p>
        </w:tc>
        <w:tc>
          <w:tcPr>
            <w:tcW w:w="260" w:type="dxa"/>
            <w:vAlign w:val="bottom"/>
            <w:vMerge w:val="restart"/>
          </w:tcPr>
          <w:p>
            <w:pPr>
              <w:ind w:left="20"/>
              <w:spacing w:after="0"/>
              <w:rPr>
                <w:sz w:val="20"/>
                <w:szCs w:val="20"/>
                <w:color w:val="auto"/>
              </w:rPr>
            </w:pPr>
            <w:r>
              <w:rPr>
                <w:rFonts w:ascii="Arial" w:cs="Arial" w:eastAsia="Arial" w:hAnsi="Arial"/>
                <w:sz w:val="16"/>
                <w:szCs w:val="16"/>
                <w:color w:val="0000FF"/>
              </w:rPr>
              <w:t>NJ</w:t>
            </w:r>
          </w:p>
        </w:tc>
        <w:tc>
          <w:tcPr>
            <w:tcW w:w="98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6"/>
                <w:szCs w:val="16"/>
                <w:color w:val="0000FF"/>
              </w:rPr>
              <w:t>08540</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52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360" w:type="dxa"/>
            <w:vAlign w:val="bottom"/>
            <w:tcBorders>
              <w:bottom w:val="single" w:sz="8" w:color="2C2C2C"/>
            </w:tcBorders>
            <w:gridSpan w:val="8"/>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7160" w:type="dxa"/>
            <w:vAlign w:val="bottom"/>
            <w:tcBorders>
              <w:top w:val="single" w:sz="8" w:color="2C2C2C"/>
            </w:tcBorders>
            <w:gridSpan w:val="13"/>
          </w:tcPr>
          <w:p>
            <w:pPr>
              <w:jc w:val="center"/>
              <w:ind w:left="5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280" w:type="dxa"/>
            <w:vAlign w:val="bottom"/>
            <w:gridSpan w:val="3"/>
          </w:tcPr>
          <w:p>
            <w:pPr>
              <w:ind w:left="2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ind w:left="240"/>
              <w:spacing w:after="0" w:line="123"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jc w:val="center"/>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gridSpan w:val="3"/>
          </w:tcPr>
          <w:p>
            <w:pPr>
              <w:jc w:val="center"/>
              <w:ind w:left="67"/>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jc w:val="center"/>
              <w:ind w:right="37"/>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3"/>
            <w:vMerge w:val="restart"/>
          </w:tcPr>
          <w:p>
            <w:pPr>
              <w:jc w:val="center"/>
              <w:ind w:left="67"/>
              <w:spacing w:after="0"/>
              <w:rPr>
                <w:sz w:val="20"/>
                <w:szCs w:val="20"/>
                <w:color w:val="auto"/>
              </w:rPr>
            </w:pPr>
            <w:r>
              <w:rPr>
                <w:rFonts w:ascii="Arial" w:cs="Arial" w:eastAsia="Arial" w:hAnsi="Arial"/>
                <w:sz w:val="16"/>
                <w:szCs w:val="16"/>
                <w:color w:val="0000FF"/>
                <w:w w:val="92"/>
              </w:rPr>
              <w:t>01/02/2022</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jc w:val="center"/>
              <w:ind w:left="93"/>
              <w:spacing w:after="0"/>
              <w:rPr>
                <w:sz w:val="20"/>
                <w:szCs w:val="20"/>
                <w:color w:val="auto"/>
              </w:rPr>
            </w:pPr>
            <w:r>
              <w:rPr>
                <w:rFonts w:ascii="Arial" w:cs="Arial" w:eastAsia="Arial" w:hAnsi="Arial"/>
                <w:sz w:val="16"/>
                <w:szCs w:val="16"/>
                <w:color w:val="0000FF"/>
                <w:w w:val="94"/>
              </w:rPr>
              <w:t>1,812</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7"/>
              </w:rPr>
              <w:t>59,559</w:t>
            </w:r>
            <w:r>
              <w:rPr>
                <w:rFonts w:ascii="Arial" w:cs="Arial" w:eastAsia="Arial" w:hAnsi="Arial"/>
                <w:sz w:val="21"/>
                <w:szCs w:val="21"/>
                <w:color w:val="008000"/>
                <w:w w:val="87"/>
                <w:vertAlign w:val="superscript"/>
              </w:rPr>
              <w:t>(2)</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0000FF"/>
              </w:rPr>
              <w:t>share</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3"/>
            <w:vMerge w:val="restart"/>
          </w:tcPr>
          <w:p>
            <w:pPr>
              <w:jc w:val="center"/>
              <w:ind w:left="67"/>
              <w:spacing w:after="0"/>
              <w:rPr>
                <w:sz w:val="20"/>
                <w:szCs w:val="20"/>
                <w:color w:val="auto"/>
              </w:rPr>
            </w:pPr>
            <w:r>
              <w:rPr>
                <w:rFonts w:ascii="Arial" w:cs="Arial" w:eastAsia="Arial" w:hAnsi="Arial"/>
                <w:sz w:val="16"/>
                <w:szCs w:val="16"/>
                <w:color w:val="0000FF"/>
                <w:w w:val="92"/>
              </w:rPr>
              <w:t>01/02/2022</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jc w:val="center"/>
              <w:ind w:left="93"/>
              <w:spacing w:after="0"/>
              <w:rPr>
                <w:sz w:val="20"/>
                <w:szCs w:val="20"/>
                <w:color w:val="auto"/>
              </w:rPr>
            </w:pPr>
            <w:r>
              <w:rPr>
                <w:rFonts w:ascii="Arial" w:cs="Arial" w:eastAsia="Arial" w:hAnsi="Arial"/>
                <w:sz w:val="16"/>
                <w:szCs w:val="16"/>
                <w:color w:val="0000FF"/>
                <w:w w:val="93"/>
              </w:rPr>
              <w:t>25,502</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9"/>
              </w:rPr>
              <w:t>(3)(4)</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85,061</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0000FF"/>
              </w:rPr>
              <w:t>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3"/>
            <w:vMerge w:val="restart"/>
          </w:tcPr>
          <w:p>
            <w:pPr>
              <w:jc w:val="center"/>
              <w:ind w:left="67"/>
              <w:spacing w:after="0"/>
              <w:rPr>
                <w:sz w:val="20"/>
                <w:szCs w:val="20"/>
                <w:color w:val="auto"/>
              </w:rPr>
            </w:pPr>
            <w:r>
              <w:rPr>
                <w:rFonts w:ascii="Arial" w:cs="Arial" w:eastAsia="Arial" w:hAnsi="Arial"/>
                <w:sz w:val="16"/>
                <w:szCs w:val="16"/>
                <w:color w:val="0000FF"/>
                <w:w w:val="92"/>
              </w:rPr>
              <w:t>01/02/2022</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vMerge w:val="restart"/>
          </w:tcPr>
          <w:p>
            <w:pPr>
              <w:jc w:val="center"/>
              <w:ind w:left="93"/>
              <w:spacing w:after="0"/>
              <w:rPr>
                <w:sz w:val="20"/>
                <w:szCs w:val="20"/>
                <w:color w:val="auto"/>
              </w:rPr>
            </w:pPr>
            <w:r>
              <w:rPr>
                <w:rFonts w:ascii="Arial" w:cs="Arial" w:eastAsia="Arial" w:hAnsi="Arial"/>
                <w:sz w:val="16"/>
                <w:szCs w:val="16"/>
                <w:color w:val="0000FF"/>
                <w:w w:val="94"/>
              </w:rPr>
              <w:t>1,213</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93"/>
              </w:rPr>
              <w:t>86,274</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0000FF"/>
              </w:rPr>
              <w:t>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3100" w:type="dxa"/>
            <w:vAlign w:val="bottom"/>
            <w:tcBorders>
              <w:bottom w:val="single" w:sz="8" w:color="2C2C2C"/>
            </w:tcBorders>
            <w:gridSpan w:val="6"/>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6"/>
                <w:szCs w:val="16"/>
                <w:color w:val="0000FF"/>
                <w:w w:val="98"/>
              </w:rPr>
              <w:t>Class C Common Stock, par value $.01 per</w:t>
            </w:r>
          </w:p>
        </w:tc>
        <w:tc>
          <w:tcPr>
            <w:tcW w:w="1280" w:type="dxa"/>
            <w:vAlign w:val="bottom"/>
            <w:gridSpan w:val="3"/>
            <w:vMerge w:val="restart"/>
          </w:tcPr>
          <w:p>
            <w:pPr>
              <w:jc w:val="center"/>
              <w:ind w:left="67"/>
              <w:spacing w:after="0"/>
              <w:rPr>
                <w:sz w:val="20"/>
                <w:szCs w:val="20"/>
                <w:color w:val="auto"/>
              </w:rPr>
            </w:pPr>
            <w:r>
              <w:rPr>
                <w:rFonts w:ascii="Arial" w:cs="Arial" w:eastAsia="Arial" w:hAnsi="Arial"/>
                <w:sz w:val="16"/>
                <w:szCs w:val="16"/>
                <w:color w:val="0000FF"/>
                <w:w w:val="92"/>
              </w:rPr>
              <w:t>01/02/2022</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vMerge w:val="restart"/>
          </w:tcPr>
          <w:p>
            <w:pPr>
              <w:jc w:val="center"/>
              <w:ind w:right="262"/>
              <w:spacing w:after="0"/>
              <w:rPr>
                <w:sz w:val="20"/>
                <w:szCs w:val="20"/>
                <w:color w:val="auto"/>
              </w:rPr>
            </w:pPr>
            <w:r>
              <w:rPr>
                <w:rFonts w:ascii="Arial" w:cs="Arial" w:eastAsia="Arial" w:hAnsi="Arial"/>
                <w:sz w:val="13"/>
                <w:szCs w:val="13"/>
                <w:color w:val="0000FF"/>
              </w:rPr>
              <w:t>D</w:t>
            </w:r>
          </w:p>
        </w:tc>
        <w:tc>
          <w:tcPr>
            <w:tcW w:w="700" w:type="dxa"/>
            <w:vAlign w:val="bottom"/>
            <w:vMerge w:val="restart"/>
          </w:tcPr>
          <w:p>
            <w:pPr>
              <w:jc w:val="center"/>
              <w:ind w:left="93"/>
              <w:spacing w:after="0"/>
              <w:rPr>
                <w:sz w:val="20"/>
                <w:szCs w:val="20"/>
                <w:color w:val="auto"/>
              </w:rPr>
            </w:pPr>
            <w:r>
              <w:rPr>
                <w:rFonts w:ascii="Arial" w:cs="Arial" w:eastAsia="Arial" w:hAnsi="Arial"/>
                <w:sz w:val="16"/>
                <w:szCs w:val="16"/>
                <w:color w:val="0000FF"/>
                <w:w w:val="93"/>
              </w:rPr>
              <w:t>14,164</w:t>
            </w:r>
          </w:p>
        </w:tc>
        <w:tc>
          <w:tcPr>
            <w:tcW w:w="660" w:type="dxa"/>
            <w:vAlign w:val="bottom"/>
            <w:vMerge w:val="restart"/>
          </w:tcPr>
          <w:p>
            <w:pPr>
              <w:ind w:left="320"/>
              <w:spacing w:after="0"/>
              <w:rPr>
                <w:sz w:val="20"/>
                <w:szCs w:val="20"/>
                <w:color w:val="auto"/>
              </w:rPr>
            </w:pPr>
            <w:r>
              <w:rPr>
                <w:rFonts w:ascii="Arial" w:cs="Arial" w:eastAsia="Arial" w:hAnsi="Arial"/>
                <w:sz w:val="16"/>
                <w:szCs w:val="16"/>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28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72,110</w:t>
            </w:r>
          </w:p>
        </w:tc>
        <w:tc>
          <w:tcPr>
            <w:tcW w:w="300" w:type="dxa"/>
            <w:vAlign w:val="bottom"/>
          </w:tcPr>
          <w:p>
            <w:pPr>
              <w:spacing w:after="0"/>
              <w:rPr>
                <w:sz w:val="21"/>
                <w:szCs w:val="21"/>
                <w:color w:val="auto"/>
              </w:rPr>
            </w:pPr>
          </w:p>
        </w:tc>
        <w:tc>
          <w:tcPr>
            <w:tcW w:w="640" w:type="dxa"/>
            <w:vAlign w:val="bottom"/>
            <w:vMerge w:val="restart"/>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6"/>
                <w:szCs w:val="16"/>
                <w:color w:val="0000FF"/>
              </w:rPr>
              <w:t>share</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556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920" w:type="dxa"/>
            <w:vAlign w:val="bottom"/>
            <w:gridSpan w:val="9"/>
          </w:tcPr>
          <w:p>
            <w:pPr>
              <w:ind w:lef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Arial" w:cs="Arial" w:eastAsia="Arial" w:hAnsi="Arial"/>
                <w:sz w:val="11"/>
                <w:szCs w:val="11"/>
                <w:b w:val="1"/>
                <w:bCs w:val="1"/>
                <w:color w:val="auto"/>
              </w:rPr>
              <w:t>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Relative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jc w:val="center"/>
              <w:ind w:left="185"/>
              <w:spacing w:after="0"/>
              <w:rPr>
                <w:sz w:val="20"/>
                <w:szCs w:val="20"/>
                <w:color w:val="auto"/>
              </w:rPr>
            </w:pPr>
            <w:r>
              <w:rPr>
                <w:rFonts w:ascii="Arial" w:cs="Arial" w:eastAsia="Arial" w:hAnsi="Arial"/>
                <w:sz w:val="11"/>
                <w:szCs w:val="11"/>
                <w:color w:val="008000"/>
                <w:w w:val="89"/>
              </w:rPr>
              <w:t>(3)(4)</w:t>
            </w: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25,502</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w w:val="94"/>
              </w:rPr>
              <w:t>Performance</w:t>
            </w:r>
          </w:p>
        </w:tc>
        <w:tc>
          <w:tcPr>
            <w:tcW w:w="5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00FF"/>
                <w:w w:val="89"/>
              </w:rPr>
              <w:t>01/02/2022</w:t>
            </w: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M</w:t>
            </w:r>
          </w:p>
        </w:tc>
        <w:tc>
          <w:tcPr>
            <w:tcW w:w="480" w:type="dxa"/>
            <w:vAlign w:val="bottom"/>
          </w:tcPr>
          <w:p>
            <w:pPr>
              <w:spacing w:after="0"/>
              <w:rPr>
                <w:sz w:val="8"/>
                <w:szCs w:val="8"/>
                <w:color w:val="auto"/>
              </w:rPr>
            </w:pPr>
          </w:p>
        </w:tc>
        <w:tc>
          <w:tcPr>
            <w:tcW w:w="540" w:type="dxa"/>
            <w:vAlign w:val="bottom"/>
            <w:vMerge w:val="restart"/>
          </w:tcPr>
          <w:p>
            <w:pPr>
              <w:jc w:val="right"/>
              <w:ind w:right="59"/>
              <w:spacing w:after="0"/>
              <w:rPr>
                <w:sz w:val="20"/>
                <w:szCs w:val="20"/>
                <w:color w:val="auto"/>
              </w:rPr>
            </w:pPr>
            <w:r>
              <w:rPr>
                <w:rFonts w:ascii="Arial" w:cs="Arial" w:eastAsia="Arial" w:hAnsi="Arial"/>
                <w:sz w:val="13"/>
                <w:szCs w:val="13"/>
                <w:color w:val="0000FF"/>
              </w:rPr>
              <w:t>17,001</w:t>
            </w:r>
          </w:p>
        </w:tc>
        <w:tc>
          <w:tcPr>
            <w:tcW w:w="740" w:type="dxa"/>
            <w:vAlign w:val="bottom"/>
            <w:vMerge w:val="restart"/>
          </w:tcPr>
          <w:p>
            <w:pPr>
              <w:jc w:val="center"/>
              <w:ind w:right="22"/>
              <w:spacing w:after="0"/>
              <w:rPr>
                <w:sz w:val="20"/>
                <w:szCs w:val="20"/>
                <w:color w:val="auto"/>
              </w:rPr>
            </w:pPr>
            <w:r>
              <w:rPr>
                <w:rFonts w:ascii="Arial" w:cs="Arial" w:eastAsia="Arial" w:hAnsi="Arial"/>
                <w:sz w:val="13"/>
                <w:szCs w:val="13"/>
                <w:color w:val="0000FF"/>
                <w:w w:val="89"/>
              </w:rPr>
              <w:t>01/02/2022</w:t>
            </w:r>
          </w:p>
        </w:tc>
        <w:tc>
          <w:tcPr>
            <w:tcW w:w="700" w:type="dxa"/>
            <w:vAlign w:val="bottom"/>
            <w:vMerge w:val="restart"/>
          </w:tcPr>
          <w:p>
            <w:pPr>
              <w:ind w:left="40"/>
              <w:spacing w:after="0"/>
              <w:rPr>
                <w:sz w:val="20"/>
                <w:szCs w:val="20"/>
                <w:color w:val="auto"/>
              </w:rPr>
            </w:pPr>
            <w:r>
              <w:rPr>
                <w:rFonts w:ascii="Arial" w:cs="Arial" w:eastAsia="Arial" w:hAnsi="Arial"/>
                <w:sz w:val="13"/>
                <w:szCs w:val="13"/>
                <w:color w:val="0000FF"/>
                <w:w w:val="98"/>
              </w:rPr>
              <w:t>01/02/2022</w:t>
            </w:r>
          </w:p>
        </w:tc>
        <w:tc>
          <w:tcPr>
            <w:tcW w:w="66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22"/>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8"/>
                <w:szCs w:val="8"/>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tcPr>
          <w:p>
            <w:pPr>
              <w:jc w:val="center"/>
              <w:ind w:right="17"/>
              <w:spacing w:after="0" w:line="52" w:lineRule="exact"/>
              <w:rPr>
                <w:sz w:val="20"/>
                <w:szCs w:val="20"/>
                <w:color w:val="auto"/>
              </w:rPr>
            </w:pPr>
            <w:r>
              <w:rPr>
                <w:rFonts w:ascii="Arial" w:cs="Arial" w:eastAsia="Arial" w:hAnsi="Arial"/>
                <w:sz w:val="5"/>
                <w:szCs w:val="5"/>
                <w:color w:val="0000FF"/>
              </w:rPr>
              <w:t>par value</w:t>
            </w:r>
          </w:p>
        </w:tc>
        <w:tc>
          <w:tcPr>
            <w:tcW w:w="52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Stock Units</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vMerge w:val="restart"/>
          </w:tcPr>
          <w:p>
            <w:pPr>
              <w:jc w:val="center"/>
              <w:ind w:right="17"/>
              <w:spacing w:after="0"/>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79"/>
              </w:rPr>
              <w:t>share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Dividend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jc w:val="center"/>
              <w:ind w:left="185"/>
              <w:spacing w:after="0"/>
              <w:rPr>
                <w:sz w:val="20"/>
                <w:szCs w:val="20"/>
                <w:color w:val="auto"/>
              </w:rPr>
            </w:pPr>
            <w:r>
              <w:rPr>
                <w:rFonts w:ascii="Arial" w:cs="Arial" w:eastAsia="Arial" w:hAnsi="Arial"/>
                <w:sz w:val="11"/>
                <w:szCs w:val="11"/>
                <w:color w:val="008000"/>
                <w:w w:val="88"/>
              </w:rPr>
              <w:t>(5)</w:t>
            </w: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(5)</w:t>
            </w:r>
          </w:p>
        </w:tc>
        <w:tc>
          <w:tcPr>
            <w:tcW w:w="700" w:type="dxa"/>
            <w:vAlign w:val="bottom"/>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ind w:right="17"/>
              <w:spacing w:after="0"/>
              <w:rPr>
                <w:sz w:val="20"/>
                <w:szCs w:val="20"/>
                <w:color w:val="auto"/>
              </w:rPr>
            </w:pPr>
            <w:r>
              <w:rPr>
                <w:rFonts w:ascii="Arial" w:cs="Arial" w:eastAsia="Arial" w:hAnsi="Arial"/>
                <w:sz w:val="16"/>
                <w:szCs w:val="16"/>
                <w:color w:val="0000FF"/>
                <w:w w:val="89"/>
              </w:rPr>
              <w:t>1,213</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(5)</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Equivalent</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01/02/2022</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M</w:t>
            </w:r>
          </w:p>
        </w:tc>
        <w:tc>
          <w:tcPr>
            <w:tcW w:w="480" w:type="dxa"/>
            <w:vAlign w:val="bottom"/>
            <w:vMerge w:val="restart"/>
          </w:tcPr>
          <w:p>
            <w:pPr>
              <w:ind w:left="140"/>
              <w:spacing w:after="0" w:line="139" w:lineRule="exact"/>
              <w:rPr>
                <w:sz w:val="20"/>
                <w:szCs w:val="20"/>
                <w:color w:val="auto"/>
              </w:rPr>
            </w:pPr>
            <w:r>
              <w:rPr>
                <w:rFonts w:ascii="Arial" w:cs="Arial" w:eastAsia="Arial" w:hAnsi="Arial"/>
                <w:sz w:val="13"/>
                <w:szCs w:val="13"/>
                <w:color w:val="0000FF"/>
                <w:w w:val="98"/>
              </w:rPr>
              <w:t>1,213</w:t>
            </w:r>
          </w:p>
        </w:tc>
        <w:tc>
          <w:tcPr>
            <w:tcW w:w="5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Arial" w:cs="Arial" w:eastAsia="Arial" w:hAnsi="Arial"/>
                <w:sz w:val="13"/>
                <w:szCs w:val="13"/>
                <w:color w:val="0000FF"/>
                <w:w w:val="98"/>
              </w:rPr>
              <w:t>01/02/2022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242"/>
              <w:spacing w:after="0" w:line="139" w:lineRule="exact"/>
              <w:rPr>
                <w:sz w:val="20"/>
                <w:szCs w:val="20"/>
                <w:color w:val="auto"/>
              </w:rPr>
            </w:pPr>
            <w:r>
              <w:rPr>
                <w:rFonts w:ascii="Arial" w:cs="Arial" w:eastAsia="Arial" w:hAnsi="Arial"/>
                <w:sz w:val="13"/>
                <w:szCs w:val="13"/>
                <w:color w:val="0000FF"/>
                <w:w w:val="85"/>
              </w:rPr>
              <w:t>1,213</w:t>
            </w:r>
          </w:p>
        </w:tc>
        <w:tc>
          <w:tcPr>
            <w:tcW w:w="300" w:type="dxa"/>
            <w:vAlign w:val="bottom"/>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ind w:right="17"/>
              <w:spacing w:after="0" w:line="139" w:lineRule="exact"/>
              <w:rPr>
                <w:sz w:val="20"/>
                <w:szCs w:val="20"/>
                <w:color w:val="auto"/>
              </w:rPr>
            </w:pPr>
            <w:r>
              <w:rPr>
                <w:rFonts w:ascii="Arial" w:cs="Arial" w:eastAsia="Arial" w:hAnsi="Arial"/>
                <w:sz w:val="13"/>
                <w:szCs w:val="13"/>
                <w:color w:val="0000FF"/>
                <w:w w:val="85"/>
              </w:rPr>
              <w:t>par value</w:t>
            </w: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7"/>
              <w:spacing w:after="0" w:line="139" w:lineRule="exact"/>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79"/>
              </w:rPr>
              <w:t>share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jc w:val="center"/>
              <w:ind w:right="17"/>
              <w:spacing w:after="0"/>
              <w:rPr>
                <w:sz w:val="20"/>
                <w:szCs w:val="20"/>
                <w:color w:val="auto"/>
              </w:rPr>
            </w:pPr>
            <w:r>
              <w:rPr>
                <w:rFonts w:ascii="Arial" w:cs="Arial" w:eastAsia="Arial" w:hAnsi="Arial"/>
                <w:sz w:val="13"/>
                <w:szCs w:val="13"/>
                <w:color w:val="0000FF"/>
                <w:w w:val="83"/>
              </w:rPr>
              <w:t>Class C</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Dividend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ind w:right="17"/>
              <w:spacing w:after="0" w:line="139" w:lineRule="exact"/>
              <w:rPr>
                <w:sz w:val="20"/>
                <w:szCs w:val="20"/>
                <w:color w:val="auto"/>
              </w:rPr>
            </w:pPr>
            <w:r>
              <w:rPr>
                <w:rFonts w:ascii="Arial" w:cs="Arial" w:eastAsia="Arial" w:hAnsi="Arial"/>
                <w:sz w:val="13"/>
                <w:szCs w:val="13"/>
                <w:color w:val="0000FF"/>
                <w:w w:val="87"/>
              </w:rPr>
              <w:t>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restart"/>
          </w:tcPr>
          <w:p>
            <w:pPr>
              <w:jc w:val="center"/>
              <w:ind w:left="185"/>
              <w:spacing w:after="0"/>
              <w:rPr>
                <w:sz w:val="20"/>
                <w:szCs w:val="20"/>
                <w:color w:val="auto"/>
              </w:rPr>
            </w:pPr>
            <w:r>
              <w:rPr>
                <w:rFonts w:ascii="Arial" w:cs="Arial" w:eastAsia="Arial" w:hAnsi="Arial"/>
                <w:sz w:val="11"/>
                <w:szCs w:val="11"/>
                <w:color w:val="008000"/>
                <w:w w:val="88"/>
              </w:rPr>
              <w:t>(5)</w:t>
            </w: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vMerge w:val="restart"/>
          </w:tcPr>
          <w:p>
            <w:pPr>
              <w:jc w:val="center"/>
              <w:ind w:right="2"/>
              <w:spacing w:after="0"/>
              <w:rPr>
                <w:sz w:val="20"/>
                <w:szCs w:val="20"/>
                <w:color w:val="auto"/>
              </w:rPr>
            </w:pPr>
            <w:r>
              <w:rPr>
                <w:rFonts w:ascii="Arial" w:cs="Arial" w:eastAsia="Arial" w:hAnsi="Arial"/>
                <w:sz w:val="11"/>
                <w:szCs w:val="11"/>
                <w:color w:val="008000"/>
                <w:w w:val="88"/>
              </w:rPr>
              <w:t>(5)</w:t>
            </w:r>
          </w:p>
        </w:tc>
        <w:tc>
          <w:tcPr>
            <w:tcW w:w="700" w:type="dxa"/>
            <w:vAlign w:val="bottom"/>
          </w:tcPr>
          <w:p>
            <w:pPr>
              <w:spacing w:after="0"/>
              <w:rPr>
                <w:sz w:val="5"/>
                <w:szCs w:val="5"/>
                <w:color w:val="auto"/>
              </w:rPr>
            </w:pPr>
          </w:p>
        </w:tc>
        <w:tc>
          <w:tcPr>
            <w:tcW w:w="66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8"/>
              </w:rPr>
              <w:t>Stock,</w:t>
            </w:r>
          </w:p>
        </w:tc>
        <w:tc>
          <w:tcPr>
            <w:tcW w:w="520" w:type="dxa"/>
            <w:vAlign w:val="bottom"/>
            <w:vMerge w:val="restart"/>
          </w:tcPr>
          <w:p>
            <w:pPr>
              <w:jc w:val="center"/>
              <w:ind w:right="17"/>
              <w:spacing w:after="0"/>
              <w:rPr>
                <w:sz w:val="20"/>
                <w:szCs w:val="20"/>
                <w:color w:val="auto"/>
              </w:rPr>
            </w:pPr>
            <w:r>
              <w:rPr>
                <w:rFonts w:ascii="Arial" w:cs="Arial" w:eastAsia="Arial" w:hAnsi="Arial"/>
                <w:sz w:val="16"/>
                <w:szCs w:val="16"/>
                <w:color w:val="0000FF"/>
                <w:w w:val="89"/>
              </w:rPr>
              <w:t>1,213</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(5)</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Equivalent</w:t>
            </w: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01/02/2022</w:t>
            </w: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6"/>
                <w:szCs w:val="6"/>
                <w:color w:val="auto"/>
              </w:rPr>
            </w:pPr>
          </w:p>
        </w:tc>
        <w:tc>
          <w:tcPr>
            <w:tcW w:w="540" w:type="dxa"/>
            <w:vAlign w:val="bottom"/>
            <w:vMerge w:val="restart"/>
          </w:tcPr>
          <w:p>
            <w:pPr>
              <w:jc w:val="right"/>
              <w:ind w:right="79"/>
              <w:spacing w:after="0" w:line="139" w:lineRule="exact"/>
              <w:rPr>
                <w:sz w:val="20"/>
                <w:szCs w:val="20"/>
                <w:color w:val="auto"/>
              </w:rPr>
            </w:pPr>
            <w:r>
              <w:rPr>
                <w:rFonts w:ascii="Arial" w:cs="Arial" w:eastAsia="Arial" w:hAnsi="Arial"/>
                <w:sz w:val="13"/>
                <w:szCs w:val="13"/>
                <w:color w:val="0000FF"/>
              </w:rPr>
              <w:t>1,213</w:t>
            </w:r>
          </w:p>
        </w:tc>
        <w:tc>
          <w:tcPr>
            <w:tcW w:w="740" w:type="dxa"/>
            <w:vAlign w:val="bottom"/>
            <w:vMerge w:val="continue"/>
          </w:tcPr>
          <w:p>
            <w:pPr>
              <w:spacing w:after="0"/>
              <w:rPr>
                <w:sz w:val="6"/>
                <w:szCs w:val="6"/>
                <w:color w:val="auto"/>
              </w:rPr>
            </w:pPr>
          </w:p>
        </w:tc>
        <w:tc>
          <w:tcPr>
            <w:tcW w:w="700" w:type="dxa"/>
            <w:vAlign w:val="bottom"/>
            <w:vMerge w:val="restart"/>
          </w:tcPr>
          <w:p>
            <w:pPr>
              <w:ind w:left="40"/>
              <w:spacing w:after="0" w:line="139" w:lineRule="exact"/>
              <w:rPr>
                <w:sz w:val="20"/>
                <w:szCs w:val="20"/>
                <w:color w:val="auto"/>
              </w:rPr>
            </w:pPr>
            <w:r>
              <w:rPr>
                <w:rFonts w:ascii="Arial" w:cs="Arial" w:eastAsia="Arial" w:hAnsi="Arial"/>
                <w:sz w:val="13"/>
                <w:szCs w:val="13"/>
                <w:color w:val="0000FF"/>
                <w:w w:val="98"/>
              </w:rPr>
              <w:t>01/02/2022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222"/>
              <w:spacing w:after="0" w:line="139"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ind w:right="17"/>
              <w:spacing w:after="0" w:line="139" w:lineRule="exact"/>
              <w:rPr>
                <w:sz w:val="20"/>
                <w:szCs w:val="20"/>
                <w:color w:val="auto"/>
              </w:rPr>
            </w:pPr>
            <w:r>
              <w:rPr>
                <w:rFonts w:ascii="Arial" w:cs="Arial" w:eastAsia="Arial" w:hAnsi="Arial"/>
                <w:sz w:val="13"/>
                <w:szCs w:val="13"/>
                <w:color w:val="0000FF"/>
                <w:w w:val="85"/>
              </w:rPr>
              <w:t>par value</w:t>
            </w:r>
          </w:p>
        </w:tc>
        <w:tc>
          <w:tcPr>
            <w:tcW w:w="5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ind w:right="17"/>
              <w:spacing w:after="0"/>
              <w:rPr>
                <w:sz w:val="20"/>
                <w:szCs w:val="20"/>
                <w:color w:val="auto"/>
              </w:rPr>
            </w:pPr>
            <w:r>
              <w:rPr>
                <w:rFonts w:ascii="Arial" w:cs="Arial" w:eastAsia="Arial" w:hAnsi="Arial"/>
                <w:sz w:val="13"/>
                <w:szCs w:val="13"/>
                <w:color w:val="0000FF"/>
                <w:w w:val="87"/>
              </w:rPr>
              <w:t>$.01 per</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020"/>
        <w:spacing w:after="0"/>
        <w:rPr>
          <w:sz w:val="20"/>
          <w:szCs w:val="20"/>
          <w:color w:val="auto"/>
        </w:rPr>
      </w:pPr>
      <w:r>
        <w:rPr>
          <w:rFonts w:ascii="Arial" w:cs="Arial" w:eastAsia="Arial" w:hAnsi="Arial"/>
          <w:sz w:val="13"/>
          <w:szCs w:val="13"/>
          <w:color w:val="0000FF"/>
        </w:rPr>
        <w:t>share</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jc w:val="both"/>
        <w:ind w:left="40" w:right="280" w:hanging="1"/>
        <w:spacing w:after="0" w:line="254"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2019, Mr. Plotkin was issued 9,114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2022, 3,045 shares vested. Mr. Plotkin elected to satisfy his tax obligation upon the exchange of common stock for RSUs having a value on the date of the exchange equal to the withholding obligation. This form reflects the surrender of 1,812 shares of Class C Common Stock to satisfy the grantee's tax withholding obligation.</w:t>
      </w:r>
    </w:p>
    <w:p>
      <w:pPr>
        <w:spacing w:after="0" w:line="22" w:lineRule="exact"/>
        <w:rPr>
          <w:rFonts w:ascii="Arial" w:cs="Arial" w:eastAsia="Arial" w:hAnsi="Arial"/>
          <w:sz w:val="12"/>
          <w:szCs w:val="12"/>
          <w:color w:val="008000"/>
        </w:rPr>
      </w:pPr>
    </w:p>
    <w:p>
      <w:pPr>
        <w:ind w:left="40" w:right="260" w:hanging="1"/>
        <w:spacing w:after="0" w:line="26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434 DERs converted to Class C Common Stock, resulting in the reporting person holding 4,726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7" w:lineRule="exact"/>
        <w:rPr>
          <w:rFonts w:ascii="Arial" w:cs="Arial" w:eastAsia="Arial" w:hAnsi="Arial"/>
          <w:sz w:val="12"/>
          <w:szCs w:val="12"/>
          <w:color w:val="008000"/>
        </w:rPr>
      </w:pPr>
    </w:p>
    <w:p>
      <w:pPr>
        <w:ind w:left="40" w:right="180" w:hanging="1"/>
        <w:spacing w:after="0" w:line="280"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Plotkin was issued 17,001 Relative Performance Stock Units ("RPSUs") by Clearway Energy, Inc. (f/k/a NRG Yield, Inc.) (the "Company") under the Company's Amended and Restated 2013 Equity Incentive Plan (the "LTIP") on January 2, 2019. Based on the Company reaching a certain level of total shareholder return ("TSR"), 25,502 RPSUs vested on January 2, 2022.</w:t>
      </w:r>
    </w:p>
    <w:p>
      <w:pPr>
        <w:spacing w:after="0" w:line="6" w:lineRule="exact"/>
        <w:rPr>
          <w:rFonts w:ascii="Arial" w:cs="Arial" w:eastAsia="Arial" w:hAnsi="Arial"/>
          <w:sz w:val="12"/>
          <w:szCs w:val="12"/>
          <w:color w:val="008000"/>
        </w:rPr>
      </w:pPr>
    </w:p>
    <w:p>
      <w:pPr>
        <w:ind w:left="40" w:right="200" w:hanging="1"/>
        <w:spacing w:after="0" w:line="251"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Plotkin was entitled to receive (i) a maximum of 25,502 shares of Class C Common Stock if Company's TSR ranked at or above the 75th percentile relative to a peer group of companies approved by the Company's Compensation Committee (the "Peer Group") for the performance period (the "Maximum"); (ii) 17,001 shares if Company's TSR ranked at the 50th percentile relative to the Peer Group for the performance period (the "Target"); provided, however, if TSR was less than negative twenty percent (-20%), the Company's TSR must be ranked at the 60th percentile relative to the Peer Group for the performance period to receive the Target award; or (iii) 4,250 shares if Company's TSR ranked at the 25th percentile relative to the Peer Group for the performance period (the "Threshold"). The Reporting Person would not have received any shares if Company's TSR was below the 25th percentile relative to the Peer Group for the performance period.</w:t>
      </w:r>
    </w:p>
    <w:p>
      <w:pPr>
        <w:spacing w:after="0" w:line="23" w:lineRule="exact"/>
        <w:rPr>
          <w:rFonts w:ascii="Arial" w:cs="Arial" w:eastAsia="Arial" w:hAnsi="Arial"/>
          <w:sz w:val="12"/>
          <w:szCs w:val="12"/>
          <w:color w:val="008000"/>
        </w:rPr>
      </w:pPr>
    </w:p>
    <w:p>
      <w:pPr>
        <w:ind w:left="40" w:right="160" w:hanging="1"/>
        <w:spacing w:after="0" w:line="23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vesting of the RPSUs described above, a previously accrued 2,426 dividend equivalent rights ("DERs") and an incremental 1,213 DERs vested and converted to Class C Common Stock resulting in the reporting person holding 2,300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30" w:lineRule="exact"/>
        <w:rPr>
          <w:rFonts w:ascii="Arial" w:cs="Arial" w:eastAsia="Arial" w:hAnsi="Arial"/>
          <w:sz w:val="13"/>
          <w:szCs w:val="13"/>
          <w:color w:val="008000"/>
        </w:rPr>
      </w:pPr>
    </w:p>
    <w:p>
      <w:pPr>
        <w:ind w:left="40" w:right="30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Plotkin elected to satisfy his tax obligation upon the exchange of common stock for RPSUs having a value on the date of the exchange equal to the withholding obligation. This form reflects the surrender of 14,164 shares of Class C Common Stock to satisfy the grantee's tax withholding obligation.</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61" w:type="dxa"/>
        <w:tblCellMar>
          <w:top w:w="0" w:type="dxa"/>
          <w:left w:w="0" w:type="dxa"/>
          <w:bottom w:w="0" w:type="dxa"/>
          <w:right w:w="0" w:type="dxa"/>
        </w:tblCellMar>
      </w:tblPr>
      <w:tr>
        <w:trPr>
          <w:trHeight w:val="184"/>
        </w:trPr>
        <w:tc>
          <w:tcPr>
            <w:tcW w:w="2020" w:type="dxa"/>
            <w:vAlign w:val="bottom"/>
            <w:gridSpan w:val="3"/>
          </w:tcPr>
          <w:p>
            <w:pPr>
              <w:spacing w:after="0"/>
              <w:rPr>
                <w:sz w:val="20"/>
                <w:szCs w:val="20"/>
                <w:color w:val="auto"/>
              </w:rPr>
            </w:pPr>
            <w:r>
              <w:rPr>
                <w:rFonts w:ascii="Arial" w:cs="Arial" w:eastAsia="Arial" w:hAnsi="Arial"/>
                <w:sz w:val="16"/>
                <w:szCs w:val="16"/>
                <w:color w:val="0000FF"/>
              </w:rPr>
              <w:t>/s/ Kevin P. Malcarney, by</w:t>
            </w:r>
          </w:p>
        </w:tc>
        <w:tc>
          <w:tcPr>
            <w:tcW w:w="920" w:type="dxa"/>
            <w:vAlign w:val="bottom"/>
            <w:gridSpan w:val="2"/>
          </w:tcPr>
          <w:p>
            <w:pPr>
              <w:ind w:left="180"/>
              <w:spacing w:after="0"/>
              <w:rPr>
                <w:sz w:val="20"/>
                <w:szCs w:val="20"/>
                <w:color w:val="auto"/>
              </w:rPr>
            </w:pPr>
            <w:r>
              <w:rPr>
                <w:rFonts w:ascii="Arial" w:cs="Arial" w:eastAsia="Arial" w:hAnsi="Arial"/>
                <w:sz w:val="16"/>
                <w:szCs w:val="16"/>
                <w:color w:val="0000FF"/>
                <w:w w:val="89"/>
              </w:rPr>
              <w:t>01/04/2022</w:t>
            </w:r>
          </w:p>
        </w:tc>
      </w:tr>
      <w:tr>
        <w:trPr>
          <w:trHeight w:val="182"/>
        </w:trPr>
        <w:tc>
          <w:tcPr>
            <w:tcW w:w="12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6"/>
                <w:szCs w:val="16"/>
                <w:color w:val="0000FF"/>
                <w:w w:val="94"/>
              </w:rPr>
              <w:t>Power of Attorney</w:t>
            </w:r>
          </w:p>
        </w:tc>
        <w:tc>
          <w:tcPr>
            <w:tcW w:w="5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20"/>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79" w:hanging="1"/>
        <w:spacing w:after="0" w:line="326"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2022-01-04T16:18:21Z</dcterms:created>
  <dcterms:modified xsi:type="dcterms:W3CDTF">2022-01-04T16:18:21Z</dcterms:modified>
</cp:coreProperties>
</file>