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Brian R.</w:t>
              </w:r>
            </w:hyperlink>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03/03/2025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136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8,289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1,233</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34"/>
                <w:szCs w:val="34"/>
                <w:color w:val="0000FF"/>
                <w:vertAlign w:val="subscript"/>
              </w:rPr>
              <w:t>79,116</w:t>
            </w:r>
            <w:r>
              <w:rPr>
                <w:rFonts w:ascii="Times New Roman" w:cs="Times New Roman" w:eastAsia="Times New Roman" w:hAnsi="Times New Roman"/>
                <w:sz w:val="11"/>
                <w:szCs w:val="11"/>
                <w:color w:val="008000"/>
              </w:rPr>
              <w:t>(3)(4)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3,742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21,606 dividend equivalent rights that may only be settled in Class C Common Stock.</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1,000 Class C Shares that were sold and reported on the Form 4 filed 12/13/2024 were held indirectly and sold by the Reporting Person's spouse. The Amount of Securities Beneficially Owned in column 5 has been updated accordingly.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2025-03-05T15:40:13Z</dcterms:created>
  <dcterms:modified xsi:type="dcterms:W3CDTF">2025-03-05T15:40:13Z</dcterms:modified>
</cp:coreProperties>
</file>