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17" w:right="339" w:bottom="1440" w:gutter="0" w:footer="0" w:header="0"/>
          <w:type w:val="continuous"/>
        </w:sectPr>
      </w:pPr>
    </w:p>
    <w:p>
      <w:pPr>
        <w:spacing w:after="0" w:line="217"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15"/>
          <w:szCs w:val="15"/>
          <w:b w:val="1"/>
          <w:bCs w:val="1"/>
          <w:color w:val="auto"/>
        </w:rPr>
        <w:t>Name of each exchange on which</w:t>
      </w:r>
    </w:p>
    <w:p>
      <w:pPr>
        <w:spacing w:after="0" w:line="62"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registered</w:t>
      </w:r>
    </w:p>
    <w:p>
      <w:pPr>
        <w:spacing w:after="0" w:line="9"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ectPr>
          <w:pgSz w:w="11900" w:h="16838" w:orient="portrait"/>
          <w:cols w:equalWidth="0" w:num="3">
            <w:col w:w="4200" w:space="720"/>
            <w:col w:w="2520" w:space="720"/>
            <w:col w:w="3080"/>
          </w:cols>
          <w:pgMar w:left="320" w:top="517" w:right="339" w:bottom="1440" w:gutter="0" w:footer="0" w:header="0"/>
          <w:type w:val="continuous"/>
        </w:sectPr>
      </w:pPr>
    </w:p>
    <w:p>
      <w:pPr>
        <w:spacing w:after="0" w:line="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March 9, 2021, Clearway Energy Operating LLC (“Clearway Operating”), a subsidiary of Clearway Energy LLC, completed the sale of $925 million aggregate principal amount of 3.750% senior notes due 2031 (the “Senior Notes”) pursuant to the terms of the purchase agreement, dated March 2, 2021 (the “Purchase Agreement”), among Clearway Operating, the guarantors named therein and the initial purchasers named therein (the “Initial Purchasers”). The Senior Notes were issued under an Indenture, dated March 9, 2021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February 15 and August 15 of each year beginning on August 15, 2021 until their maturity date of February 15, 2031.</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any time prior to February 15, 2024, Clearway Operating may redeem up to 40% of the Senior Notes at a redemption price of 103.750%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addition, at any time prior to February 15, 2026, Clearway Operating may redeem all or a portion of the Senior Notes for cash at a redemption price equal to 100% of the principal amount of the Senior Notes redeemed, plus an applicable make-whole premium and accrued and unpaid interest to the redemption date. On and after February 15, 2026, Clearway Operating may redeem all or a portion of the Senior Notes at redemption prices set forth in the Indenture, plus accrued and unpaid interest to the redemption date.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Senior Notes were sold to the Initial Purchasers for resale to persons reasonably believed to be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720" w:type="dxa"/>
            <w:vAlign w:val="bottom"/>
          </w:tcPr>
          <w:p>
            <w:pPr>
              <w:spacing w:after="0"/>
              <w:rPr>
                <w:sz w:val="20"/>
                <w:szCs w:val="20"/>
                <w:color w:val="auto"/>
              </w:rPr>
            </w:pPr>
          </w:p>
        </w:tc>
        <w:tc>
          <w:tcPr>
            <w:tcW w:w="9160" w:type="dxa"/>
            <w:vAlign w:val="bottom"/>
            <w:gridSpan w:val="2"/>
          </w:tcPr>
          <w:p>
            <w:pPr>
              <w:ind w:left="38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40" w:type="dxa"/>
            <w:vAlign w:val="bottom"/>
            <w:tcBorders>
              <w:top w:val="single" w:sz="8" w:color="auto"/>
            </w:tcBorders>
          </w:tcPr>
          <w:p>
            <w:pPr>
              <w:jc w:val="right"/>
              <w:ind w:right="37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Indenture, dated March 9, 2021, among Clearway Energy Operating LLC, the guarantors named therein and Delaware Trust Company,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as trustee.</w:t>
              </w:r>
            </w:hyperlink>
          </w:p>
        </w:tc>
        <w:tc>
          <w:tcPr>
            <w:tcW w:w="89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1140" w:type="dxa"/>
            <w:vAlign w:val="bottom"/>
          </w:tcPr>
          <w:p>
            <w:pPr>
              <w:jc w:val="right"/>
              <w:ind w:right="37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Form of 3.750% Senior Notes due 2031 (incorporated by reference to Exhibit 4.1 filed herewith).</w:t>
              </w:r>
            </w:hyperlink>
          </w:p>
        </w:tc>
      </w:tr>
    </w:tbl>
    <w:p>
      <w:pPr>
        <w:spacing w:after="0" w:line="202" w:lineRule="exact"/>
        <w:rPr>
          <w:sz w:val="20"/>
          <w:szCs w:val="20"/>
          <w:color w:val="auto"/>
        </w:rPr>
      </w:pPr>
    </w:p>
    <w:p>
      <w:pPr>
        <w:ind w:left="1360" w:hanging="92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3.750%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Dated as of 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477520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314960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734695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380" w:type="dxa"/>
            <w:vAlign w:val="bottom"/>
          </w:tcPr>
          <w:p>
            <w:pPr>
              <w:jc w:val="center"/>
              <w:ind w:left="510"/>
              <w:spacing w:after="0"/>
              <w:rPr>
                <w:sz w:val="20"/>
                <w:szCs w:val="20"/>
                <w:color w:val="auto"/>
              </w:rPr>
            </w:pPr>
            <w:r>
              <w:rPr>
                <w:rFonts w:ascii="Arial" w:cs="Arial" w:eastAsia="Arial" w:hAnsi="Arial"/>
                <w:sz w:val="18"/>
                <w:szCs w:val="18"/>
                <w:color w:val="auto"/>
                <w:w w:val="95"/>
              </w:rPr>
              <w:t>TABLE OF CONTENTS</w:t>
            </w:r>
          </w:p>
        </w:tc>
        <w:tc>
          <w:tcPr>
            <w:tcW w:w="17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490"/>
              <w:spacing w:after="0"/>
              <w:rPr>
                <w:sz w:val="20"/>
                <w:szCs w:val="20"/>
                <w:color w:val="auto"/>
              </w:rPr>
            </w:pPr>
            <w:r>
              <w:rPr>
                <w:rFonts w:ascii="Arial" w:cs="Arial" w:eastAsia="Arial" w:hAnsi="Arial"/>
                <w:sz w:val="18"/>
                <w:szCs w:val="18"/>
                <w:color w:val="auto"/>
                <w:w w:val="96"/>
              </w:rPr>
              <w:t>ARTICLE 1</w:t>
            </w:r>
          </w:p>
        </w:tc>
        <w:tc>
          <w:tcPr>
            <w:tcW w:w="17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8380" w:type="dxa"/>
            <w:vAlign w:val="bottom"/>
          </w:tcPr>
          <w:p>
            <w:pPr>
              <w:jc w:val="center"/>
              <w:ind w:left="490"/>
              <w:spacing w:after="0"/>
              <w:rPr>
                <w:sz w:val="20"/>
                <w:szCs w:val="20"/>
                <w:color w:val="auto"/>
              </w:rPr>
            </w:pPr>
            <w:r>
              <w:rPr>
                <w:rFonts w:ascii="Arial" w:cs="Arial" w:eastAsia="Arial" w:hAnsi="Arial"/>
                <w:sz w:val="18"/>
                <w:szCs w:val="18"/>
                <w:color w:val="auto"/>
                <w:w w:val="96"/>
              </w:rPr>
              <w:t>DEFINITIONS AND INCORPORATION</w:t>
            </w:r>
          </w:p>
        </w:tc>
        <w:tc>
          <w:tcPr>
            <w:tcW w:w="17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490"/>
              <w:spacing w:after="0"/>
              <w:rPr>
                <w:sz w:val="20"/>
                <w:szCs w:val="20"/>
                <w:color w:val="auto"/>
              </w:rPr>
            </w:pPr>
            <w:r>
              <w:rPr>
                <w:rFonts w:ascii="Arial" w:cs="Arial" w:eastAsia="Arial" w:hAnsi="Arial"/>
                <w:sz w:val="18"/>
                <w:szCs w:val="18"/>
                <w:color w:val="auto"/>
                <w:w w:val="94"/>
              </w:rPr>
              <w:t>BY REFERENCE</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1.01</w:t>
            </w:r>
          </w:p>
        </w:tc>
        <w:tc>
          <w:tcPr>
            <w:tcW w:w="838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1.02</w:t>
            </w:r>
          </w:p>
        </w:tc>
        <w:tc>
          <w:tcPr>
            <w:tcW w:w="8380" w:type="dxa"/>
            <w:vAlign w:val="bottom"/>
          </w:tcPr>
          <w:p>
            <w:pPr>
              <w:ind w:left="220"/>
              <w:spacing w:after="0"/>
              <w:rPr>
                <w:sz w:val="20"/>
                <w:szCs w:val="20"/>
                <w:color w:val="auto"/>
              </w:rPr>
            </w:pPr>
            <w:r>
              <w:rPr>
                <w:rFonts w:ascii="Arial" w:cs="Arial" w:eastAsia="Arial" w:hAnsi="Arial"/>
                <w:sz w:val="18"/>
                <w:szCs w:val="18"/>
                <w:color w:val="auto"/>
              </w:rPr>
              <w:t>Other 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1.03</w:t>
            </w:r>
          </w:p>
        </w:tc>
        <w:tc>
          <w:tcPr>
            <w:tcW w:w="838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1.04</w:t>
            </w:r>
          </w:p>
        </w:tc>
        <w:tc>
          <w:tcPr>
            <w:tcW w:w="838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ARTICLE 2</w:t>
            </w:r>
          </w:p>
        </w:tc>
        <w:tc>
          <w:tcPr>
            <w:tcW w:w="17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THE ISSUANCE OF NOTES AND ADDITIONAL SECURITIES</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2.01</w:t>
            </w:r>
          </w:p>
        </w:tc>
        <w:tc>
          <w:tcPr>
            <w:tcW w:w="8380" w:type="dxa"/>
            <w:vAlign w:val="bottom"/>
          </w:tcPr>
          <w:p>
            <w:pPr>
              <w:ind w:left="220"/>
              <w:spacing w:after="0"/>
              <w:rPr>
                <w:sz w:val="20"/>
                <w:szCs w:val="20"/>
                <w:color w:val="auto"/>
              </w:rPr>
            </w:pPr>
            <w:r>
              <w:rPr>
                <w:rFonts w:ascii="Arial" w:cs="Arial" w:eastAsia="Arial" w:hAnsi="Arial"/>
                <w:sz w:val="18"/>
                <w:szCs w:val="18"/>
                <w:color w:val="auto"/>
              </w:rPr>
              <w:t>Form and Dating of Notes; Creation of Additional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2.02</w:t>
            </w:r>
          </w:p>
        </w:tc>
        <w:tc>
          <w:tcPr>
            <w:tcW w:w="8380" w:type="dxa"/>
            <w:vAlign w:val="bottom"/>
          </w:tcPr>
          <w:p>
            <w:pPr>
              <w:ind w:left="220"/>
              <w:spacing w:after="0"/>
              <w:rPr>
                <w:sz w:val="20"/>
                <w:szCs w:val="20"/>
                <w:color w:val="auto"/>
              </w:rPr>
            </w:pPr>
            <w:r>
              <w:rPr>
                <w:rFonts w:ascii="Arial" w:cs="Arial" w:eastAsia="Arial" w:hAnsi="Arial"/>
                <w:sz w:val="18"/>
                <w:szCs w:val="18"/>
                <w:color w:val="auto"/>
              </w:rPr>
              <w:t>Execution and Authentication</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2.03</w:t>
            </w:r>
          </w:p>
        </w:tc>
        <w:tc>
          <w:tcPr>
            <w:tcW w:w="8380" w:type="dxa"/>
            <w:vAlign w:val="bottom"/>
          </w:tcPr>
          <w:p>
            <w:pPr>
              <w:ind w:left="220"/>
              <w:spacing w:after="0"/>
              <w:rPr>
                <w:sz w:val="20"/>
                <w:szCs w:val="20"/>
                <w:color w:val="auto"/>
              </w:rPr>
            </w:pPr>
            <w:r>
              <w:rPr>
                <w:rFonts w:ascii="Arial" w:cs="Arial" w:eastAsia="Arial" w:hAnsi="Arial"/>
                <w:sz w:val="18"/>
                <w:szCs w:val="18"/>
                <w:color w:val="auto"/>
              </w:rPr>
              <w:t>Registrar and Paying Agent</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2.04</w:t>
            </w:r>
          </w:p>
        </w:tc>
        <w:tc>
          <w:tcPr>
            <w:tcW w:w="8380" w:type="dxa"/>
            <w:vAlign w:val="bottom"/>
          </w:tcPr>
          <w:p>
            <w:pPr>
              <w:ind w:left="220"/>
              <w:spacing w:after="0"/>
              <w:rPr>
                <w:sz w:val="20"/>
                <w:szCs w:val="20"/>
                <w:color w:val="auto"/>
              </w:rPr>
            </w:pPr>
            <w:r>
              <w:rPr>
                <w:rFonts w:ascii="Arial" w:cs="Arial" w:eastAsia="Arial" w:hAnsi="Arial"/>
                <w:sz w:val="18"/>
                <w:szCs w:val="18"/>
                <w:color w:val="auto"/>
              </w:rPr>
              <w:t>Paying Agent to Hold Money in Trust</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2.05</w:t>
            </w:r>
          </w:p>
        </w:tc>
        <w:tc>
          <w:tcPr>
            <w:tcW w:w="8380" w:type="dxa"/>
            <w:vAlign w:val="bottom"/>
          </w:tcPr>
          <w:p>
            <w:pPr>
              <w:ind w:left="220"/>
              <w:spacing w:after="0"/>
              <w:rPr>
                <w:sz w:val="20"/>
                <w:szCs w:val="20"/>
                <w:color w:val="auto"/>
              </w:rPr>
            </w:pPr>
            <w:r>
              <w:rPr>
                <w:rFonts w:ascii="Arial" w:cs="Arial" w:eastAsia="Arial" w:hAnsi="Arial"/>
                <w:sz w:val="18"/>
                <w:szCs w:val="18"/>
                <w:color w:val="auto"/>
              </w:rPr>
              <w:t>Holder Lists</w:t>
            </w: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220"/>
              <w:spacing w:after="0"/>
              <w:rPr>
                <w:sz w:val="20"/>
                <w:szCs w:val="20"/>
                <w:color w:val="auto"/>
              </w:rPr>
            </w:pPr>
            <w:r>
              <w:rPr>
                <w:rFonts w:ascii="Arial" w:cs="Arial" w:eastAsia="Arial" w:hAnsi="Arial"/>
                <w:sz w:val="18"/>
                <w:szCs w:val="18"/>
                <w:color w:val="auto"/>
              </w:rPr>
              <w:t>Transfer and Exchange</w:t>
            </w:r>
          </w:p>
        </w:tc>
        <w:tc>
          <w:tcPr>
            <w:tcW w:w="1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2.07</w:t>
            </w:r>
          </w:p>
        </w:tc>
        <w:tc>
          <w:tcPr>
            <w:tcW w:w="8380" w:type="dxa"/>
            <w:vAlign w:val="bottom"/>
          </w:tcPr>
          <w:p>
            <w:pPr>
              <w:ind w:left="220"/>
              <w:spacing w:after="0"/>
              <w:rPr>
                <w:sz w:val="20"/>
                <w:szCs w:val="20"/>
                <w:color w:val="auto"/>
              </w:rPr>
            </w:pPr>
            <w:r>
              <w:rPr>
                <w:rFonts w:ascii="Arial" w:cs="Arial" w:eastAsia="Arial" w:hAnsi="Arial"/>
                <w:sz w:val="18"/>
                <w:szCs w:val="18"/>
                <w:color w:val="auto"/>
              </w:rPr>
              <w:t>Issuance of Additional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220"/>
              <w:spacing w:after="0"/>
              <w:rPr>
                <w:sz w:val="20"/>
                <w:szCs w:val="20"/>
                <w:color w:val="auto"/>
              </w:rPr>
            </w:pPr>
            <w:r>
              <w:rPr>
                <w:rFonts w:ascii="Arial" w:cs="Arial" w:eastAsia="Arial" w:hAnsi="Arial"/>
                <w:sz w:val="18"/>
                <w:szCs w:val="18"/>
                <w:color w:val="auto"/>
              </w:rPr>
              <w:t>Replacement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2.09</w:t>
            </w:r>
          </w:p>
        </w:tc>
        <w:tc>
          <w:tcPr>
            <w:tcW w:w="8380" w:type="dxa"/>
            <w:vAlign w:val="bottom"/>
          </w:tcPr>
          <w:p>
            <w:pPr>
              <w:ind w:left="220"/>
              <w:spacing w:after="0"/>
              <w:rPr>
                <w:sz w:val="20"/>
                <w:szCs w:val="20"/>
                <w:color w:val="auto"/>
              </w:rPr>
            </w:pPr>
            <w:r>
              <w:rPr>
                <w:rFonts w:ascii="Arial" w:cs="Arial" w:eastAsia="Arial" w:hAnsi="Arial"/>
                <w:sz w:val="18"/>
                <w:szCs w:val="18"/>
                <w:color w:val="auto"/>
              </w:rPr>
              <w:t>Outstanding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220"/>
              <w:spacing w:after="0"/>
              <w:rPr>
                <w:sz w:val="20"/>
                <w:szCs w:val="20"/>
                <w:color w:val="auto"/>
              </w:rPr>
            </w:pPr>
            <w:r>
              <w:rPr>
                <w:rFonts w:ascii="Arial" w:cs="Arial" w:eastAsia="Arial" w:hAnsi="Arial"/>
                <w:sz w:val="18"/>
                <w:szCs w:val="18"/>
                <w:color w:val="auto"/>
              </w:rPr>
              <w:t>Treasury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220"/>
              <w:spacing w:after="0"/>
              <w:rPr>
                <w:sz w:val="20"/>
                <w:szCs w:val="20"/>
                <w:color w:val="auto"/>
              </w:rPr>
            </w:pPr>
            <w:r>
              <w:rPr>
                <w:rFonts w:ascii="Arial" w:cs="Arial" w:eastAsia="Arial" w:hAnsi="Arial"/>
                <w:sz w:val="18"/>
                <w:szCs w:val="18"/>
                <w:color w:val="auto"/>
              </w:rPr>
              <w:t>Temporary Securities</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2.12</w:t>
            </w:r>
          </w:p>
        </w:tc>
        <w:tc>
          <w:tcPr>
            <w:tcW w:w="838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2.13</w:t>
            </w:r>
          </w:p>
        </w:tc>
        <w:tc>
          <w:tcPr>
            <w:tcW w:w="8380" w:type="dxa"/>
            <w:vAlign w:val="bottom"/>
          </w:tcPr>
          <w:p>
            <w:pPr>
              <w:ind w:left="220"/>
              <w:spacing w:after="0"/>
              <w:rPr>
                <w:sz w:val="20"/>
                <w:szCs w:val="20"/>
                <w:color w:val="auto"/>
              </w:rPr>
            </w:pPr>
            <w:r>
              <w:rPr>
                <w:rFonts w:ascii="Arial" w:cs="Arial" w:eastAsia="Arial" w:hAnsi="Arial"/>
                <w:sz w:val="18"/>
                <w:szCs w:val="18"/>
                <w:color w:val="auto"/>
              </w:rPr>
              <w:t>Defaulted Interest</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ARTICLE 3</w:t>
            </w:r>
          </w:p>
        </w:tc>
        <w:tc>
          <w:tcPr>
            <w:tcW w:w="17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5"/>
              </w:rPr>
              <w:t>REDEMPTION AND PREPAYMENT</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3.01</w:t>
            </w:r>
          </w:p>
        </w:tc>
        <w:tc>
          <w:tcPr>
            <w:tcW w:w="8380" w:type="dxa"/>
            <w:vAlign w:val="bottom"/>
          </w:tcPr>
          <w:p>
            <w:pPr>
              <w:ind w:left="220"/>
              <w:spacing w:after="0"/>
              <w:rPr>
                <w:sz w:val="20"/>
                <w:szCs w:val="20"/>
                <w:color w:val="auto"/>
              </w:rPr>
            </w:pPr>
            <w:r>
              <w:rPr>
                <w:rFonts w:ascii="Arial" w:cs="Arial" w:eastAsia="Arial" w:hAnsi="Arial"/>
                <w:sz w:val="18"/>
                <w:szCs w:val="18"/>
                <w:color w:val="auto"/>
              </w:rPr>
              <w:t>Notices to Trustee</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3.02</w:t>
            </w:r>
          </w:p>
        </w:tc>
        <w:tc>
          <w:tcPr>
            <w:tcW w:w="8380" w:type="dxa"/>
            <w:vAlign w:val="bottom"/>
          </w:tcPr>
          <w:p>
            <w:pPr>
              <w:ind w:left="220"/>
              <w:spacing w:after="0"/>
              <w:rPr>
                <w:sz w:val="20"/>
                <w:szCs w:val="20"/>
                <w:color w:val="auto"/>
              </w:rPr>
            </w:pPr>
            <w:r>
              <w:rPr>
                <w:rFonts w:ascii="Arial" w:cs="Arial" w:eastAsia="Arial" w:hAnsi="Arial"/>
                <w:sz w:val="18"/>
                <w:szCs w:val="18"/>
                <w:color w:val="auto"/>
              </w:rPr>
              <w:t>Selection of Notes to Be Redeemed or Purchased</w:t>
            </w: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3.03</w:t>
            </w:r>
          </w:p>
        </w:tc>
        <w:tc>
          <w:tcPr>
            <w:tcW w:w="8380" w:type="dxa"/>
            <w:vAlign w:val="bottom"/>
          </w:tcPr>
          <w:p>
            <w:pPr>
              <w:ind w:left="220"/>
              <w:spacing w:after="0"/>
              <w:rPr>
                <w:sz w:val="20"/>
                <w:szCs w:val="20"/>
                <w:color w:val="auto"/>
              </w:rPr>
            </w:pPr>
            <w:r>
              <w:rPr>
                <w:rFonts w:ascii="Arial" w:cs="Arial" w:eastAsia="Arial" w:hAnsi="Arial"/>
                <w:sz w:val="18"/>
                <w:szCs w:val="18"/>
                <w:color w:val="auto"/>
              </w:rPr>
              <w:t>Notice of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220"/>
              <w:spacing w:after="0"/>
              <w:rPr>
                <w:sz w:val="20"/>
                <w:szCs w:val="20"/>
                <w:color w:val="auto"/>
              </w:rPr>
            </w:pPr>
            <w:r>
              <w:rPr>
                <w:rFonts w:ascii="Arial" w:cs="Arial" w:eastAsia="Arial" w:hAnsi="Arial"/>
                <w:sz w:val="18"/>
                <w:szCs w:val="18"/>
                <w:color w:val="auto"/>
              </w:rPr>
              <w:t>Effect of Notice of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3.05</w:t>
            </w:r>
          </w:p>
        </w:tc>
        <w:tc>
          <w:tcPr>
            <w:tcW w:w="8380" w:type="dxa"/>
            <w:vAlign w:val="bottom"/>
          </w:tcPr>
          <w:p>
            <w:pPr>
              <w:ind w:left="220"/>
              <w:spacing w:after="0"/>
              <w:rPr>
                <w:sz w:val="20"/>
                <w:szCs w:val="20"/>
                <w:color w:val="auto"/>
              </w:rPr>
            </w:pPr>
            <w:r>
              <w:rPr>
                <w:rFonts w:ascii="Arial" w:cs="Arial" w:eastAsia="Arial" w:hAnsi="Arial"/>
                <w:sz w:val="18"/>
                <w:szCs w:val="18"/>
                <w:color w:val="auto"/>
              </w:rPr>
              <w:t>Deposit of Redemption or Purchase Price</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3.06</w:t>
            </w:r>
          </w:p>
        </w:tc>
        <w:tc>
          <w:tcPr>
            <w:tcW w:w="8380" w:type="dxa"/>
            <w:vAlign w:val="bottom"/>
          </w:tcPr>
          <w:p>
            <w:pPr>
              <w:ind w:left="220"/>
              <w:spacing w:after="0"/>
              <w:rPr>
                <w:sz w:val="20"/>
                <w:szCs w:val="20"/>
                <w:color w:val="auto"/>
              </w:rPr>
            </w:pPr>
            <w:r>
              <w:rPr>
                <w:rFonts w:ascii="Arial" w:cs="Arial" w:eastAsia="Arial" w:hAnsi="Arial"/>
                <w:sz w:val="18"/>
                <w:szCs w:val="18"/>
                <w:color w:val="auto"/>
              </w:rPr>
              <w:t>Notes Redeemed or Purchased in Part</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3.07</w:t>
            </w:r>
          </w:p>
        </w:tc>
        <w:tc>
          <w:tcPr>
            <w:tcW w:w="8380" w:type="dxa"/>
            <w:vAlign w:val="bottom"/>
          </w:tcPr>
          <w:p>
            <w:pPr>
              <w:ind w:left="220"/>
              <w:spacing w:after="0"/>
              <w:rPr>
                <w:sz w:val="20"/>
                <w:szCs w:val="20"/>
                <w:color w:val="auto"/>
              </w:rPr>
            </w:pPr>
            <w:r>
              <w:rPr>
                <w:rFonts w:ascii="Arial" w:cs="Arial" w:eastAsia="Arial" w:hAnsi="Arial"/>
                <w:sz w:val="18"/>
                <w:szCs w:val="18"/>
                <w:color w:val="auto"/>
              </w:rPr>
              <w:t>Optional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3.08</w:t>
            </w:r>
          </w:p>
        </w:tc>
        <w:tc>
          <w:tcPr>
            <w:tcW w:w="8380" w:type="dxa"/>
            <w:vAlign w:val="bottom"/>
          </w:tcPr>
          <w:p>
            <w:pPr>
              <w:ind w:left="220"/>
              <w:spacing w:after="0"/>
              <w:rPr>
                <w:sz w:val="20"/>
                <w:szCs w:val="20"/>
                <w:color w:val="auto"/>
              </w:rPr>
            </w:pPr>
            <w:r>
              <w:rPr>
                <w:rFonts w:ascii="Arial" w:cs="Arial" w:eastAsia="Arial" w:hAnsi="Arial"/>
                <w:sz w:val="18"/>
                <w:szCs w:val="18"/>
                <w:color w:val="auto"/>
              </w:rPr>
              <w:t>Mandatory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140" w:type="dxa"/>
            <w:vAlign w:val="bottom"/>
          </w:tcPr>
          <w:p>
            <w:pPr>
              <w:spacing w:after="0"/>
              <w:rPr>
                <w:sz w:val="24"/>
                <w:szCs w:val="24"/>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ARTICLE 4</w:t>
            </w:r>
          </w:p>
        </w:tc>
        <w:tc>
          <w:tcPr>
            <w:tcW w:w="17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380" w:type="dxa"/>
            <w:vAlign w:val="bottom"/>
          </w:tcPr>
          <w:p>
            <w:pPr>
              <w:jc w:val="center"/>
              <w:ind w:left="730"/>
              <w:spacing w:after="0"/>
              <w:rPr>
                <w:sz w:val="20"/>
                <w:szCs w:val="20"/>
                <w:color w:val="auto"/>
              </w:rPr>
            </w:pPr>
            <w:r>
              <w:rPr>
                <w:rFonts w:ascii="Arial" w:cs="Arial" w:eastAsia="Arial" w:hAnsi="Arial"/>
                <w:sz w:val="18"/>
                <w:szCs w:val="18"/>
                <w:color w:val="auto"/>
                <w:w w:val="96"/>
              </w:rPr>
              <w:t>COVENANTS</w:t>
            </w:r>
          </w:p>
        </w:tc>
        <w:tc>
          <w:tcPr>
            <w:tcW w:w="172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4.01</w:t>
            </w:r>
          </w:p>
        </w:tc>
        <w:tc>
          <w:tcPr>
            <w:tcW w:w="8380" w:type="dxa"/>
            <w:vAlign w:val="bottom"/>
          </w:tcPr>
          <w:p>
            <w:pPr>
              <w:ind w:left="220"/>
              <w:spacing w:after="0"/>
              <w:rPr>
                <w:sz w:val="20"/>
                <w:szCs w:val="20"/>
                <w:color w:val="auto"/>
              </w:rPr>
            </w:pPr>
            <w:r>
              <w:rPr>
                <w:rFonts w:ascii="Arial" w:cs="Arial" w:eastAsia="Arial" w:hAnsi="Arial"/>
                <w:sz w:val="18"/>
                <w:szCs w:val="18"/>
                <w:color w:val="auto"/>
              </w:rPr>
              <w:t>Payment of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4.02</w:t>
            </w:r>
          </w:p>
        </w:tc>
        <w:tc>
          <w:tcPr>
            <w:tcW w:w="8380" w:type="dxa"/>
            <w:vAlign w:val="bottom"/>
          </w:tcPr>
          <w:p>
            <w:pPr>
              <w:ind w:left="220"/>
              <w:spacing w:after="0"/>
              <w:rPr>
                <w:sz w:val="20"/>
                <w:szCs w:val="20"/>
                <w:color w:val="auto"/>
              </w:rPr>
            </w:pPr>
            <w:r>
              <w:rPr>
                <w:rFonts w:ascii="Arial" w:cs="Arial" w:eastAsia="Arial" w:hAnsi="Arial"/>
                <w:sz w:val="18"/>
                <w:szCs w:val="18"/>
                <w:color w:val="auto"/>
              </w:rPr>
              <w:t>Maintenance of Office or Agency</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220"/>
              <w:spacing w:after="0"/>
              <w:rPr>
                <w:sz w:val="20"/>
                <w:szCs w:val="20"/>
                <w:color w:val="auto"/>
              </w:rPr>
            </w:pPr>
            <w:r>
              <w:rPr>
                <w:rFonts w:ascii="Arial" w:cs="Arial" w:eastAsia="Arial" w:hAnsi="Arial"/>
                <w:sz w:val="18"/>
                <w:szCs w:val="18"/>
                <w:color w:val="auto"/>
              </w:rPr>
              <w:t>Reports</w:t>
            </w:r>
          </w:p>
        </w:tc>
        <w:tc>
          <w:tcPr>
            <w:tcW w:w="1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4.04</w:t>
            </w:r>
          </w:p>
        </w:tc>
        <w:tc>
          <w:tcPr>
            <w:tcW w:w="8380" w:type="dxa"/>
            <w:vAlign w:val="bottom"/>
          </w:tcPr>
          <w:p>
            <w:pPr>
              <w:ind w:left="220"/>
              <w:spacing w:after="0"/>
              <w:rPr>
                <w:sz w:val="20"/>
                <w:szCs w:val="20"/>
                <w:color w:val="auto"/>
              </w:rPr>
            </w:pPr>
            <w:r>
              <w:rPr>
                <w:rFonts w:ascii="Arial" w:cs="Arial" w:eastAsia="Arial" w:hAnsi="Arial"/>
                <w:sz w:val="18"/>
                <w:szCs w:val="18"/>
                <w:color w:val="auto"/>
              </w:rPr>
              <w:t>Compliance Certificate</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8380" w:type="dxa"/>
            <w:vAlign w:val="bottom"/>
          </w:tcPr>
          <w:p>
            <w:pPr>
              <w:ind w:left="220"/>
              <w:spacing w:after="0"/>
              <w:rPr>
                <w:sz w:val="20"/>
                <w:szCs w:val="20"/>
                <w:color w:val="auto"/>
              </w:rPr>
            </w:pPr>
            <w:r>
              <w:rPr>
                <w:rFonts w:ascii="Arial" w:cs="Arial" w:eastAsia="Arial" w:hAnsi="Arial"/>
                <w:sz w:val="18"/>
                <w:szCs w:val="18"/>
                <w:color w:val="auto"/>
              </w:rPr>
              <w:t>Taxes</w:t>
            </w:r>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4.06</w:t>
            </w:r>
          </w:p>
        </w:tc>
        <w:tc>
          <w:tcPr>
            <w:tcW w:w="8380" w:type="dxa"/>
            <w:vAlign w:val="bottom"/>
          </w:tcPr>
          <w:p>
            <w:pPr>
              <w:ind w:left="220"/>
              <w:spacing w:after="0"/>
              <w:rPr>
                <w:sz w:val="20"/>
                <w:szCs w:val="20"/>
                <w:color w:val="auto"/>
              </w:rPr>
            </w:pPr>
            <w:r>
              <w:rPr>
                <w:rFonts w:ascii="Arial" w:cs="Arial" w:eastAsia="Arial" w:hAnsi="Arial"/>
                <w:sz w:val="18"/>
                <w:szCs w:val="18"/>
                <w:color w:val="auto"/>
              </w:rPr>
              <w:t>Stay, Extension and Usury Laws</w:t>
            </w:r>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4.07</w:t>
            </w:r>
          </w:p>
        </w:tc>
        <w:tc>
          <w:tcPr>
            <w:tcW w:w="8380" w:type="dxa"/>
            <w:vAlign w:val="bottom"/>
          </w:tcPr>
          <w:p>
            <w:pPr>
              <w:ind w:left="220"/>
              <w:spacing w:after="0"/>
              <w:rPr>
                <w:sz w:val="20"/>
                <w:szCs w:val="20"/>
                <w:color w:val="auto"/>
              </w:rPr>
            </w:pPr>
            <w:r>
              <w:rPr>
                <w:rFonts w:ascii="Arial" w:cs="Arial" w:eastAsia="Arial" w:hAnsi="Arial"/>
                <w:sz w:val="18"/>
                <w:szCs w:val="18"/>
                <w:color w:val="auto"/>
              </w:rPr>
              <w:t>Liens</w:t>
            </w:r>
          </w:p>
        </w:tc>
        <w:tc>
          <w:tcPr>
            <w:tcW w:w="1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4.08</w:t>
            </w:r>
          </w:p>
        </w:tc>
        <w:tc>
          <w:tcPr>
            <w:tcW w:w="8380" w:type="dxa"/>
            <w:vAlign w:val="bottom"/>
          </w:tcPr>
          <w:p>
            <w:pPr>
              <w:ind w:left="220"/>
              <w:spacing w:after="0"/>
              <w:rPr>
                <w:sz w:val="20"/>
                <w:szCs w:val="20"/>
                <w:color w:val="auto"/>
              </w:rPr>
            </w:pPr>
            <w:r>
              <w:rPr>
                <w:rFonts w:ascii="Arial" w:cs="Arial" w:eastAsia="Arial" w:hAnsi="Arial"/>
                <w:sz w:val="18"/>
                <w:szCs w:val="18"/>
                <w:color w:val="auto"/>
              </w:rPr>
              <w:t>Limited Liability Company Existence</w:t>
            </w: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4.09</w:t>
            </w:r>
          </w:p>
        </w:tc>
        <w:tc>
          <w:tcPr>
            <w:tcW w:w="8380" w:type="dxa"/>
            <w:vAlign w:val="bottom"/>
          </w:tcPr>
          <w:p>
            <w:pPr>
              <w:ind w:left="220"/>
              <w:spacing w:after="0"/>
              <w:rPr>
                <w:sz w:val="20"/>
                <w:szCs w:val="20"/>
                <w:color w:val="auto"/>
              </w:rPr>
            </w:pPr>
            <w:r>
              <w:rPr>
                <w:rFonts w:ascii="Arial" w:cs="Arial" w:eastAsia="Arial" w:hAnsi="Arial"/>
                <w:sz w:val="18"/>
                <w:szCs w:val="18"/>
                <w:color w:val="auto"/>
              </w:rPr>
              <w:t>Offer to Repurchase Upon Change of Control Triggering Event</w:t>
            </w: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4.10</w:t>
            </w:r>
          </w:p>
        </w:tc>
        <w:tc>
          <w:tcPr>
            <w:tcW w:w="8380" w:type="dxa"/>
            <w:vAlign w:val="bottom"/>
          </w:tcPr>
          <w:p>
            <w:pPr>
              <w:ind w:left="220"/>
              <w:spacing w:after="0"/>
              <w:rPr>
                <w:sz w:val="20"/>
                <w:szCs w:val="20"/>
                <w:color w:val="auto"/>
              </w:rPr>
            </w:pPr>
            <w:r>
              <w:rPr>
                <w:rFonts w:ascii="Arial" w:cs="Arial" w:eastAsia="Arial" w:hAnsi="Arial"/>
                <w:sz w:val="18"/>
                <w:szCs w:val="18"/>
                <w:color w:val="auto"/>
              </w:rPr>
              <w:t>Additional Subsidiary Guarantees</w:t>
            </w: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4.11</w:t>
            </w:r>
          </w:p>
        </w:tc>
        <w:tc>
          <w:tcPr>
            <w:tcW w:w="8380" w:type="dxa"/>
            <w:vAlign w:val="bottom"/>
          </w:tcPr>
          <w:p>
            <w:pPr>
              <w:ind w:left="220"/>
              <w:spacing w:after="0"/>
              <w:rPr>
                <w:sz w:val="20"/>
                <w:szCs w:val="20"/>
                <w:color w:val="auto"/>
              </w:rPr>
            </w:pPr>
            <w:r>
              <w:rPr>
                <w:rFonts w:ascii="Arial" w:cs="Arial" w:eastAsia="Arial" w:hAnsi="Arial"/>
                <w:sz w:val="18"/>
                <w:szCs w:val="18"/>
                <w:color w:val="auto"/>
              </w:rPr>
              <w:t>Holding Company Status</w:t>
            </w:r>
          </w:p>
        </w:tc>
        <w:tc>
          <w:tcPr>
            <w:tcW w:w="1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75"/>
        </w:trPr>
        <w:tc>
          <w:tcPr>
            <w:tcW w:w="114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5</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88"/>
              </w:rPr>
              <w:t>SUCCESSORS</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8520" w:type="dxa"/>
            <w:vAlign w:val="bottom"/>
          </w:tcPr>
          <w:p>
            <w:pPr>
              <w:ind w:left="220"/>
              <w:spacing w:after="0"/>
              <w:rPr>
                <w:sz w:val="20"/>
                <w:szCs w:val="20"/>
                <w:color w:val="auto"/>
              </w:rPr>
            </w:pPr>
            <w:r>
              <w:rPr>
                <w:rFonts w:ascii="Arial" w:cs="Arial" w:eastAsia="Arial" w:hAnsi="Arial"/>
                <w:sz w:val="18"/>
                <w:szCs w:val="18"/>
                <w:color w:val="auto"/>
              </w:rPr>
              <w:t>Merger, Consolidation or Sale of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5.02</w:t>
            </w:r>
          </w:p>
        </w:tc>
        <w:tc>
          <w:tcPr>
            <w:tcW w:w="8520" w:type="dxa"/>
            <w:vAlign w:val="bottom"/>
          </w:tcPr>
          <w:p>
            <w:pPr>
              <w:ind w:left="220"/>
              <w:spacing w:after="0"/>
              <w:rPr>
                <w:sz w:val="20"/>
                <w:szCs w:val="20"/>
                <w:color w:val="auto"/>
              </w:rPr>
            </w:pPr>
            <w:r>
              <w:rPr>
                <w:rFonts w:ascii="Arial" w:cs="Arial" w:eastAsia="Arial" w:hAnsi="Arial"/>
                <w:sz w:val="18"/>
                <w:szCs w:val="18"/>
                <w:color w:val="auto"/>
              </w:rPr>
              <w:t>Successor Entity Substituted</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6</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DEFAULTS AND REMEDIES</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85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6.02</w:t>
            </w:r>
          </w:p>
        </w:tc>
        <w:tc>
          <w:tcPr>
            <w:tcW w:w="8520" w:type="dxa"/>
            <w:vAlign w:val="bottom"/>
          </w:tcPr>
          <w:p>
            <w:pPr>
              <w:ind w:left="220"/>
              <w:spacing w:after="0"/>
              <w:rPr>
                <w:sz w:val="20"/>
                <w:szCs w:val="20"/>
                <w:color w:val="auto"/>
              </w:rPr>
            </w:pPr>
            <w:r>
              <w:rPr>
                <w:rFonts w:ascii="Arial" w:cs="Arial" w:eastAsia="Arial" w:hAnsi="Arial"/>
                <w:sz w:val="18"/>
                <w:szCs w:val="18"/>
                <w:color w:val="auto"/>
              </w:rPr>
              <w:t>Acceleration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852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6.04</w:t>
            </w:r>
          </w:p>
        </w:tc>
        <w:tc>
          <w:tcPr>
            <w:tcW w:w="852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852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6.06</w:t>
            </w:r>
          </w:p>
        </w:tc>
        <w:tc>
          <w:tcPr>
            <w:tcW w:w="852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6.07</w:t>
            </w:r>
          </w:p>
        </w:tc>
        <w:tc>
          <w:tcPr>
            <w:tcW w:w="8520" w:type="dxa"/>
            <w:vAlign w:val="bottom"/>
          </w:tcPr>
          <w:p>
            <w:pPr>
              <w:ind w:left="220"/>
              <w:spacing w:after="0"/>
              <w:rPr>
                <w:sz w:val="20"/>
                <w:szCs w:val="20"/>
                <w:color w:val="auto"/>
              </w:rPr>
            </w:pPr>
            <w:r>
              <w:rPr>
                <w:rFonts w:ascii="Arial" w:cs="Arial" w:eastAsia="Arial" w:hAnsi="Arial"/>
                <w:sz w:val="18"/>
                <w:szCs w:val="18"/>
                <w:color w:val="auto"/>
              </w:rPr>
              <w:t>Rights of Holders of Notes to Receive Payment</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6.08</w:t>
            </w:r>
          </w:p>
        </w:tc>
        <w:tc>
          <w:tcPr>
            <w:tcW w:w="8520" w:type="dxa"/>
            <w:vAlign w:val="bottom"/>
          </w:tcPr>
          <w:p>
            <w:pPr>
              <w:ind w:left="220"/>
              <w:spacing w:after="0"/>
              <w:rPr>
                <w:sz w:val="20"/>
                <w:szCs w:val="20"/>
                <w:color w:val="auto"/>
              </w:rPr>
            </w:pPr>
            <w:r>
              <w:rPr>
                <w:rFonts w:ascii="Arial" w:cs="Arial" w:eastAsia="Arial" w:hAnsi="Arial"/>
                <w:sz w:val="18"/>
                <w:szCs w:val="18"/>
                <w:color w:val="auto"/>
              </w:rPr>
              <w:t>Collection Suit by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6.09</w:t>
            </w:r>
          </w:p>
        </w:tc>
        <w:tc>
          <w:tcPr>
            <w:tcW w:w="852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6.10</w:t>
            </w:r>
          </w:p>
        </w:tc>
        <w:tc>
          <w:tcPr>
            <w:tcW w:w="8520" w:type="dxa"/>
            <w:vAlign w:val="bottom"/>
          </w:tcPr>
          <w:p>
            <w:pPr>
              <w:ind w:left="220"/>
              <w:spacing w:after="0"/>
              <w:rPr>
                <w:sz w:val="20"/>
                <w:szCs w:val="20"/>
                <w:color w:val="auto"/>
              </w:rPr>
            </w:pPr>
            <w:r>
              <w:rPr>
                <w:rFonts w:ascii="Arial" w:cs="Arial" w:eastAsia="Arial" w:hAnsi="Arial"/>
                <w:sz w:val="18"/>
                <w:szCs w:val="18"/>
                <w:color w:val="auto"/>
              </w:rPr>
              <w:t>Priorities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6.11</w:t>
            </w:r>
          </w:p>
        </w:tc>
        <w:tc>
          <w:tcPr>
            <w:tcW w:w="852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7</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5"/>
              </w:rPr>
              <w:t>TRUSTEE</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7.01</w:t>
            </w:r>
          </w:p>
        </w:tc>
        <w:tc>
          <w:tcPr>
            <w:tcW w:w="8520" w:type="dxa"/>
            <w:vAlign w:val="bottom"/>
          </w:tcPr>
          <w:p>
            <w:pPr>
              <w:ind w:left="220"/>
              <w:spacing w:after="0"/>
              <w:rPr>
                <w:sz w:val="20"/>
                <w:szCs w:val="20"/>
                <w:color w:val="auto"/>
              </w:rPr>
            </w:pPr>
            <w:r>
              <w:rPr>
                <w:rFonts w:ascii="Arial" w:cs="Arial" w:eastAsia="Arial" w:hAnsi="Arial"/>
                <w:sz w:val="18"/>
                <w:szCs w:val="18"/>
                <w:color w:val="auto"/>
              </w:rPr>
              <w:t>Duties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7.02</w:t>
            </w:r>
          </w:p>
        </w:tc>
        <w:tc>
          <w:tcPr>
            <w:tcW w:w="852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7.03</w:t>
            </w:r>
          </w:p>
        </w:tc>
        <w:tc>
          <w:tcPr>
            <w:tcW w:w="8520" w:type="dxa"/>
            <w:vAlign w:val="bottom"/>
          </w:tcPr>
          <w:p>
            <w:pPr>
              <w:ind w:left="220"/>
              <w:spacing w:after="0"/>
              <w:rPr>
                <w:sz w:val="20"/>
                <w:szCs w:val="20"/>
                <w:color w:val="auto"/>
              </w:rPr>
            </w:pPr>
            <w:r>
              <w:rPr>
                <w:rFonts w:ascii="Arial" w:cs="Arial" w:eastAsia="Arial" w:hAnsi="Arial"/>
                <w:sz w:val="18"/>
                <w:szCs w:val="18"/>
                <w:color w:val="auto"/>
              </w:rPr>
              <w:t>Individual Rights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7.04</w:t>
            </w:r>
          </w:p>
        </w:tc>
        <w:tc>
          <w:tcPr>
            <w:tcW w:w="852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7.05</w:t>
            </w:r>
          </w:p>
        </w:tc>
        <w:tc>
          <w:tcPr>
            <w:tcW w:w="852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7.06</w:t>
            </w:r>
          </w:p>
        </w:tc>
        <w:tc>
          <w:tcPr>
            <w:tcW w:w="85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7.07</w:t>
            </w:r>
          </w:p>
        </w:tc>
        <w:tc>
          <w:tcPr>
            <w:tcW w:w="852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7.08</w:t>
            </w:r>
          </w:p>
        </w:tc>
        <w:tc>
          <w:tcPr>
            <w:tcW w:w="852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7.09</w:t>
            </w:r>
          </w:p>
        </w:tc>
        <w:tc>
          <w:tcPr>
            <w:tcW w:w="852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7.10</w:t>
            </w:r>
          </w:p>
        </w:tc>
        <w:tc>
          <w:tcPr>
            <w:tcW w:w="8520" w:type="dxa"/>
            <w:vAlign w:val="bottom"/>
          </w:tcPr>
          <w:p>
            <w:pPr>
              <w:ind w:left="220"/>
              <w:spacing w:after="0"/>
              <w:rPr>
                <w:sz w:val="20"/>
                <w:szCs w:val="20"/>
                <w:color w:val="auto"/>
              </w:rPr>
            </w:pPr>
            <w:r>
              <w:rPr>
                <w:rFonts w:ascii="Arial" w:cs="Arial" w:eastAsia="Arial" w:hAnsi="Arial"/>
                <w:sz w:val="18"/>
                <w:szCs w:val="18"/>
                <w:color w:val="auto"/>
              </w:rPr>
              <w:t>Eligibility; Disqualification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7.11</w:t>
            </w:r>
          </w:p>
        </w:tc>
        <w:tc>
          <w:tcPr>
            <w:tcW w:w="85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8</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7"/>
              </w:rPr>
              <w:t>LEGAL DEFEASANCE AND COVENANT DEFEASANCE</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8.01</w:t>
            </w:r>
          </w:p>
        </w:tc>
        <w:tc>
          <w:tcPr>
            <w:tcW w:w="8520" w:type="dxa"/>
            <w:vAlign w:val="bottom"/>
          </w:tcPr>
          <w:p>
            <w:pPr>
              <w:ind w:left="220"/>
              <w:spacing w:after="0"/>
              <w:rPr>
                <w:sz w:val="20"/>
                <w:szCs w:val="20"/>
                <w:color w:val="auto"/>
              </w:rPr>
            </w:pPr>
            <w:r>
              <w:rPr>
                <w:rFonts w:ascii="Arial" w:cs="Arial" w:eastAsia="Arial" w:hAnsi="Arial"/>
                <w:sz w:val="18"/>
                <w:szCs w:val="18"/>
                <w:color w:val="auto"/>
              </w:rPr>
              <w:t>Option to Effect Legal Defeasance or Covenant Defeasance</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8.02</w:t>
            </w:r>
          </w:p>
        </w:tc>
        <w:tc>
          <w:tcPr>
            <w:tcW w:w="8520" w:type="dxa"/>
            <w:vAlign w:val="bottom"/>
          </w:tcPr>
          <w:p>
            <w:pPr>
              <w:ind w:left="220"/>
              <w:spacing w:after="0"/>
              <w:rPr>
                <w:sz w:val="20"/>
                <w:szCs w:val="20"/>
                <w:color w:val="auto"/>
              </w:rPr>
            </w:pPr>
            <w:r>
              <w:rPr>
                <w:rFonts w:ascii="Arial" w:cs="Arial" w:eastAsia="Arial" w:hAnsi="Arial"/>
                <w:sz w:val="18"/>
                <w:szCs w:val="18"/>
                <w:color w:val="auto"/>
              </w:rPr>
              <w:t>Legal Defeasance and Discharge</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8.03</w:t>
            </w:r>
          </w:p>
        </w:tc>
        <w:tc>
          <w:tcPr>
            <w:tcW w:w="852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8.04</w:t>
            </w:r>
          </w:p>
        </w:tc>
        <w:tc>
          <w:tcPr>
            <w:tcW w:w="8520" w:type="dxa"/>
            <w:vAlign w:val="bottom"/>
          </w:tcPr>
          <w:p>
            <w:pPr>
              <w:ind w:left="220"/>
              <w:spacing w:after="0"/>
              <w:rPr>
                <w:sz w:val="20"/>
                <w:szCs w:val="20"/>
                <w:color w:val="auto"/>
              </w:rPr>
            </w:pPr>
            <w:r>
              <w:rPr>
                <w:rFonts w:ascii="Arial" w:cs="Arial" w:eastAsia="Arial" w:hAnsi="Arial"/>
                <w:sz w:val="18"/>
                <w:szCs w:val="18"/>
                <w:color w:val="auto"/>
              </w:rPr>
              <w:t>Conditions to Legal or Covenant Defeasance</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8.05</w:t>
            </w:r>
          </w:p>
        </w:tc>
        <w:tc>
          <w:tcPr>
            <w:tcW w:w="8520" w:type="dxa"/>
            <w:vAlign w:val="bottom"/>
          </w:tcPr>
          <w:p>
            <w:pPr>
              <w:ind w:left="2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8.06</w:t>
            </w:r>
          </w:p>
        </w:tc>
        <w:tc>
          <w:tcPr>
            <w:tcW w:w="852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8.07</w:t>
            </w:r>
          </w:p>
        </w:tc>
        <w:tc>
          <w:tcPr>
            <w:tcW w:w="852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140" w:type="dxa"/>
            <w:vAlign w:val="bottom"/>
          </w:tcPr>
          <w:p>
            <w:pPr>
              <w:spacing w:after="0"/>
              <w:rPr>
                <w:sz w:val="24"/>
                <w:szCs w:val="24"/>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6"/>
              </w:rPr>
              <w:t>ARTICLE 9</w:t>
            </w:r>
          </w:p>
        </w:tc>
        <w:tc>
          <w:tcPr>
            <w:tcW w:w="15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jc w:val="center"/>
              <w:ind w:left="590"/>
              <w:spacing w:after="0"/>
              <w:rPr>
                <w:sz w:val="20"/>
                <w:szCs w:val="20"/>
                <w:color w:val="auto"/>
              </w:rPr>
            </w:pPr>
            <w:r>
              <w:rPr>
                <w:rFonts w:ascii="Arial" w:cs="Arial" w:eastAsia="Arial" w:hAnsi="Arial"/>
                <w:sz w:val="18"/>
                <w:szCs w:val="18"/>
                <w:color w:val="auto"/>
                <w:w w:val="98"/>
              </w:rPr>
              <w:t>AMENDMENT, SUPPLEMENT AND WAIVER</w:t>
            </w:r>
          </w:p>
        </w:tc>
        <w:tc>
          <w:tcPr>
            <w:tcW w:w="15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9.01</w:t>
            </w:r>
          </w:p>
        </w:tc>
        <w:tc>
          <w:tcPr>
            <w:tcW w:w="8520" w:type="dxa"/>
            <w:vAlign w:val="bottom"/>
          </w:tcPr>
          <w:p>
            <w:pPr>
              <w:ind w:left="220"/>
              <w:spacing w:after="0"/>
              <w:rPr>
                <w:sz w:val="20"/>
                <w:szCs w:val="20"/>
                <w:color w:val="auto"/>
              </w:rPr>
            </w:pPr>
            <w:r>
              <w:rPr>
                <w:rFonts w:ascii="Arial" w:cs="Arial" w:eastAsia="Arial" w:hAnsi="Arial"/>
                <w:sz w:val="18"/>
                <w:szCs w:val="18"/>
                <w:color w:val="auto"/>
              </w:rPr>
              <w:t>Without Consent of Holders of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9.02</w:t>
            </w:r>
          </w:p>
        </w:tc>
        <w:tc>
          <w:tcPr>
            <w:tcW w:w="8520" w:type="dxa"/>
            <w:vAlign w:val="bottom"/>
          </w:tcPr>
          <w:p>
            <w:pPr>
              <w:ind w:left="220"/>
              <w:spacing w:after="0"/>
              <w:rPr>
                <w:sz w:val="20"/>
                <w:szCs w:val="20"/>
                <w:color w:val="auto"/>
              </w:rPr>
            </w:pPr>
            <w:r>
              <w:rPr>
                <w:rFonts w:ascii="Arial" w:cs="Arial" w:eastAsia="Arial" w:hAnsi="Arial"/>
                <w:sz w:val="18"/>
                <w:szCs w:val="18"/>
                <w:color w:val="auto"/>
              </w:rPr>
              <w:t>With Consent of Holders of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9.03</w:t>
            </w:r>
          </w:p>
        </w:tc>
        <w:tc>
          <w:tcPr>
            <w:tcW w:w="852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9.04</w:t>
            </w:r>
          </w:p>
        </w:tc>
        <w:tc>
          <w:tcPr>
            <w:tcW w:w="8520" w:type="dxa"/>
            <w:vAlign w:val="bottom"/>
          </w:tcPr>
          <w:p>
            <w:pPr>
              <w:ind w:left="220"/>
              <w:spacing w:after="0"/>
              <w:rPr>
                <w:sz w:val="20"/>
                <w:szCs w:val="20"/>
                <w:color w:val="auto"/>
              </w:rPr>
            </w:pPr>
            <w:r>
              <w:rPr>
                <w:rFonts w:ascii="Arial" w:cs="Arial" w:eastAsia="Arial" w:hAnsi="Arial"/>
                <w:sz w:val="18"/>
                <w:szCs w:val="18"/>
                <w:color w:val="auto"/>
              </w:rPr>
              <w:t>Revocation and Effect of Consents</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9.05</w:t>
            </w:r>
          </w:p>
        </w:tc>
        <w:tc>
          <w:tcPr>
            <w:tcW w:w="8520" w:type="dxa"/>
            <w:vAlign w:val="bottom"/>
          </w:tcPr>
          <w:p>
            <w:pPr>
              <w:ind w:left="220"/>
              <w:spacing w:after="0"/>
              <w:rPr>
                <w:sz w:val="20"/>
                <w:szCs w:val="20"/>
                <w:color w:val="auto"/>
              </w:rPr>
            </w:pPr>
            <w:r>
              <w:rPr>
                <w:rFonts w:ascii="Arial" w:cs="Arial" w:eastAsia="Arial" w:hAnsi="Arial"/>
                <w:sz w:val="18"/>
                <w:szCs w:val="18"/>
                <w:color w:val="auto"/>
              </w:rPr>
              <w:t>Notation on or Exchange of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9.06</w:t>
            </w:r>
          </w:p>
        </w:tc>
        <w:tc>
          <w:tcPr>
            <w:tcW w:w="8520" w:type="dxa"/>
            <w:vAlign w:val="bottom"/>
          </w:tcPr>
          <w:p>
            <w:pPr>
              <w:ind w:left="220"/>
              <w:spacing w:after="0"/>
              <w:rPr>
                <w:sz w:val="20"/>
                <w:szCs w:val="20"/>
                <w:color w:val="auto"/>
              </w:rPr>
            </w:pPr>
            <w:r>
              <w:rPr>
                <w:rFonts w:ascii="Arial" w:cs="Arial" w:eastAsia="Arial" w:hAnsi="Arial"/>
                <w:sz w:val="18"/>
                <w:szCs w:val="18"/>
                <w:color w:val="auto"/>
              </w:rPr>
              <w:t>Trustee to Sign Amendments, etc.</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20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4"/>
              </w:rPr>
              <w:t>ARTICLE 10</w:t>
            </w:r>
          </w:p>
        </w:tc>
        <w:tc>
          <w:tcPr>
            <w:tcW w:w="172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6"/>
              </w:rPr>
              <w:t>GUARANTEES</w:t>
            </w:r>
          </w:p>
        </w:tc>
        <w:tc>
          <w:tcPr>
            <w:tcW w:w="17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10.01.</w:t>
            </w:r>
          </w:p>
        </w:tc>
        <w:tc>
          <w:tcPr>
            <w:tcW w:w="8320" w:type="dxa"/>
            <w:vAlign w:val="bottom"/>
          </w:tcPr>
          <w:p>
            <w:pPr>
              <w:ind w:left="160"/>
              <w:spacing w:after="0"/>
              <w:rPr>
                <w:sz w:val="20"/>
                <w:szCs w:val="20"/>
                <w:color w:val="auto"/>
              </w:rPr>
            </w:pPr>
            <w:r>
              <w:rPr>
                <w:rFonts w:ascii="Arial" w:cs="Arial" w:eastAsia="Arial" w:hAnsi="Arial"/>
                <w:sz w:val="18"/>
                <w:szCs w:val="18"/>
                <w:color w:val="auto"/>
              </w:rPr>
              <w:t>Guarantee</w:t>
            </w:r>
          </w:p>
        </w:tc>
        <w:tc>
          <w:tcPr>
            <w:tcW w:w="1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10.02.</w:t>
            </w:r>
          </w:p>
        </w:tc>
        <w:tc>
          <w:tcPr>
            <w:tcW w:w="8320" w:type="dxa"/>
            <w:vAlign w:val="bottom"/>
          </w:tcPr>
          <w:p>
            <w:pPr>
              <w:ind w:left="160"/>
              <w:spacing w:after="0"/>
              <w:rPr>
                <w:sz w:val="20"/>
                <w:szCs w:val="20"/>
                <w:color w:val="auto"/>
              </w:rPr>
            </w:pPr>
            <w:r>
              <w:rPr>
                <w:rFonts w:ascii="Arial" w:cs="Arial" w:eastAsia="Arial" w:hAnsi="Arial"/>
                <w:sz w:val="18"/>
                <w:szCs w:val="18"/>
                <w:color w:val="auto"/>
              </w:rPr>
              <w:t>Limitation on Guarantor Liability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10.03.</w:t>
            </w:r>
          </w:p>
        </w:tc>
        <w:tc>
          <w:tcPr>
            <w:tcW w:w="8320" w:type="dxa"/>
            <w:vAlign w:val="bottom"/>
          </w:tcPr>
          <w:p>
            <w:pPr>
              <w:ind w:left="160"/>
              <w:spacing w:after="0"/>
              <w:rPr>
                <w:sz w:val="20"/>
                <w:szCs w:val="20"/>
                <w:color w:val="auto"/>
              </w:rPr>
            </w:pPr>
            <w:r>
              <w:rPr>
                <w:rFonts w:ascii="Arial" w:cs="Arial" w:eastAsia="Arial" w:hAnsi="Arial"/>
                <w:sz w:val="18"/>
                <w:szCs w:val="18"/>
                <w:color w:val="auto"/>
              </w:rPr>
              <w:t>Execution and Delivery of Guarantee</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8320" w:type="dxa"/>
            <w:vAlign w:val="bottom"/>
          </w:tcPr>
          <w:p>
            <w:pPr>
              <w:ind w:left="160"/>
              <w:spacing w:after="0"/>
              <w:rPr>
                <w:sz w:val="20"/>
                <w:szCs w:val="20"/>
                <w:color w:val="auto"/>
              </w:rPr>
            </w:pPr>
            <w:r>
              <w:rPr>
                <w:rFonts w:ascii="Arial" w:cs="Arial" w:eastAsia="Arial" w:hAnsi="Arial"/>
                <w:sz w:val="18"/>
                <w:szCs w:val="18"/>
                <w:color w:val="auto"/>
              </w:rPr>
              <w:t>Guarantors May Consolidate, etc., on Certain Terms</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10.05.</w:t>
            </w:r>
          </w:p>
        </w:tc>
        <w:tc>
          <w:tcPr>
            <w:tcW w:w="8320" w:type="dxa"/>
            <w:vAlign w:val="bottom"/>
          </w:tcPr>
          <w:p>
            <w:pPr>
              <w:ind w:left="160"/>
              <w:spacing w:after="0"/>
              <w:rPr>
                <w:sz w:val="20"/>
                <w:szCs w:val="20"/>
                <w:color w:val="auto"/>
              </w:rPr>
            </w:pPr>
            <w:r>
              <w:rPr>
                <w:rFonts w:ascii="Arial" w:cs="Arial" w:eastAsia="Arial" w:hAnsi="Arial"/>
                <w:sz w:val="18"/>
                <w:szCs w:val="18"/>
                <w:color w:val="auto"/>
              </w:rPr>
              <w:t>Releases</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20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4"/>
              </w:rPr>
              <w:t>ARTICLE 11</w:t>
            </w:r>
          </w:p>
        </w:tc>
        <w:tc>
          <w:tcPr>
            <w:tcW w:w="17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6"/>
              </w:rPr>
              <w:t>SATISFACTION AND DISCHARGE</w:t>
            </w:r>
          </w:p>
        </w:tc>
        <w:tc>
          <w:tcPr>
            <w:tcW w:w="172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11.01</w:t>
            </w:r>
          </w:p>
        </w:tc>
        <w:tc>
          <w:tcPr>
            <w:tcW w:w="8320" w:type="dxa"/>
            <w:vAlign w:val="bottom"/>
          </w:tcPr>
          <w:p>
            <w:pPr>
              <w:ind w:left="160"/>
              <w:spacing w:after="0"/>
              <w:rPr>
                <w:sz w:val="20"/>
                <w:szCs w:val="20"/>
                <w:color w:val="auto"/>
              </w:rPr>
            </w:pPr>
            <w:r>
              <w:rPr>
                <w:rFonts w:ascii="Arial" w:cs="Arial" w:eastAsia="Arial" w:hAnsi="Arial"/>
                <w:sz w:val="18"/>
                <w:szCs w:val="18"/>
                <w:color w:val="auto"/>
              </w:rPr>
              <w:t>Satisfaction and Discharge</w:t>
            </w:r>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11.02</w:t>
            </w:r>
          </w:p>
        </w:tc>
        <w:tc>
          <w:tcPr>
            <w:tcW w:w="8320" w:type="dxa"/>
            <w:vAlign w:val="bottom"/>
          </w:tcPr>
          <w:p>
            <w:pPr>
              <w:ind w:left="160"/>
              <w:spacing w:after="0"/>
              <w:rPr>
                <w:sz w:val="20"/>
                <w:szCs w:val="20"/>
                <w:color w:val="auto"/>
              </w:rPr>
            </w:pPr>
            <w:r>
              <w:rPr>
                <w:rFonts w:ascii="Arial" w:cs="Arial" w:eastAsia="Arial" w:hAnsi="Arial"/>
                <w:sz w:val="18"/>
                <w:szCs w:val="18"/>
                <w:color w:val="auto"/>
              </w:rPr>
              <w:t>Application of Trust Money</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200" w:type="dxa"/>
            <w:vAlign w:val="bottom"/>
          </w:tcPr>
          <w:p>
            <w:pPr>
              <w:spacing w:after="0"/>
              <w:rPr>
                <w:sz w:val="24"/>
                <w:szCs w:val="24"/>
                <w:color w:val="auto"/>
              </w:rPr>
            </w:pPr>
          </w:p>
        </w:tc>
        <w:tc>
          <w:tcPr>
            <w:tcW w:w="8320" w:type="dxa"/>
            <w:vAlign w:val="bottom"/>
          </w:tcPr>
          <w:p>
            <w:pPr>
              <w:jc w:val="center"/>
              <w:ind w:left="670"/>
              <w:spacing w:after="0"/>
              <w:rPr>
                <w:sz w:val="20"/>
                <w:szCs w:val="20"/>
                <w:color w:val="auto"/>
              </w:rPr>
            </w:pPr>
            <w:r>
              <w:rPr>
                <w:rFonts w:ascii="Arial" w:cs="Arial" w:eastAsia="Arial" w:hAnsi="Arial"/>
                <w:sz w:val="18"/>
                <w:szCs w:val="18"/>
                <w:color w:val="auto"/>
                <w:w w:val="94"/>
              </w:rPr>
              <w:t>ARTICLE 12</w:t>
            </w:r>
          </w:p>
        </w:tc>
        <w:tc>
          <w:tcPr>
            <w:tcW w:w="172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320" w:type="dxa"/>
            <w:vAlign w:val="bottom"/>
          </w:tcPr>
          <w:p>
            <w:pPr>
              <w:jc w:val="center"/>
              <w:ind w:left="650"/>
              <w:spacing w:after="0"/>
              <w:rPr>
                <w:sz w:val="20"/>
                <w:szCs w:val="20"/>
                <w:color w:val="auto"/>
              </w:rPr>
            </w:pPr>
            <w:r>
              <w:rPr>
                <w:rFonts w:ascii="Arial" w:cs="Arial" w:eastAsia="Arial" w:hAnsi="Arial"/>
                <w:sz w:val="18"/>
                <w:szCs w:val="18"/>
                <w:color w:val="auto"/>
                <w:w w:val="97"/>
              </w:rPr>
              <w:t>MISCELLANEOUS</w:t>
            </w:r>
          </w:p>
        </w:tc>
        <w:tc>
          <w:tcPr>
            <w:tcW w:w="172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12.01</w:t>
            </w:r>
          </w:p>
        </w:tc>
        <w:tc>
          <w:tcPr>
            <w:tcW w:w="83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12.02</w:t>
            </w:r>
          </w:p>
        </w:tc>
        <w:tc>
          <w:tcPr>
            <w:tcW w:w="8320" w:type="dxa"/>
            <w:vAlign w:val="bottom"/>
          </w:tcPr>
          <w:p>
            <w:pPr>
              <w:ind w:left="160"/>
              <w:spacing w:after="0"/>
              <w:rPr>
                <w:sz w:val="20"/>
                <w:szCs w:val="20"/>
                <w:color w:val="auto"/>
              </w:rPr>
            </w:pPr>
            <w:r>
              <w:rPr>
                <w:rFonts w:ascii="Arial" w:cs="Arial" w:eastAsia="Arial" w:hAnsi="Arial"/>
                <w:sz w:val="18"/>
                <w:szCs w:val="18"/>
                <w:color w:val="auto"/>
              </w:rPr>
              <w:t>Notices.</w:t>
            </w: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12.03</w:t>
            </w:r>
          </w:p>
        </w:tc>
        <w:tc>
          <w:tcPr>
            <w:tcW w:w="8320" w:type="dxa"/>
            <w:vAlign w:val="bottom"/>
          </w:tcPr>
          <w:p>
            <w:pPr>
              <w:ind w:left="160"/>
              <w:spacing w:after="0"/>
              <w:rPr>
                <w:sz w:val="20"/>
                <w:szCs w:val="20"/>
                <w:color w:val="auto"/>
              </w:rPr>
            </w:pPr>
            <w:r>
              <w:rPr>
                <w:rFonts w:ascii="Arial" w:cs="Arial" w:eastAsia="Arial" w:hAnsi="Arial"/>
                <w:sz w:val="18"/>
                <w:szCs w:val="18"/>
                <w:color w:val="auto"/>
              </w:rPr>
              <w:t>[Reserved]</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12.04</w:t>
            </w:r>
          </w:p>
        </w:tc>
        <w:tc>
          <w:tcPr>
            <w:tcW w:w="8320" w:type="dxa"/>
            <w:vAlign w:val="bottom"/>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12.05</w:t>
            </w:r>
          </w:p>
        </w:tc>
        <w:tc>
          <w:tcPr>
            <w:tcW w:w="8320" w:type="dxa"/>
            <w:vAlign w:val="bottom"/>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12.06</w:t>
            </w:r>
          </w:p>
        </w:tc>
        <w:tc>
          <w:tcPr>
            <w:tcW w:w="8320" w:type="dxa"/>
            <w:vAlign w:val="bottom"/>
          </w:tcPr>
          <w:p>
            <w:pPr>
              <w:ind w:left="160"/>
              <w:spacing w:after="0"/>
              <w:rPr>
                <w:sz w:val="20"/>
                <w:szCs w:val="20"/>
                <w:color w:val="auto"/>
              </w:rPr>
            </w:pPr>
            <w:r>
              <w:rPr>
                <w:rFonts w:ascii="Arial" w:cs="Arial" w:eastAsia="Arial" w:hAnsi="Arial"/>
                <w:sz w:val="18"/>
                <w:szCs w:val="18"/>
                <w:color w:val="auto"/>
              </w:rPr>
              <w:t>Rules by Trustee and Agents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12.07</w:t>
            </w:r>
          </w:p>
        </w:tc>
        <w:tc>
          <w:tcPr>
            <w:tcW w:w="8320" w:type="dxa"/>
            <w:vAlign w:val="bottom"/>
          </w:tcPr>
          <w:p>
            <w:pPr>
              <w:ind w:left="16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12.08</w:t>
            </w:r>
          </w:p>
        </w:tc>
        <w:tc>
          <w:tcPr>
            <w:tcW w:w="832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12.09</w:t>
            </w:r>
          </w:p>
        </w:tc>
        <w:tc>
          <w:tcPr>
            <w:tcW w:w="8320" w:type="dxa"/>
            <w:vAlign w:val="bottom"/>
          </w:tcPr>
          <w:p>
            <w:pPr>
              <w:ind w:left="160"/>
              <w:spacing w:after="0"/>
              <w:rPr>
                <w:sz w:val="20"/>
                <w:szCs w:val="20"/>
                <w:color w:val="auto"/>
              </w:rPr>
            </w:pPr>
            <w:r>
              <w:rPr>
                <w:rFonts w:ascii="Arial" w:cs="Arial" w:eastAsia="Arial" w:hAnsi="Arial"/>
                <w:sz w:val="18"/>
                <w:szCs w:val="18"/>
                <w:color w:val="auto"/>
              </w:rPr>
              <w:t>No Adverse Interpretation of Other Agreements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12.10</w:t>
            </w:r>
          </w:p>
        </w:tc>
        <w:tc>
          <w:tcPr>
            <w:tcW w:w="832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12.11</w:t>
            </w:r>
          </w:p>
        </w:tc>
        <w:tc>
          <w:tcPr>
            <w:tcW w:w="83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12.12</w:t>
            </w:r>
          </w:p>
        </w:tc>
        <w:tc>
          <w:tcPr>
            <w:tcW w:w="8320" w:type="dxa"/>
            <w:vAlign w:val="bottom"/>
          </w:tcPr>
          <w:p>
            <w:pPr>
              <w:ind w:left="160"/>
              <w:spacing w:after="0"/>
              <w:rPr>
                <w:sz w:val="20"/>
                <w:szCs w:val="20"/>
                <w:color w:val="auto"/>
              </w:rPr>
            </w:pPr>
            <w:r>
              <w:rPr>
                <w:rFonts w:ascii="Arial" w:cs="Arial" w:eastAsia="Arial" w:hAnsi="Arial"/>
                <w:sz w:val="18"/>
                <w:szCs w:val="18"/>
                <w:color w:val="auto"/>
              </w:rPr>
              <w:t>Counterpart Originals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12.13</w:t>
            </w:r>
          </w:p>
        </w:tc>
        <w:tc>
          <w:tcPr>
            <w:tcW w:w="8320" w:type="dxa"/>
            <w:vAlign w:val="bottom"/>
          </w:tcPr>
          <w:p>
            <w:pPr>
              <w:ind w:left="160"/>
              <w:spacing w:after="0"/>
              <w:rPr>
                <w:sz w:val="20"/>
                <w:szCs w:val="20"/>
                <w:color w:val="auto"/>
              </w:rPr>
            </w:pPr>
            <w:r>
              <w:rPr>
                <w:rFonts w:ascii="Arial" w:cs="Arial" w:eastAsia="Arial" w:hAnsi="Arial"/>
                <w:sz w:val="18"/>
                <w:szCs w:val="18"/>
                <w:color w:val="auto"/>
              </w:rPr>
              <w:t>Table of Contents, Headings, etc.</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12.14</w:t>
            </w:r>
          </w:p>
        </w:tc>
        <w:tc>
          <w:tcPr>
            <w:tcW w:w="8320" w:type="dxa"/>
            <w:vAlign w:val="bottom"/>
          </w:tcPr>
          <w:p>
            <w:pPr>
              <w:ind w:left="16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12.15</w:t>
            </w:r>
          </w:p>
        </w:tc>
        <w:tc>
          <w:tcPr>
            <w:tcW w:w="8320" w:type="dxa"/>
            <w:vAlign w:val="bottom"/>
          </w:tcPr>
          <w:p>
            <w:pPr>
              <w:ind w:left="160"/>
              <w:spacing w:after="0"/>
              <w:rPr>
                <w:sz w:val="20"/>
                <w:szCs w:val="20"/>
                <w:color w:val="auto"/>
              </w:rPr>
            </w:pPr>
            <w:r>
              <w:rPr>
                <w:rFonts w:ascii="Arial" w:cs="Arial" w:eastAsia="Arial" w:hAnsi="Arial"/>
                <w:sz w:val="18"/>
                <w:szCs w:val="18"/>
                <w:color w:val="auto"/>
              </w:rPr>
              <w:t>Electronic Signatures</w:t>
            </w:r>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200" w:type="dxa"/>
            <w:vAlign w:val="bottom"/>
          </w:tcPr>
          <w:p>
            <w:pPr>
              <w:spacing w:after="0"/>
              <w:rPr>
                <w:sz w:val="24"/>
                <w:szCs w:val="24"/>
                <w:color w:val="auto"/>
              </w:rPr>
            </w:pPr>
          </w:p>
        </w:tc>
        <w:tc>
          <w:tcPr>
            <w:tcW w:w="8320" w:type="dxa"/>
            <w:vAlign w:val="bottom"/>
          </w:tcPr>
          <w:p>
            <w:pPr>
              <w:ind w:left="4020"/>
              <w:spacing w:after="0"/>
              <w:rPr>
                <w:sz w:val="20"/>
                <w:szCs w:val="20"/>
                <w:color w:val="auto"/>
              </w:rPr>
            </w:pPr>
            <w:r>
              <w:rPr>
                <w:rFonts w:ascii="Arial" w:cs="Arial" w:eastAsia="Arial" w:hAnsi="Arial"/>
                <w:sz w:val="18"/>
                <w:szCs w:val="18"/>
                <w:color w:val="auto"/>
              </w:rPr>
              <w:t>EXHIBITS</w:t>
            </w:r>
          </w:p>
        </w:tc>
        <w:tc>
          <w:tcPr>
            <w:tcW w:w="1720" w:type="dxa"/>
            <w:vAlign w:val="bottom"/>
          </w:tcPr>
          <w:p>
            <w:pPr>
              <w:spacing w:after="0"/>
              <w:rPr>
                <w:sz w:val="24"/>
                <w:szCs w:val="24"/>
                <w:color w:val="auto"/>
              </w:rPr>
            </w:pP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NOTE</w:t>
            </w:r>
          </w:p>
        </w:tc>
        <w:tc>
          <w:tcPr>
            <w:tcW w:w="1720" w:type="dxa"/>
            <w:vAlign w:val="bottom"/>
          </w:tcPr>
          <w:p>
            <w:pPr>
              <w:spacing w:after="0"/>
              <w:rPr>
                <w:sz w:val="24"/>
                <w:szCs w:val="24"/>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B</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CERTIFICATE OF TRANSFER</w:t>
            </w:r>
          </w:p>
        </w:tc>
        <w:tc>
          <w:tcPr>
            <w:tcW w:w="17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C</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CERTIFICATE OF EXCHANGE</w:t>
            </w:r>
          </w:p>
        </w:tc>
        <w:tc>
          <w:tcPr>
            <w:tcW w:w="17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Exhibit D</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7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E</w:t>
            </w:r>
          </w:p>
        </w:tc>
        <w:tc>
          <w:tcPr>
            <w:tcW w:w="8320" w:type="dxa"/>
            <w:vAlign w:val="bottom"/>
          </w:tcPr>
          <w:p>
            <w:pPr>
              <w:ind w:left="160"/>
              <w:spacing w:after="0"/>
              <w:rPr>
                <w:sz w:val="20"/>
                <w:szCs w:val="20"/>
                <w:color w:val="auto"/>
              </w:rPr>
            </w:pPr>
            <w:r>
              <w:rPr>
                <w:rFonts w:ascii="Arial" w:cs="Arial" w:eastAsia="Arial" w:hAnsi="Arial"/>
                <w:sz w:val="18"/>
                <w:szCs w:val="18"/>
                <w:color w:val="auto"/>
              </w:rPr>
              <w:t>FORM OF SUPPLEMENTAL INDENTURE</w:t>
            </w:r>
          </w:p>
        </w:tc>
        <w:tc>
          <w:tcPr>
            <w:tcW w:w="17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 xml:space="preserve">INDENTURE dated as of March 9, 2021 among Clearway Energy Operating LLC, a Delaware limited liability company, the Guarantors (as defined herein) and Delaware Trust Company,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the Guarantors and the Trustee agree as follows for the benefit of each other and for the equal and ratable benefit of the Holders (as defined herein) of the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 and any other Additional Securities issued pursuant to this Indenture after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“144A Global Security” </w:t>
      </w:r>
      <w:r>
        <w:rPr>
          <w:rFonts w:ascii="Arial" w:cs="Arial" w:eastAsia="Arial" w:hAnsi="Arial"/>
          <w:sz w:val="16"/>
          <w:szCs w:val="16"/>
          <w:color w:val="auto"/>
        </w:rPr>
        <w:t>means a Global Security, in the form specified in the applicable Supplemental Indenture pursuant to which such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from time to time under this Indenture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2.02 hereof, as part of the same series as the Initial Notes.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“Additional Securities” </w:t>
      </w:r>
      <w:r>
        <w:rPr>
          <w:rFonts w:ascii="Arial" w:cs="Arial" w:eastAsia="Arial" w:hAnsi="Arial"/>
          <w:sz w:val="18"/>
          <w:szCs w:val="18"/>
          <w:color w:val="auto"/>
        </w:rPr>
        <w:t>means any debentures, notes and other debt instruments of the Company of any Series, other than the Notes, authenticated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under this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“Adjusted LTM CAFD” </w:t>
      </w:r>
      <w:r>
        <w:rPr>
          <w:rFonts w:ascii="Arial" w:cs="Arial" w:eastAsia="Arial" w:hAnsi="Arial"/>
          <w:sz w:val="18"/>
          <w:szCs w:val="18"/>
          <w:color w:val="auto"/>
        </w:rPr>
        <w:t>means, as of any date of determination (for purposes of this definition, the</w:t>
      </w:r>
      <w:r>
        <w:rPr>
          <w:rFonts w:ascii="Arial" w:cs="Arial" w:eastAsia="Arial" w:hAnsi="Arial"/>
          <w:sz w:val="18"/>
          <w:szCs w:val="18"/>
          <w:i w:val="1"/>
          <w:iCs w:val="1"/>
          <w:color w:val="auto"/>
        </w:rPr>
        <w:t xml:space="preserve"> “Calculation Date”</w:t>
      </w:r>
      <w:r>
        <w:rPr>
          <w:rFonts w:ascii="Arial" w:cs="Arial" w:eastAsia="Arial" w:hAnsi="Arial"/>
          <w:sz w:val="18"/>
          <w:szCs w:val="18"/>
          <w:color w:val="auto"/>
        </w:rPr>
        <w:t>), the net income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4" w:lineRule="exact"/>
        <w:rPr>
          <w:sz w:val="20"/>
          <w:szCs w:val="20"/>
          <w:color w:val="auto"/>
        </w:rPr>
      </w:pPr>
    </w:p>
    <w:p>
      <w:pPr>
        <w:ind w:left="1780" w:hanging="4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5580" w:right="1080" w:hanging="4276"/>
        <w:spacing w:after="0" w:line="778" w:lineRule="auto"/>
        <w:tabs>
          <w:tab w:leader="none" w:pos="1785"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1120" w:hanging="476"/>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minus equity in earnings of unconsolidated affiliates to the extent included in net income during such four-quarter period;</w:t>
      </w:r>
    </w:p>
    <w:p>
      <w:pPr>
        <w:spacing w:after="0" w:line="236" w:lineRule="exact"/>
        <w:rPr>
          <w:rFonts w:ascii="Arial" w:cs="Arial" w:eastAsia="Arial" w:hAnsi="Arial"/>
          <w:sz w:val="17"/>
          <w:szCs w:val="17"/>
          <w:color w:val="auto"/>
        </w:rPr>
      </w:pPr>
    </w:p>
    <w:p>
      <w:pPr>
        <w:ind w:right="20"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cash distributions and return of investments from unconsolidated affiliates, to the extent not included in net income during such four-quarter period;</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cash distributions from noncontrolling interests, to the extent not included in net income during such four-quarter period;</w:t>
      </w:r>
    </w:p>
    <w:p>
      <w:pPr>
        <w:spacing w:after="0" w:line="236" w:lineRule="exact"/>
        <w:rPr>
          <w:rFonts w:ascii="Arial" w:cs="Arial" w:eastAsia="Arial" w:hAnsi="Arial"/>
          <w:sz w:val="17"/>
          <w:szCs w:val="17"/>
          <w:color w:val="auto"/>
        </w:rPr>
      </w:pPr>
    </w:p>
    <w:p>
      <w:pPr>
        <w:ind w:left="1120" w:hanging="476"/>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cash distributions to noncontrolling interests, to the extent not deducted in calculating net income during such four-quarter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the Company that were added back to net income pursuant to clause (1) above;</w:t>
      </w:r>
    </w:p>
    <w:p>
      <w:pPr>
        <w:spacing w:after="0" w:line="170" w:lineRule="exact"/>
        <w:rPr>
          <w:rFonts w:ascii="Arial" w:cs="Arial" w:eastAsia="Arial" w:hAnsi="Arial"/>
          <w:sz w:val="18"/>
          <w:szCs w:val="18"/>
          <w:color w:val="auto"/>
        </w:rPr>
      </w:pPr>
    </w:p>
    <w:p>
      <w:pPr>
        <w:ind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income tax payments made by the Company and its Subsidiaries that were added back to net income pursuant to clause (2) above;</w:t>
      </w:r>
    </w:p>
    <w:p>
      <w:pPr>
        <w:spacing w:after="0" w:line="170" w:lineRule="exact"/>
        <w:rPr>
          <w:rFonts w:ascii="Arial" w:cs="Arial" w:eastAsia="Arial" w:hAnsi="Arial"/>
          <w:sz w:val="18"/>
          <w:szCs w:val="18"/>
          <w:color w:val="auto"/>
        </w:rPr>
      </w:pPr>
    </w:p>
    <w:p>
      <w:pPr>
        <w:ind w:firstLine="644"/>
        <w:spacing w:after="0" w:line="277"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Company’s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firstLine="644"/>
        <w:spacing w:after="0" w:line="277" w:lineRule="auto"/>
        <w:tabs>
          <w:tab w:leader="none" w:pos="11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decrease or minus any increase in amounts attributable to contract amortization and any recurring changes in other assets, including changes in prepaid and accrued capacity payments;</w:t>
      </w:r>
    </w:p>
    <w:p>
      <w:pPr>
        <w:spacing w:after="0" w:line="170" w:lineRule="exact"/>
        <w:rPr>
          <w:rFonts w:ascii="Arial" w:cs="Arial" w:eastAsia="Arial" w:hAnsi="Arial"/>
          <w:sz w:val="18"/>
          <w:szCs w:val="18"/>
          <w:color w:val="auto"/>
        </w:rPr>
      </w:pPr>
    </w:p>
    <w:p>
      <w:pPr>
        <w:ind w:left="1160" w:hanging="516"/>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maintenance capital expenditures, to the extent not deducted in calculating net income during such four-quarter period;</w:t>
      </w:r>
    </w:p>
    <w:p>
      <w:pPr>
        <w:spacing w:after="0" w:line="248" w:lineRule="exact"/>
        <w:rPr>
          <w:rFonts w:ascii="Arial" w:cs="Arial" w:eastAsia="Arial" w:hAnsi="Arial"/>
          <w:sz w:val="16"/>
          <w:szCs w:val="16"/>
          <w:color w:val="auto"/>
        </w:rPr>
      </w:pPr>
    </w:p>
    <w:p>
      <w:pPr>
        <w:ind w:left="1160" w:hanging="516"/>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any non-cash equity compensation expenses, to the extent deducted in calculating net income during such four-quarter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10" w:lineRule="exact"/>
        <w:rPr>
          <w:rFonts w:ascii="Arial" w:cs="Arial" w:eastAsia="Arial" w:hAnsi="Arial"/>
          <w:sz w:val="17"/>
          <w:szCs w:val="17"/>
          <w:color w:val="auto"/>
        </w:rPr>
      </w:pPr>
    </w:p>
    <w:p>
      <w:pPr>
        <w:jc w:val="both"/>
        <w:ind w:firstLine="644"/>
        <w:spacing w:after="0" w:line="259"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spacing w:after="0" w:line="186" w:lineRule="exact"/>
        <w:rPr>
          <w:rFonts w:ascii="Arial" w:cs="Arial" w:eastAsia="Arial" w:hAnsi="Arial"/>
          <w:sz w:val="18"/>
          <w:szCs w:val="18"/>
          <w:color w:val="auto"/>
        </w:rPr>
      </w:pPr>
    </w:p>
    <w:p>
      <w:pPr>
        <w:ind w:firstLine="644"/>
        <w:spacing w:after="0" w:line="308" w:lineRule="auto"/>
        <w:tabs>
          <w:tab w:leader="none" w:pos="1173"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46" w:lineRule="exact"/>
        <w:rPr>
          <w:rFonts w:ascii="Arial" w:cs="Arial" w:eastAsia="Arial" w:hAnsi="Arial"/>
          <w:sz w:val="17"/>
          <w:szCs w:val="17"/>
          <w:color w:val="auto"/>
        </w:rPr>
      </w:pPr>
    </w:p>
    <w:p>
      <w:pPr>
        <w:ind w:left="1160" w:hanging="516"/>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non-cash mark-to-market losses on economic hedges, to the extent deducted in calculating net income during such four-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quarter period;</w:t>
      </w:r>
    </w:p>
    <w:p>
      <w:pPr>
        <w:spacing w:after="0" w:line="210" w:lineRule="exact"/>
        <w:rPr>
          <w:rFonts w:ascii="Arial" w:cs="Arial" w:eastAsia="Arial" w:hAnsi="Arial"/>
          <w:sz w:val="17"/>
          <w:szCs w:val="17"/>
          <w:color w:val="auto"/>
        </w:rPr>
      </w:pPr>
    </w:p>
    <w:p>
      <w:pPr>
        <w:ind w:left="1160" w:hanging="516"/>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non-cash mark-to-market gains on economic hedges, to the extent included in net income during such four-quarter period;</w:t>
      </w:r>
    </w:p>
    <w:p>
      <w:pPr>
        <w:spacing w:after="0" w:line="248" w:lineRule="exact"/>
        <w:rPr>
          <w:rFonts w:ascii="Arial" w:cs="Arial" w:eastAsia="Arial" w:hAnsi="Arial"/>
          <w:sz w:val="16"/>
          <w:szCs w:val="16"/>
          <w:color w:val="auto"/>
        </w:rPr>
      </w:pPr>
    </w:p>
    <w:p>
      <w:pPr>
        <w:ind w:left="1160" w:hanging="516"/>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development expenses,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ind w:left="660" w:firstLine="644"/>
        <w:spacing w:after="0" w:line="277" w:lineRule="auto"/>
        <w:tabs>
          <w:tab w:leader="none" w:pos="1833"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adjustments to reflect Adjusted LTM CAFD generated by unconsolidated investments that were unable to distribute project dividends during such four-quarter period due to the bankruptcy of Pacific Gas and Electric Company;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833"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adjustments made to reflect payments in respect of the Walnut Creek investment, to the extent deducted in calculating net income during such four-quarter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firstLine="644"/>
        <w:spacing w:after="0" w:line="275" w:lineRule="auto"/>
        <w:tabs>
          <w:tab w:leader="none" w:pos="178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76" w:lineRule="exact"/>
        <w:rPr>
          <w:rFonts w:ascii="Arial" w:cs="Arial" w:eastAsia="Arial" w:hAnsi="Arial"/>
          <w:sz w:val="17"/>
          <w:szCs w:val="17"/>
          <w:color w:val="auto"/>
        </w:rPr>
      </w:pPr>
    </w:p>
    <w:p>
      <w:pPr>
        <w:ind w:left="660" w:right="20" w:firstLine="644"/>
        <w:spacing w:after="0" w:line="277" w:lineRule="auto"/>
        <w:tabs>
          <w:tab w:leader="none" w:pos="1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Person that is a Subsidiary on the Calculation Date will be deemed to have been a Subsidiary at all times during such four-quarter period;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any specified Person means any other Person directly or indirectly controlling or controlled by or under direct or indirect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“Applicable Laws” </w:t>
      </w:r>
      <w:r>
        <w:rPr>
          <w:rFonts w:ascii="Arial" w:cs="Arial" w:eastAsia="Arial" w:hAnsi="Arial"/>
          <w:sz w:val="17"/>
          <w:szCs w:val="17"/>
          <w:color w:val="auto"/>
        </w:rPr>
        <w:t>means, as to any Person, any law, rule, regulation, ordinance or treaty, or any determination, ruling or other directive by or</w:t>
      </w:r>
      <w:r>
        <w:rPr>
          <w:rFonts w:ascii="Arial" w:cs="Arial" w:eastAsia="Arial" w:hAnsi="Arial"/>
          <w:sz w:val="17"/>
          <w:szCs w:val="17"/>
          <w:i w:val="1"/>
          <w:iCs w:val="1"/>
          <w:color w:val="auto"/>
        </w:rPr>
        <w:t xml:space="preserve"> </w:t>
      </w:r>
      <w:r>
        <w:rPr>
          <w:rFonts w:ascii="Arial" w:cs="Arial" w:eastAsia="Arial" w:hAnsi="Arial"/>
          <w:sz w:val="17"/>
          <w:szCs w:val="17"/>
          <w:color w:val="auto"/>
        </w:rPr>
        <w:t>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i w:val="1"/>
          <w:iCs w:val="1"/>
          <w:color w:val="auto"/>
        </w:rPr>
        <w:t xml:space="preserve">“Applicable Premium” </w:t>
      </w:r>
      <w:r>
        <w:rPr>
          <w:rFonts w:ascii="Arial" w:cs="Arial" w:eastAsia="Arial" w:hAnsi="Arial"/>
          <w:sz w:val="18"/>
          <w:szCs w:val="18"/>
          <w:color w:val="auto"/>
        </w:rPr>
        <w:t>means, with respect to any Note on any redemption date, the greater of:</w:t>
      </w:r>
    </w:p>
    <w:p>
      <w:pPr>
        <w:spacing w:after="0" w:line="225" w:lineRule="exact"/>
        <w:rPr>
          <w:sz w:val="20"/>
          <w:szCs w:val="20"/>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18"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February 15, 2026 (such redemption price being set forth in the table appearing in Section 3.07 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February 15, 2026 (excluding accrued but unpaid interest to the redemption date), computed using a discount rate equal to the Treasury Rate as of such redemption date plus 50 basis points; over</w:t>
      </w:r>
    </w:p>
    <w:p>
      <w:pPr>
        <w:spacing w:after="0" w:line="186" w:lineRule="exact"/>
        <w:rPr>
          <w:rFonts w:ascii="Arial" w:cs="Arial" w:eastAsia="Arial" w:hAnsi="Arial"/>
          <w:sz w:val="18"/>
          <w:szCs w:val="18"/>
          <w:color w:val="auto"/>
        </w:rPr>
      </w:pPr>
    </w:p>
    <w:p>
      <w:pPr>
        <w:ind w:left="2400" w:hanging="448"/>
        <w:spacing w:after="0"/>
        <w:tabs>
          <w:tab w:leader="none" w:pos="2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of the Depositary, Euroclear and Clearstream that apply to such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has the meaning assigned to such term in Rule 13d-3 and Rule 13d-5 under the Exchange Act. The terms “Beneficially</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w:t>
      </w:r>
    </w:p>
    <w:p>
      <w:pPr>
        <w:spacing w:after="0" w:line="225" w:lineRule="exact"/>
        <w:rPr>
          <w:sz w:val="20"/>
          <w:szCs w:val="20"/>
          <w:color w:val="auto"/>
        </w:rPr>
      </w:pPr>
    </w:p>
    <w:p>
      <w:pPr>
        <w:ind w:left="1780" w:hanging="476"/>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board;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225" w:lineRule="exact"/>
        <w:rPr>
          <w:sz w:val="20"/>
          <w:szCs w:val="20"/>
          <w:color w:val="auto"/>
        </w:rPr>
      </w:pPr>
    </w:p>
    <w:p>
      <w:pPr>
        <w:ind w:left="1780" w:hanging="4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780" w:hanging="476"/>
        <w:spacing w:after="0"/>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firstLine="644"/>
        <w:spacing w:after="0" w:line="263" w:lineRule="auto"/>
        <w:tabs>
          <w:tab w:leader="none" w:pos="17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jc w:val="both"/>
        <w:ind w:left="660" w:firstLine="644"/>
        <w:spacing w:after="0" w:line="279" w:lineRule="auto"/>
        <w:tabs>
          <w:tab w:leader="none" w:pos="17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1780" w:hanging="476"/>
        <w:spacing w:after="0"/>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adoption of a plan relating to the liquidation or dissolution of Clearway Energy, Inc., the Parent Guarantor or the Company;</w:t>
      </w:r>
    </w:p>
    <w:p>
      <w:pPr>
        <w:spacing w:after="0" w:line="248" w:lineRule="exact"/>
        <w:rPr>
          <w:rFonts w:ascii="Arial" w:cs="Arial" w:eastAsia="Arial" w:hAnsi="Arial"/>
          <w:sz w:val="16"/>
          <w:szCs w:val="16"/>
          <w:color w:val="auto"/>
        </w:rPr>
      </w:pPr>
    </w:p>
    <w:p>
      <w:pPr>
        <w:jc w:val="both"/>
        <w:ind w:left="660" w:firstLine="644"/>
        <w:spacing w:after="0" w:line="257"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87"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Change of Control Triggering Event shall occur if following such downgrade, (x) the Notes are rated Investment Grade by both S&amp;P and Moody’s or (y) the ratings of the Notes by both S&amp;P and Moody’s are equal to or better than their respective ratings on the Issue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Clearway Energy Operating LLC, and any and all successors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means the address of the Trustee specified in Section 12.02 hereof or such other address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give notice to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the Amended and Restated Credit Agreement, dated April 25, 2014, among the Company, the Parent Guarantor,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means (i) one or more debt facilities (including, without limitation, the Credit Agreement) or commercial paper facilities,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Definitive Notes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Legend and shall not have the “Schedule of Exchanges of Interests in the Global Note” attached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Security” </w:t>
      </w:r>
      <w:r>
        <w:rPr>
          <w:rFonts w:ascii="Arial" w:cs="Arial" w:eastAsia="Arial" w:hAnsi="Arial"/>
          <w:sz w:val="18"/>
          <w:szCs w:val="18"/>
          <w:color w:val="auto"/>
        </w:rPr>
        <w:t>means a certificated Security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Securities with respect to all other Series of Securities will be in the form specified in the Supplemental Indenture pursuant to which such Series of Securities is created.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“Environmental CapEx Debt” </w:t>
      </w:r>
      <w:r>
        <w:rPr>
          <w:rFonts w:ascii="Arial" w:cs="Arial" w:eastAsia="Arial" w:hAnsi="Arial"/>
          <w:sz w:val="18"/>
          <w:szCs w:val="18"/>
          <w:color w:val="auto"/>
        </w:rPr>
        <w:t>means Indebtedness of the Company or any of its Subsidiaries incurred for the purpose of financing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means all former, current and future federal, state, local and foreign laws (including common law), treaties,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“Equity Offerings” </w:t>
      </w:r>
      <w:r>
        <w:rPr>
          <w:rFonts w:ascii="Arial" w:cs="Arial" w:eastAsia="Arial" w:hAnsi="Arial"/>
          <w:sz w:val="18"/>
          <w:szCs w:val="18"/>
          <w:color w:val="auto"/>
        </w:rPr>
        <w:t>means any public or private sale after the Issue Date of Capital Stock of the Parent Guarantor or Clearway Energy,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which have been contributed to the Company as common equity, other than:</w:t>
      </w:r>
    </w:p>
    <w:p>
      <w:pPr>
        <w:spacing w:after="0" w:line="170" w:lineRule="exact"/>
        <w:rPr>
          <w:sz w:val="20"/>
          <w:szCs w:val="20"/>
          <w:color w:val="auto"/>
        </w:rPr>
      </w:pPr>
    </w:p>
    <w:p>
      <w:pPr>
        <w:ind w:left="1780" w:hanging="476"/>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offerings with respect to Clearway Energy, Inc.’s common stock registered on Form S-4 or Form S-8;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issuances to any Subsidiary of Clearway Energy,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“Exchange Agreement” </w:t>
      </w:r>
      <w:r>
        <w:rPr>
          <w:rFonts w:ascii="Arial" w:cs="Arial" w:eastAsia="Arial" w:hAnsi="Arial"/>
          <w:sz w:val="17"/>
          <w:szCs w:val="17"/>
          <w:color w:val="auto"/>
        </w:rPr>
        <w:t>means the Amended and Restated Exchange Agreement, dated as of May 14, 2015 by and among NRG Energy, Inc.,</w:t>
      </w:r>
      <w:r>
        <w:rPr>
          <w:rFonts w:ascii="Arial" w:cs="Arial" w:eastAsia="Arial" w:hAnsi="Arial"/>
          <w:sz w:val="17"/>
          <w:szCs w:val="17"/>
          <w:i w:val="1"/>
          <w:iCs w:val="1"/>
          <w:color w:val="auto"/>
        </w:rPr>
        <w:t xml:space="preserve"> </w:t>
      </w:r>
      <w:r>
        <w:rPr>
          <w:rFonts w:ascii="Arial" w:cs="Arial" w:eastAsia="Arial" w:hAnsi="Arial"/>
          <w:sz w:val="17"/>
          <w:szCs w:val="17"/>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“Existing Liens” </w:t>
      </w:r>
      <w:r>
        <w:rPr>
          <w:rFonts w:ascii="Arial" w:cs="Arial" w:eastAsia="Arial" w:hAnsi="Arial"/>
          <w:sz w:val="17"/>
          <w:szCs w:val="17"/>
          <w:color w:val="auto"/>
        </w:rPr>
        <w:t>means Liens on the property or assets of the Company and/or any of its Subsidiaries existing on the date of this Indenture</w:t>
      </w:r>
      <w:r>
        <w:rPr>
          <w:rFonts w:ascii="Arial" w:cs="Arial" w:eastAsia="Arial" w:hAnsi="Arial"/>
          <w:sz w:val="17"/>
          <w:szCs w:val="17"/>
          <w:i w:val="1"/>
          <w:iCs w:val="1"/>
          <w:color w:val="auto"/>
        </w:rPr>
        <w:t xml:space="preserve"> </w:t>
      </w:r>
      <w:r>
        <w:rPr>
          <w:rFonts w:ascii="Arial" w:cs="Arial" w:eastAsia="Arial" w:hAnsi="Arial"/>
          <w:sz w:val="17"/>
          <w:szCs w:val="17"/>
          <w:color w:val="auto"/>
        </w:rPr>
        <w:t>securing Indebtedness of the Company or any of its Subsidiaries (other than Liens incurred pursuant to clause (1) of Section 4.07 hereof).</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lease that would not be considered a capital lease pursuant to GAAP prior to the effectiveness of Accounting Standards Codification 842</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such lease was in effect on such date) shall be treated as an operating lease for all purposes under this Indenture and shall not be deemed to constitute a capitalized lease or Indebtedness hereunder.</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“Global Legend” </w:t>
      </w:r>
      <w:r>
        <w:rPr>
          <w:rFonts w:ascii="Arial" w:cs="Arial" w:eastAsia="Arial" w:hAnsi="Arial"/>
          <w:sz w:val="18"/>
          <w:szCs w:val="18"/>
          <w:color w:val="auto"/>
        </w:rPr>
        <w:t>means the legend set forth in Section 2.06(g)(2) hereof, which is required to be placed on all Global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“Global Notes” </w:t>
      </w:r>
      <w:r>
        <w:rPr>
          <w:rFonts w:ascii="Arial" w:cs="Arial" w:eastAsia="Arial" w:hAnsi="Arial"/>
          <w:sz w:val="17"/>
          <w:szCs w:val="17"/>
          <w:color w:val="auto"/>
        </w:rPr>
        <w:t>means, individually and collectively, each Restricted Global Note and each Unrestricted Global Note deposited with or on behalf</w:t>
      </w:r>
      <w:r>
        <w:rPr>
          <w:rFonts w:ascii="Arial" w:cs="Arial" w:eastAsia="Arial" w:hAnsi="Arial"/>
          <w:sz w:val="17"/>
          <w:szCs w:val="17"/>
          <w:i w:val="1"/>
          <w:iCs w:val="1"/>
          <w:color w:val="auto"/>
        </w:rPr>
        <w:t xml:space="preserve"> </w:t>
      </w:r>
      <w:r>
        <w:rPr>
          <w:rFonts w:ascii="Arial" w:cs="Arial" w:eastAsia="Arial" w:hAnsi="Arial"/>
          <w:sz w:val="17"/>
          <w:szCs w:val="17"/>
          <w:color w:val="auto"/>
        </w:rPr>
        <w:t>of 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“Global Securities” </w:t>
      </w:r>
      <w:r>
        <w:rPr>
          <w:rFonts w:ascii="Arial" w:cs="Arial" w:eastAsia="Arial" w:hAnsi="Arial"/>
          <w:sz w:val="18"/>
          <w:szCs w:val="18"/>
          <w:color w:val="auto"/>
        </w:rPr>
        <w:t>means, individually and collectively, each Restricted Global Security and each Unrestricted Global Security deposited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225"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Section 10.05.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“Hedging Obligations” </w:t>
      </w:r>
      <w:r>
        <w:rPr>
          <w:rFonts w:ascii="Arial" w:cs="Arial" w:eastAsia="Arial" w:hAnsi="Arial"/>
          <w:sz w:val="18"/>
          <w:szCs w:val="18"/>
          <w:color w:val="auto"/>
        </w:rPr>
        <w:t>means, with respect to any specified Person, the obligations of such Person under:</w:t>
      </w:r>
    </w:p>
    <w:p>
      <w:pPr>
        <w:spacing w:after="0" w:line="225" w:lineRule="exact"/>
        <w:rPr>
          <w:sz w:val="20"/>
          <w:szCs w:val="20"/>
          <w:color w:val="auto"/>
        </w:rPr>
      </w:pPr>
    </w:p>
    <w:p>
      <w:pPr>
        <w:ind w:left="660" w:firstLine="644"/>
        <w:spacing w:after="0" w:line="277" w:lineRule="auto"/>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Security is registered.</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resold to Institutional Accredited Investors.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“IAI Global Security” </w:t>
      </w:r>
      <w:r>
        <w:rPr>
          <w:rFonts w:ascii="Arial" w:cs="Arial" w:eastAsia="Arial" w:hAnsi="Arial"/>
          <w:sz w:val="18"/>
          <w:szCs w:val="18"/>
          <w:color w:val="auto"/>
        </w:rPr>
        <w:t>means a Global Security, in the form specified in the applicable Supplemental Indenture pursuant to which such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with respect to any specified Person, any indebtedness of such Person (excluding accrued expenses and trade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clause (5) below, and surety bonds), whether or not contingent:</w:t>
      </w:r>
    </w:p>
    <w:p>
      <w:pPr>
        <w:spacing w:after="0" w:line="170" w:lineRule="exact"/>
        <w:rPr>
          <w:sz w:val="20"/>
          <w:szCs w:val="20"/>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$925,000,000 in aggregate principal amount of Notes issued under this Indenture on the date hereof.</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“Initial Purchasers” </w:t>
      </w:r>
      <w:r>
        <w:rPr>
          <w:rFonts w:ascii="Arial" w:cs="Arial" w:eastAsia="Arial" w:hAnsi="Arial"/>
          <w:sz w:val="16"/>
          <w:szCs w:val="16"/>
          <w:color w:val="auto"/>
        </w:rPr>
        <w:t>means Morgan Stanley &amp; Co. LLC, Goldman Sachs &amp; Co. LLC, MUFG Securities Americas Inc., J.P. Morgan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LLC, Barclays Capital Inc., BofA Securities, Inc., Citigroup Global Markets Inc., KeyBanc Capital Markets Inc., and RBC Capital Markets, LLC, and shall include any other entity designated as such in any Supplemental Indenture with respect to any Series of Securities issued after the date of this Indenture.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are not also QIBs.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“Investment Grade” </w:t>
      </w:r>
      <w:r>
        <w:rPr>
          <w:rFonts w:ascii="Arial" w:cs="Arial" w:eastAsia="Arial" w:hAnsi="Arial"/>
          <w:sz w:val="18"/>
          <w:szCs w:val="18"/>
          <w:color w:val="auto"/>
        </w:rPr>
        <w:t>in respect of the Notes means a rating of (i) Baa3 or better by Moody’s, (ii) BBB- or better by S&amp;P, or (iii) the equivalent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rating by such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March 9,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“Legal Holiday” </w:t>
      </w:r>
      <w:r>
        <w:rPr>
          <w:rFonts w:ascii="Arial" w:cs="Arial" w:eastAsia="Arial" w:hAnsi="Arial"/>
          <w:sz w:val="17"/>
          <w:szCs w:val="17"/>
          <w:color w:val="auto"/>
        </w:rPr>
        <w:t>means a Saturday, a Sunday or a day on which banking institutions in the City of New York or at a place of payment are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w:t>
      </w:r>
    </w:p>
    <w:p>
      <w:pPr>
        <w:spacing w:after="0" w:line="225" w:lineRule="exact"/>
        <w:rPr>
          <w:sz w:val="20"/>
          <w:szCs w:val="20"/>
          <w:color w:val="auto"/>
        </w:rPr>
      </w:pPr>
    </w:p>
    <w:p>
      <w:pPr>
        <w:ind w:left="660" w:right="2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Indebtedness” </w:t>
      </w:r>
      <w:r>
        <w:rPr>
          <w:rFonts w:ascii="Arial" w:cs="Arial" w:eastAsia="Arial" w:hAnsi="Arial"/>
          <w:sz w:val="18"/>
          <w:szCs w:val="18"/>
          <w:color w:val="auto"/>
        </w:rPr>
        <w:t>means, as of any date, any series of Indebtedness with an aggregate principal amount outstanding in excess of the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of (i) 1.5% of Total Assets, as of such date, and (ii) $100.0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“Necessary CapEx Debt” </w:t>
      </w:r>
      <w:r>
        <w:rPr>
          <w:rFonts w:ascii="Arial" w:cs="Arial" w:eastAsia="Arial" w:hAnsi="Arial"/>
          <w:sz w:val="18"/>
          <w:szCs w:val="18"/>
          <w:color w:val="auto"/>
        </w:rPr>
        <w:t>means Indebtedness of the Company or any of its Subsidiaries incurred for the purpose of financing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has the meaning assigned to it in the preamble to this Indenture. The Initial Notes and the Additional Notes shall be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“Offering Memorandum” </w:t>
      </w:r>
      <w:r>
        <w:rPr>
          <w:rFonts w:ascii="Arial" w:cs="Arial" w:eastAsia="Arial" w:hAnsi="Arial"/>
          <w:sz w:val="17"/>
          <w:szCs w:val="17"/>
          <w:color w:val="auto"/>
        </w:rPr>
        <w:t>means the offering memorandum dated March 2, 2021 in connection with the offering of the Notes by the Company.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of Directors, the Chief Executive Officer, the President,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the Chief Financial Officer, the Chief Accounting Officer, the Treasurer, any Assistant Treasurer, the Secretary, the Controller, Assistant Secretary or any Vice President of such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two Officers of the Company, one of whom must be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principal financial officer, the treasurer or the principal accounting officer of the Company, that meets the requirements of Section 12.05 hereof.</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an opinion from legal counsel who is reasonably acceptable to the Trustee, that meets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12.05 hereof. The counsel may be an employee of or counsel to the Company, any Subsidiary of the Company or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Legend” </w:t>
      </w:r>
      <w:r>
        <w:rPr>
          <w:rFonts w:ascii="Arial" w:cs="Arial" w:eastAsia="Arial" w:hAnsi="Arial"/>
          <w:sz w:val="18"/>
          <w:szCs w:val="18"/>
          <w:color w:val="auto"/>
        </w:rPr>
        <w:t>means the legend set forth in Section 2.06(g)(3) hereof to be placed on all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if applicable.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“Parent Guarantee” </w:t>
      </w:r>
      <w:r>
        <w:rPr>
          <w:rFonts w:ascii="Arial" w:cs="Arial" w:eastAsia="Arial" w:hAnsi="Arial"/>
          <w:sz w:val="18"/>
          <w:szCs w:val="18"/>
          <w:color w:val="auto"/>
        </w:rPr>
        <w:t>means the Guarantee by the Parent Guarantor of the Company’s obligations under this Indenture and on the Notes,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Clearway Energy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building, structure or other facility, and all related property, plant or equipment or other long-term assets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where otherwise permitted by the provisions of this Indenture.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“Pro Forma Cost Savings” </w:t>
      </w:r>
      <w:r>
        <w:rPr>
          <w:rFonts w:ascii="Arial" w:cs="Arial" w:eastAsia="Arial" w:hAnsi="Arial"/>
          <w:sz w:val="17"/>
          <w:szCs w:val="17"/>
          <w:color w:val="auto"/>
        </w:rPr>
        <w:t>means, without duplication, with respect to any period, reductions in costs and related adjustments that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“Project Debt” </w:t>
      </w:r>
      <w:r>
        <w:rPr>
          <w:rFonts w:ascii="Arial" w:cs="Arial" w:eastAsia="Arial" w:hAnsi="Arial"/>
          <w:sz w:val="18"/>
          <w:szCs w:val="18"/>
          <w:color w:val="auto"/>
        </w:rPr>
        <w:t>means Indebtedness of one or more Project Subsidiaries incurred for the purpose of holding, leasing, developing, constructing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is not liable with respect to such Indebtedness except to the extent of a non-recourse pledge of equity interests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“Project Subsidiary” </w:t>
      </w:r>
      <w:r>
        <w:rPr>
          <w:rFonts w:ascii="Arial" w:cs="Arial" w:eastAsia="Arial" w:hAnsi="Arial"/>
          <w:sz w:val="18"/>
          <w:szCs w:val="18"/>
          <w:color w:val="auto"/>
        </w:rPr>
        <w:t>means any Subsidiary of the Company held for the purpose of holding, leasing, developing, constructing or acquiring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“Refinancing Liens” </w:t>
      </w:r>
      <w:r>
        <w:rPr>
          <w:rFonts w:ascii="Arial" w:cs="Arial" w:eastAsia="Arial" w:hAnsi="Arial"/>
          <w:sz w:val="16"/>
          <w:szCs w:val="16"/>
          <w:color w:val="auto"/>
        </w:rPr>
        <w:t>means Liens granted in connection with amending, extending, modifying, renewing, replacing, refunding or refinancing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whole or in part any Indebtedness secured by Liens described in clauses (2) through (13) of Section 4.07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w:t>
      </w:r>
    </w:p>
    <w:p>
      <w:pPr>
        <w:jc w:val="both"/>
        <w:ind w:firstLine="8"/>
        <w:spacing w:after="0" w:line="255" w:lineRule="auto"/>
        <w:tabs>
          <w:tab w:leader="none" w:pos="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S-K” </w:t>
      </w:r>
      <w:r>
        <w:rPr>
          <w:rFonts w:ascii="Arial" w:cs="Arial" w:eastAsia="Arial" w:hAnsi="Arial"/>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S-X” </w:t>
      </w:r>
      <w:r>
        <w:rPr>
          <w:rFonts w:ascii="Arial" w:cs="Arial" w:eastAsia="Arial" w:hAnsi="Arial"/>
          <w:sz w:val="18"/>
          <w:szCs w:val="18"/>
          <w:color w:val="auto"/>
        </w:rPr>
        <w:t>means Regulation S-X promulgated under the Securities 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“Regulation S Global Security” </w:t>
      </w:r>
      <w:r>
        <w:rPr>
          <w:rFonts w:ascii="Arial" w:cs="Arial" w:eastAsia="Arial" w:hAnsi="Arial"/>
          <w:sz w:val="18"/>
          <w:szCs w:val="18"/>
          <w:color w:val="auto"/>
        </w:rPr>
        <w:t>means a Global Security, in the form specified in the applicable Supplemental Indenture pursuant 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when used with respect to the Trustee, any officer within the Corporate Trust Administration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Security” </w:t>
      </w:r>
      <w:r>
        <w:rPr>
          <w:rFonts w:ascii="Arial" w:cs="Arial" w:eastAsia="Arial" w:hAnsi="Arial"/>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Security” </w:t>
      </w:r>
      <w:r>
        <w:rPr>
          <w:rFonts w:ascii="Arial" w:cs="Arial" w:eastAsia="Arial" w:hAnsi="Arial"/>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S&amp;P Global Ratings, a division of S&amp;P Global Inc.,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means all debentures, notes and other debt instruments of the Company of any Series authenticated and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including all Notes and Additional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Securities created pursuant to Section 2.01 hereof (for the avoidance of doubt,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Series of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pursuant to the Securities Act, as such Regulation is in effect on the date of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“Sponsor” </w:t>
      </w:r>
      <w:r>
        <w:rPr>
          <w:rFonts w:ascii="Arial" w:cs="Arial" w:eastAsia="Arial" w:hAnsi="Arial"/>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“Sponsor Affiliate” </w:t>
      </w:r>
      <w:r>
        <w:rPr>
          <w:rFonts w:ascii="Arial" w:cs="Arial" w:eastAsia="Arial" w:hAnsi="Arial"/>
          <w:sz w:val="18"/>
          <w:szCs w:val="18"/>
          <w:color w:val="auto"/>
        </w:rPr>
        <w:t>means any Affiliate of the Sponsor that is not a portfolio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means, with respect to any installment of interest or principal on any series of Indebtedness, the date on which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225" w:lineRule="exact"/>
        <w:rPr>
          <w:sz w:val="20"/>
          <w:szCs w:val="20"/>
          <w:color w:val="auto"/>
        </w:rPr>
      </w:pPr>
    </w:p>
    <w:p>
      <w:pPr>
        <w:jc w:val="both"/>
        <w:ind w:left="660" w:firstLine="644"/>
        <w:spacing w:after="0" w:line="257" w:lineRule="auto"/>
        <w:tabs>
          <w:tab w:leader="none" w:pos="1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firstLine="644"/>
        <w:spacing w:after="0" w:line="308" w:lineRule="auto"/>
        <w:tabs>
          <w:tab w:leader="none" w:pos="17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“Subsidiary Guarantee” </w:t>
      </w:r>
      <w:r>
        <w:rPr>
          <w:rFonts w:ascii="Arial" w:cs="Arial" w:eastAsia="Arial" w:hAnsi="Arial"/>
          <w:sz w:val="18"/>
          <w:szCs w:val="18"/>
          <w:color w:val="auto"/>
        </w:rPr>
        <w:t>means the Guarantee by each Subsidiary Guarantor of the Company’s obligations under this Indenture and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pursuant to the provisions of this Indenture.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i w:val="1"/>
          <w:iCs w:val="1"/>
          <w:color w:val="auto"/>
        </w:rPr>
        <w:t xml:space="preserve">“Subsidiary Guarantors” </w:t>
      </w:r>
      <w:r>
        <w:rPr>
          <w:rFonts w:ascii="Arial" w:cs="Arial" w:eastAsia="Arial" w:hAnsi="Arial"/>
          <w:sz w:val="18"/>
          <w:szCs w:val="18"/>
          <w:color w:val="auto"/>
        </w:rPr>
        <w:t>means:</w:t>
      </w:r>
    </w:p>
    <w:p>
      <w:pPr>
        <w:spacing w:after="0" w:line="225" w:lineRule="exact"/>
        <w:rPr>
          <w:sz w:val="20"/>
          <w:szCs w:val="20"/>
          <w:color w:val="auto"/>
        </w:rPr>
      </w:pPr>
    </w:p>
    <w:p>
      <w:pPr>
        <w:ind w:left="660" w:firstLine="644"/>
        <w:spacing w:after="0" w:line="277" w:lineRule="auto"/>
        <w:tabs>
          <w:tab w:leader="none" w:pos="1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 Company’s Wholly Owned Subsidiaries that Guarantee the Notes on the date of this Indenture, until such time as they are released pursuant to Section 10.05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this Indenture, and their respective successors and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any supplemental indenture entered into pursuant to Section 2.01 hereof to evidence the issuance of any Additional Securities after the date of this Indenture.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“Tax Equity Financing” </w:t>
      </w:r>
      <w:r>
        <w:rPr>
          <w:rFonts w:ascii="Arial" w:cs="Arial" w:eastAsia="Arial" w:hAnsi="Arial"/>
          <w:sz w:val="16"/>
          <w:szCs w:val="16"/>
          <w:color w:val="auto"/>
        </w:rPr>
        <w:t>means a tax equity financing entered into solely in connection with the acquisition, expansion, upgrade or refurbishment</w:t>
      </w:r>
      <w:r>
        <w:rPr>
          <w:rFonts w:ascii="Arial" w:cs="Arial" w:eastAsia="Arial" w:hAnsi="Arial"/>
          <w:sz w:val="16"/>
          <w:szCs w:val="16"/>
          <w:i w:val="1"/>
          <w:iCs w:val="1"/>
          <w:color w:val="auto"/>
        </w:rPr>
        <w:t xml:space="preserve"> </w:t>
      </w:r>
      <w:r>
        <w:rPr>
          <w:rFonts w:ascii="Arial" w:cs="Arial" w:eastAsia="Arial" w:hAnsi="Arial"/>
          <w:sz w:val="16"/>
          <w:szCs w:val="16"/>
          <w:color w:val="auto"/>
        </w:rPr>
        <w:t>(or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“Total Assets” </w:t>
      </w:r>
      <w:r>
        <w:rPr>
          <w:rFonts w:ascii="Arial" w:cs="Arial" w:eastAsia="Arial" w:hAnsi="Arial"/>
          <w:sz w:val="17"/>
          <w:szCs w:val="17"/>
          <w:color w:val="auto"/>
        </w:rPr>
        <w:t>means, as of any date of determination, the total consolidated assets of the Company and its Subsidiaries, determined on a</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basis in accordance with GAAP, as shown on the most recent publicly available balance sheet of the Company as of such date.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“Treasury Rate” </w:t>
      </w:r>
      <w:r>
        <w:rPr>
          <w:rFonts w:ascii="Arial" w:cs="Arial" w:eastAsia="Arial" w:hAnsi="Arial"/>
          <w:sz w:val="18"/>
          <w:szCs w:val="18"/>
          <w:color w:val="auto"/>
        </w:rPr>
        <w:t>means, as of any redemption date, the yield to maturity as of such redemption date of United States Treasury securities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February 15, 2026;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period from the redemption date to February 15, 2026 is less than one year, the weekly average yield on actually traded United States Treasury securities adjusted to a constant maturity of one year will be used.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“Unrestricted Definitive Security” </w:t>
      </w:r>
      <w:r>
        <w:rPr>
          <w:rFonts w:ascii="Arial" w:cs="Arial" w:eastAsia="Arial" w:hAnsi="Arial"/>
          <w:sz w:val="17"/>
          <w:szCs w:val="17"/>
          <w:color w:val="auto"/>
        </w:rPr>
        <w:t>means a Definitive Security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Security” </w:t>
      </w:r>
      <w:r>
        <w:rPr>
          <w:rFonts w:ascii="Arial" w:cs="Arial" w:eastAsia="Arial" w:hAnsi="Arial"/>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such Person.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2" w:name="page23"/>
    <w:bookmarkEnd w:id="22"/>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with respect to any specified Person, a direct or indirect Subsidiary of such Person, 100%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or other ownership interests of which is at the time owned by such Person or by one or more Wholly Owned Subsidiaries of such Person.</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Other 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Defined in</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Term</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Section</w:t>
            </w:r>
          </w:p>
        </w:tc>
      </w:tr>
      <w:tr>
        <w:trPr>
          <w:trHeight w:val="209"/>
        </w:trPr>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“Authentication Order”</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Payment”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“Covenant Defeasance”</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“Event of Default”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“Paying Agent”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“Payment Default”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r>
    </w:tbl>
    <w:p>
      <w:pPr>
        <w:spacing w:after="0" w:line="200" w:lineRule="exact"/>
        <w:rPr>
          <w:sz w:val="20"/>
          <w:szCs w:val="20"/>
          <w:color w:val="auto"/>
        </w:rPr>
      </w:pPr>
    </w:p>
    <w:p>
      <w:pPr>
        <w:sectPr>
          <w:pgSz w:w="11900" w:h="16838" w:orient="portrait"/>
          <w:cols w:equalWidth="0" w:num="1">
            <w:col w:w="11240"/>
          </w:cols>
          <w:pgMar w:left="320" w:top="78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Section 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900" w:space="260"/>
            <w:col w:w="10080"/>
          </w:cols>
          <w:pgMar w:left="320" w:top="787"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Section 1.04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Rules of Construction.</w:t>
      </w:r>
    </w:p>
    <w:p>
      <w:pPr>
        <w:spacing w:after="0" w:line="200" w:lineRule="exact"/>
        <w:rPr>
          <w:sz w:val="20"/>
          <w:szCs w:val="20"/>
          <w:color w:val="auto"/>
        </w:rPr>
      </w:pPr>
    </w:p>
    <w:p>
      <w:pPr>
        <w:sectPr>
          <w:pgSz w:w="11900" w:h="16838" w:orient="portrait"/>
          <w:cols w:equalWidth="0" w:num="2">
            <w:col w:w="900" w:space="260"/>
            <w:col w:w="10080"/>
          </w:cols>
          <w:pgMar w:left="320" w:top="787"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“including” is not limiting;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type w:val="continuous"/>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ISSUANCE OF NOTES AND ADDITIONAL SECURITIES</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 of Notes; Creation of Additional Securities.</w:t>
      </w:r>
    </w:p>
    <w:p>
      <w:pPr>
        <w:spacing w:after="0" w:line="225" w:lineRule="exact"/>
        <w:rPr>
          <w:sz w:val="20"/>
          <w:szCs w:val="20"/>
          <w:color w:val="auto"/>
        </w:rPr>
      </w:pPr>
    </w:p>
    <w:p>
      <w:pPr>
        <w:jc w:val="both"/>
        <w:ind w:firstLine="656"/>
        <w:spacing w:after="0" w:line="254"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Securities to be Issued in Series</w:t>
      </w:r>
      <w:r>
        <w:rPr>
          <w:rFonts w:ascii="Arial" w:cs="Arial" w:eastAsia="Arial" w:hAnsi="Arial"/>
          <w:sz w:val="18"/>
          <w:szCs w:val="18"/>
          <w:color w:val="auto"/>
        </w:rPr>
        <w:t>. The aggregate amount of Securities that may be authenticated and delivered under this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84" w:lineRule="exact"/>
        <w:rPr>
          <w:sz w:val="20"/>
          <w:szCs w:val="20"/>
          <w:color w:val="auto"/>
        </w:rPr>
      </w:pPr>
    </w:p>
    <w:p>
      <w:pPr>
        <w:ind w:left="1760" w:hanging="456"/>
        <w:spacing w:after="0"/>
        <w:tabs>
          <w:tab w:leader="none" w:pos="1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title of the Series (which shall distinguish the Securities of that particular Series from the Securities of any other Series);</w:t>
      </w:r>
    </w:p>
    <w:p>
      <w:pPr>
        <w:spacing w:after="0" w:line="236" w:lineRule="exact"/>
        <w:rPr>
          <w:rFonts w:ascii="Arial" w:cs="Arial" w:eastAsia="Arial" w:hAnsi="Arial"/>
          <w:sz w:val="17"/>
          <w:szCs w:val="17"/>
          <w:color w:val="auto"/>
        </w:rPr>
      </w:pPr>
    </w:p>
    <w:p>
      <w:pPr>
        <w:ind w:left="1760" w:hanging="456"/>
        <w:spacing w:after="0"/>
        <w:tabs>
          <w:tab w:leader="none" w:pos="1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7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7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1" w:lineRule="exact"/>
        <w:rPr>
          <w:rFonts w:ascii="Arial" w:cs="Arial" w:eastAsia="Arial" w:hAnsi="Arial"/>
          <w:sz w:val="17"/>
          <w:szCs w:val="17"/>
          <w:color w:val="auto"/>
        </w:rPr>
      </w:pPr>
    </w:p>
    <w:p>
      <w:pPr>
        <w:jc w:val="both"/>
        <w:ind w:left="660" w:firstLine="644"/>
        <w:spacing w:after="0" w:line="311" w:lineRule="auto"/>
        <w:tabs>
          <w:tab w:leader="none" w:pos="17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4" w:name="page25"/>
    <w:bookmarkEnd w:id="24"/>
    <w:p>
      <w:pPr>
        <w:ind w:left="-460" w:firstLine="644"/>
        <w:spacing w:after="0" w:line="277" w:lineRule="auto"/>
        <w:tabs>
          <w:tab w:leader="none" w:pos="6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460" w:firstLine="644"/>
        <w:spacing w:after="0" w:line="286" w:lineRule="auto"/>
        <w:tabs>
          <w:tab w:leader="none" w:pos="6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460" w:right="20" w:firstLine="644"/>
        <w:spacing w:after="0" w:line="277" w:lineRule="auto"/>
        <w:tabs>
          <w:tab w:leader="none" w:pos="6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multiples of $1,000 in excess thereof, the denominations in which the Securities of the Series shall be issuable;</w:t>
      </w:r>
    </w:p>
    <w:p>
      <w:pPr>
        <w:spacing w:after="0" w:line="170" w:lineRule="exact"/>
        <w:rPr>
          <w:rFonts w:ascii="Arial" w:cs="Arial" w:eastAsia="Arial" w:hAnsi="Arial"/>
          <w:sz w:val="18"/>
          <w:szCs w:val="18"/>
          <w:color w:val="auto"/>
        </w:rPr>
      </w:pPr>
    </w:p>
    <w:p>
      <w:pPr>
        <w:ind w:left="-460" w:firstLine="644"/>
        <w:spacing w:after="0" w:line="277" w:lineRule="auto"/>
        <w:tabs>
          <w:tab w:leader="none" w:pos="6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left="-460" w:firstLine="644"/>
        <w:spacing w:after="0" w:line="308" w:lineRule="auto"/>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46" w:lineRule="exact"/>
        <w:rPr>
          <w:rFonts w:ascii="Arial" w:cs="Arial" w:eastAsia="Arial" w:hAnsi="Arial"/>
          <w:sz w:val="17"/>
          <w:szCs w:val="17"/>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3" w:lineRule="exact"/>
        <w:rPr>
          <w:rFonts w:ascii="Arial" w:cs="Arial" w:eastAsia="Arial" w:hAnsi="Arial"/>
          <w:sz w:val="18"/>
          <w:szCs w:val="18"/>
          <w:color w:val="auto"/>
        </w:rPr>
      </w:pPr>
    </w:p>
    <w:p>
      <w:pPr>
        <w:ind w:left="-460" w:firstLine="644"/>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provisions, if any, relating to any security or guarantee provided for the Securities of the Series, and any subordination in right of payment, if any, of the Securities of the Series;</w:t>
      </w:r>
    </w:p>
    <w:p>
      <w:pPr>
        <w:spacing w:after="0" w:line="170" w:lineRule="exact"/>
        <w:rPr>
          <w:rFonts w:ascii="Arial" w:cs="Arial" w:eastAsia="Arial" w:hAnsi="Arial"/>
          <w:sz w:val="18"/>
          <w:szCs w:val="18"/>
          <w:color w:val="auto"/>
        </w:rPr>
      </w:pPr>
    </w:p>
    <w:p>
      <w:pPr>
        <w:ind w:left="680" w:hanging="496"/>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covenants set forth in Articles 4 or 5 which applies to Securities of the Series;</w:t>
      </w:r>
    </w:p>
    <w:p>
      <w:pPr>
        <w:spacing w:after="0" w:line="248" w:lineRule="exact"/>
        <w:rPr>
          <w:rFonts w:ascii="Arial" w:cs="Arial" w:eastAsia="Arial" w:hAnsi="Arial"/>
          <w:sz w:val="16"/>
          <w:szCs w:val="16"/>
          <w:color w:val="auto"/>
        </w:rPr>
      </w:pPr>
    </w:p>
    <w:p>
      <w:pPr>
        <w:ind w:left="-460" w:firstLine="644"/>
        <w:spacing w:after="0" w:line="308" w:lineRule="auto"/>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87" w:right="339" w:bottom="1440" w:gutter="0" w:footer="0" w:header="0"/>
        </w:sectPr>
      </w:pPr>
    </w:p>
    <w:bookmarkStart w:id="25" w:name="page26"/>
    <w:bookmarkEnd w:id="25"/>
    <w:p>
      <w:pPr>
        <w:ind w:left="1800" w:hanging="496"/>
        <w:spacing w:after="0"/>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provisions and terms set forth in Articles 7 and 9 which applies to Securities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10" w:lineRule="exact"/>
        <w:rPr>
          <w:rFonts w:ascii="Arial" w:cs="Arial" w:eastAsia="Arial" w:hAnsi="Arial"/>
          <w:sz w:val="16"/>
          <w:szCs w:val="16"/>
          <w:color w:val="auto"/>
        </w:rPr>
      </w:pPr>
    </w:p>
    <w:p>
      <w:pPr>
        <w:ind w:left="660" w:firstLine="644"/>
        <w:spacing w:after="0" w:line="277" w:lineRule="auto"/>
        <w:tabs>
          <w:tab w:leader="none" w:pos="18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modify or delete any provision of this Indenture insofar as it applies to such Series and/or add additional provisions);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49" w:lineRule="exact"/>
        <w:rPr>
          <w:sz w:val="20"/>
          <w:szCs w:val="20"/>
          <w:color w:val="auto"/>
        </w:rPr>
      </w:pPr>
    </w:p>
    <w:p>
      <w:pPr>
        <w:jc w:val="both"/>
        <w:ind w:firstLine="656"/>
        <w:spacing w:after="0" w:line="279" w:lineRule="auto"/>
        <w:tabs>
          <w:tab w:leader="none" w:pos="110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The Notes</w:t>
      </w:r>
      <w:r>
        <w:rPr>
          <w:rFonts w:ascii="Arial" w:cs="Arial" w:eastAsia="Arial" w:hAnsi="Arial"/>
          <w:sz w:val="17"/>
          <w:szCs w:val="17"/>
          <w:color w:val="auto"/>
        </w:rPr>
        <w:t>. The Notes shall be issued in registered global form without interest coupons. The Notes and the Trustee’s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authentication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87" w:lineRule="exact"/>
        <w:rPr>
          <w:sz w:val="20"/>
          <w:szCs w:val="20"/>
          <w:color w:val="auto"/>
        </w:rPr>
      </w:pPr>
    </w:p>
    <w:p>
      <w:pPr>
        <w:jc w:val="both"/>
        <w:ind w:firstLine="656"/>
        <w:spacing w:after="0" w:line="270" w:lineRule="auto"/>
        <w:tabs>
          <w:tab w:leader="none" w:pos="1095"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Global Securities</w:t>
      </w:r>
      <w:r>
        <w:rPr>
          <w:rFonts w:ascii="Arial" w:cs="Arial" w:eastAsia="Arial" w:hAnsi="Arial"/>
          <w:sz w:val="17"/>
          <w:szCs w:val="17"/>
          <w:color w:val="auto"/>
        </w:rPr>
        <w:t>. Notes issued in global form shall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0" w:lineRule="exact"/>
        <w:rPr>
          <w:rFonts w:ascii="Arial" w:cs="Arial" w:eastAsia="Arial" w:hAnsi="Arial"/>
          <w:sz w:val="17"/>
          <w:szCs w:val="17"/>
          <w:color w:val="auto"/>
        </w:rPr>
      </w:pPr>
    </w:p>
    <w:p>
      <w:pPr>
        <w:jc w:val="both"/>
        <w:ind w:firstLine="656"/>
        <w:spacing w:after="0" w:line="311" w:lineRule="auto"/>
        <w:tabs>
          <w:tab w:leader="none" w:pos="110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6" w:name="page27"/>
    <w:bookmarkEnd w:id="26"/>
    <w:p>
      <w:pPr>
        <w:spacing w:after="0"/>
        <w:tabs>
          <w:tab w:leader="none" w:pos="11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a Security is authenticated, the Security will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Security will not be valid until authenticated by the manual signature of the Trustee. The signature will be conclusive evidence that the Security has been authenticated under this Indenture.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shall, upon receipt of a written order of the Company signed by at least one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maintain an office or agency with respect to each Series of Securities issued pursuant to this Indenture, where such securities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such Securities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Registrar will keep a register of all such Securities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initially appoints the Trustee to act as the Registrar and Paying Agent and to act as Custodian with respect to the Global Notes.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7" w:name="page28"/>
    <w:bookmarkEnd w:id="27"/>
    <w:p>
      <w:pPr>
        <w:spacing w:after="0"/>
        <w:tabs>
          <w:tab w:leader="none" w:pos="11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jc w:val="both"/>
        <w:ind w:right="20" w:firstLine="656"/>
        <w:spacing w:after="0" w:line="311" w:lineRule="auto"/>
        <w:tabs>
          <w:tab w:leader="none" w:pos="109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Securities</w:t>
      </w:r>
      <w:r>
        <w:rPr>
          <w:rFonts w:ascii="Arial" w:cs="Arial" w:eastAsia="Arial" w:hAnsi="Arial"/>
          <w:sz w:val="16"/>
          <w:szCs w:val="16"/>
          <w:color w:val="auto"/>
        </w:rPr>
        <w:t>. A Global Security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6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3"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92" w:lineRule="exact"/>
        <w:rPr>
          <w:sz w:val="20"/>
          <w:szCs w:val="20"/>
          <w:color w:val="auto"/>
        </w:rPr>
      </w:pPr>
    </w:p>
    <w:p>
      <w:pPr>
        <w:jc w:val="both"/>
        <w:ind w:firstLine="656"/>
        <w:spacing w:after="0" w:line="259" w:lineRule="auto"/>
        <w:tabs>
          <w:tab w:leader="none" w:pos="110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Securities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8" w:name="page29"/>
    <w:bookmarkEnd w:id="28"/>
    <w:p>
      <w:pPr>
        <w:jc w:val="both"/>
        <w:ind w:left="-460" w:firstLine="644"/>
        <w:spacing w:after="0" w:line="289" w:lineRule="auto"/>
        <w:tabs>
          <w:tab w:leader="none" w:pos="66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Security</w:t>
      </w:r>
      <w:r>
        <w:rPr>
          <w:rFonts w:ascii="Arial" w:cs="Arial" w:eastAsia="Arial" w:hAnsi="Arial"/>
          <w:sz w:val="16"/>
          <w:szCs w:val="16"/>
          <w:color w:val="auto"/>
        </w:rPr>
        <w:t>. Beneficial interests in any Restricted Global Security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166" w:lineRule="exact"/>
        <w:rPr>
          <w:rFonts w:ascii="Arial" w:cs="Arial" w:eastAsia="Arial" w:hAnsi="Arial"/>
          <w:sz w:val="16"/>
          <w:szCs w:val="16"/>
          <w:color w:val="auto"/>
        </w:rPr>
      </w:pPr>
    </w:p>
    <w:p>
      <w:pPr>
        <w:ind w:left="-460" w:firstLine="644"/>
        <w:spacing w:after="0" w:line="342" w:lineRule="auto"/>
        <w:tabs>
          <w:tab w:leader="none" w:pos="66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Securities.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1360" w:hanging="528"/>
        <w:spacing w:after="0"/>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05"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firstLine="640"/>
        <w:spacing w:after="0" w:line="277" w:lineRule="auto"/>
        <w:tabs>
          <w:tab w:leader="none" w:pos="1955"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1340" w:hanging="508"/>
        <w:spacing w:after="0"/>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05"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right="20" w:firstLine="640"/>
        <w:spacing w:after="0" w:line="277" w:lineRule="auto"/>
        <w:tabs>
          <w:tab w:leader="none" w:pos="1955"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6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 may</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83" w:lineRule="exact"/>
        <w:rPr>
          <w:rFonts w:ascii="Arial" w:cs="Arial" w:eastAsia="Arial" w:hAnsi="Arial"/>
          <w:sz w:val="18"/>
          <w:szCs w:val="18"/>
          <w:color w:val="auto"/>
        </w:rPr>
      </w:pPr>
    </w:p>
    <w:p>
      <w:pPr>
        <w:ind w:left="180" w:firstLine="652"/>
        <w:spacing w:after="0" w:line="277" w:lineRule="auto"/>
        <w:tabs>
          <w:tab w:leader="none" w:pos="13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144A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80" w:firstLine="652"/>
        <w:spacing w:after="0" w:line="277" w:lineRule="auto"/>
        <w:tabs>
          <w:tab w:leader="none" w:pos="13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Regulation S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2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87" w:right="339" w:bottom="1440" w:gutter="0" w:footer="0" w:header="0"/>
        </w:sectPr>
      </w:pPr>
    </w:p>
    <w:bookmarkStart w:id="29" w:name="page30"/>
    <w:bookmarkEnd w:id="29"/>
    <w:p>
      <w:pPr>
        <w:jc w:val="both"/>
        <w:ind w:left="1300" w:firstLine="652"/>
        <w:spacing w:after="0" w:line="291" w:lineRule="auto"/>
        <w:tabs>
          <w:tab w:leader="none" w:pos="2458"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if the transferee will take delivery in the form of a beneficial interest in the IAI Global Security, then the transferor must deliver a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w:t>
      </w:r>
    </w:p>
    <w:p>
      <w:pPr>
        <w:ind w:left="1560" w:hanging="256"/>
        <w:spacing w:after="0"/>
        <w:tabs>
          <w:tab w:leader="none" w:pos="1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jc w:val="both"/>
        <w:ind w:left="660" w:firstLine="644"/>
        <w:spacing w:after="0" w:line="301" w:lineRule="auto"/>
        <w:tabs>
          <w:tab w:leader="none" w:pos="178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Beneficial Interests in a Restricted Global Security for Beneficial Interests in an Unrestricted Global Security. </w:t>
      </w:r>
      <w:r>
        <w:rPr>
          <w:rFonts w:ascii="Arial" w:cs="Arial" w:eastAsia="Arial" w:hAnsi="Arial"/>
          <w:sz w:val="16"/>
          <w:szCs w:val="16"/>
          <w:color w:val="auto"/>
        </w:rPr>
        <w:t>A beneficial interest in any Restricted Global Security may be exchanged by any holder thereof for a beneficial interest in an Unrestricted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spacing w:after="0" w:line="157" w:lineRule="exact"/>
        <w:rPr>
          <w:rFonts w:ascii="Arial" w:cs="Arial" w:eastAsia="Arial" w:hAnsi="Arial"/>
          <w:sz w:val="16"/>
          <w:szCs w:val="16"/>
          <w:color w:val="auto"/>
        </w:rPr>
      </w:pPr>
    </w:p>
    <w:p>
      <w:pPr>
        <w:jc w:val="both"/>
        <w:ind w:left="1300" w:firstLine="652"/>
        <w:spacing w:after="0" w:line="263" w:lineRule="auto"/>
        <w:tabs>
          <w:tab w:leader="none" w:pos="24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jc w:val="both"/>
        <w:ind w:firstLine="656"/>
        <w:spacing w:after="0" w:line="263"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Transfer or Exchange of Beneficial Interests in Global Securities for Definitive Securities. </w:t>
      </w:r>
      <w:r>
        <w:rPr>
          <w:rFonts w:ascii="Arial" w:cs="Arial" w:eastAsia="Arial" w:hAnsi="Arial"/>
          <w:sz w:val="18"/>
          <w:szCs w:val="18"/>
          <w:color w:val="auto"/>
        </w:rPr>
        <w:t>Transfers or exchanges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88"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Restricted Definitive Securities.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6" w:lineRule="exact"/>
        <w:rPr>
          <w:rFonts w:ascii="Arial" w:cs="Arial" w:eastAsia="Arial" w:hAnsi="Arial"/>
          <w:sz w:val="18"/>
          <w:szCs w:val="18"/>
          <w:color w:val="auto"/>
        </w:rPr>
      </w:pPr>
    </w:p>
    <w:p>
      <w:pPr>
        <w:jc w:val="both"/>
        <w:ind w:left="1300" w:firstLine="652"/>
        <w:spacing w:after="0" w:line="291" w:lineRule="auto"/>
        <w:tabs>
          <w:tab w:leader="none" w:pos="2468"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exchange such beneficial interest for a Restricted Definitive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(2)</w:t>
      </w:r>
    </w:p>
    <w:p>
      <w:pPr>
        <w:ind w:left="1300"/>
        <w:spacing w:after="0"/>
        <w:rPr>
          <w:rFonts w:ascii="Arial" w:cs="Arial" w:eastAsia="Arial" w:hAnsi="Arial"/>
          <w:sz w:val="16"/>
          <w:szCs w:val="16"/>
          <w:color w:val="auto"/>
        </w:rPr>
      </w:pPr>
      <w:r>
        <w:rPr>
          <w:rFonts w:ascii="Arial" w:cs="Arial" w:eastAsia="Arial" w:hAnsi="Arial"/>
          <w:sz w:val="18"/>
          <w:szCs w:val="18"/>
          <w:color w:val="auto"/>
        </w:rPr>
        <w:t>(a) thereof;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0" w:name="page31"/>
    <w:bookmarkEnd w:id="30"/>
    <w:p>
      <w:pPr>
        <w:ind w:left="640" w:firstLine="652"/>
        <w:spacing w:after="0" w:line="277" w:lineRule="auto"/>
        <w:tabs>
          <w:tab w:leader="none" w:pos="17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0" w:firstLine="652"/>
        <w:spacing w:after="0" w:line="308" w:lineRule="auto"/>
        <w:tabs>
          <w:tab w:leader="none" w:pos="1775"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w:t>
      </w:r>
    </w:p>
    <w:p>
      <w:pPr>
        <w:spacing w:after="0" w:line="146" w:lineRule="exact"/>
        <w:rPr>
          <w:rFonts w:ascii="Arial" w:cs="Arial" w:eastAsia="Arial" w:hAnsi="Arial"/>
          <w:sz w:val="17"/>
          <w:szCs w:val="17"/>
          <w:color w:val="auto"/>
        </w:rPr>
      </w:pPr>
    </w:p>
    <w:p>
      <w:pPr>
        <w:jc w:val="both"/>
        <w:ind w:left="640" w:firstLine="652"/>
        <w:spacing w:after="0" w:line="291" w:lineRule="auto"/>
        <w:tabs>
          <w:tab w:leader="none" w:pos="17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80" w:hanging="236"/>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jc w:val="both"/>
        <w:ind w:left="640" w:firstLine="652"/>
        <w:spacing w:after="0" w:line="311" w:lineRule="auto"/>
        <w:tabs>
          <w:tab w:leader="none" w:pos="1765"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48" w:lineRule="exact"/>
        <w:rPr>
          <w:rFonts w:ascii="Arial" w:cs="Arial" w:eastAsia="Arial" w:hAnsi="Arial"/>
          <w:sz w:val="16"/>
          <w:szCs w:val="16"/>
          <w:color w:val="auto"/>
        </w:rPr>
      </w:pPr>
    </w:p>
    <w:p>
      <w:pPr>
        <w:ind w:left="640" w:firstLine="652"/>
        <w:spacing w:after="0" w:line="277" w:lineRule="auto"/>
        <w:tabs>
          <w:tab w:leader="none" w:pos="17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0" w:firstLine="652"/>
        <w:spacing w:after="0" w:line="277" w:lineRule="auto"/>
        <w:tabs>
          <w:tab w:leader="none" w:pos="17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78" w:lineRule="exact"/>
        <w:rPr>
          <w:sz w:val="20"/>
          <w:szCs w:val="20"/>
          <w:color w:val="auto"/>
        </w:rPr>
      </w:pPr>
    </w:p>
    <w:p>
      <w:pPr>
        <w:jc w:val="both"/>
        <w:ind w:firstLine="644"/>
        <w:spacing w:after="0" w:line="286" w:lineRule="auto"/>
        <w:tabs>
          <w:tab w:leader="none" w:pos="1128"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Securities to Unrestricted Definitive Securities. </w:t>
      </w:r>
      <w:r>
        <w:rPr>
          <w:rFonts w:ascii="Arial" w:cs="Arial" w:eastAsia="Arial" w:hAnsi="Arial"/>
          <w:sz w:val="17"/>
          <w:szCs w:val="17"/>
          <w:color w:val="auto"/>
        </w:rPr>
        <w:t>A holder of a beneficial interest in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spacing w:after="0" w:line="165" w:lineRule="exact"/>
        <w:rPr>
          <w:rFonts w:ascii="Arial" w:cs="Arial" w:eastAsia="Arial" w:hAnsi="Arial"/>
          <w:sz w:val="17"/>
          <w:szCs w:val="17"/>
          <w:color w:val="auto"/>
        </w:rPr>
      </w:pPr>
    </w:p>
    <w:p>
      <w:pPr>
        <w:jc w:val="both"/>
        <w:ind w:left="640" w:right="20" w:firstLine="652"/>
        <w:spacing w:after="0" w:line="291" w:lineRule="auto"/>
        <w:tabs>
          <w:tab w:leader="none" w:pos="180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exchange such beneficial interest for an Unrestricted Definitive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w:t>
      </w:r>
    </w:p>
    <w:p>
      <w:pPr>
        <w:ind w:left="640"/>
        <w:spacing w:after="0"/>
        <w:rPr>
          <w:rFonts w:ascii="Arial" w:cs="Arial" w:eastAsia="Arial" w:hAnsi="Arial"/>
          <w:sz w:val="16"/>
          <w:szCs w:val="16"/>
          <w:color w:val="auto"/>
        </w:rPr>
      </w:pPr>
      <w:r>
        <w:rPr>
          <w:rFonts w:ascii="Arial" w:cs="Arial" w:eastAsia="Arial" w:hAnsi="Arial"/>
          <w:sz w:val="18"/>
          <w:szCs w:val="18"/>
          <w:color w:val="auto"/>
        </w:rPr>
        <w:t>(b) thereof; or</w:t>
      </w:r>
    </w:p>
    <w:p>
      <w:pPr>
        <w:spacing w:after="0" w:line="29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87" w:right="339" w:bottom="1440" w:gutter="0" w:footer="0" w:header="0"/>
        </w:sectPr>
      </w:pPr>
    </w:p>
    <w:bookmarkStart w:id="31" w:name="page32"/>
    <w:bookmarkEnd w:id="31"/>
    <w:p>
      <w:pPr>
        <w:jc w:val="both"/>
        <w:ind w:left="644" w:firstLine="652"/>
        <w:spacing w:after="0" w:line="263" w:lineRule="auto"/>
        <w:tabs>
          <w:tab w:leader="none" w:pos="18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4" w:firstLine="644"/>
        <w:spacing w:after="0" w:line="287" w:lineRule="auto"/>
        <w:tabs>
          <w:tab w:leader="none" w:pos="1132"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Securities to Unrestricted Definitive Securities. </w:t>
      </w:r>
      <w:r>
        <w:rPr>
          <w:rFonts w:ascii="Arial" w:cs="Arial" w:eastAsia="Arial" w:hAnsi="Arial"/>
          <w:sz w:val="16"/>
          <w:szCs w:val="16"/>
          <w:color w:val="auto"/>
        </w:rPr>
        <w:t>If any holder of a beneficial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w:t>
      </w:r>
    </w:p>
    <w:p>
      <w:pPr>
        <w:spacing w:after="0" w:line="2" w:lineRule="exact"/>
        <w:rPr>
          <w:rFonts w:ascii="Arial" w:cs="Arial" w:eastAsia="Arial" w:hAnsi="Arial"/>
          <w:sz w:val="16"/>
          <w:szCs w:val="16"/>
          <w:color w:val="auto"/>
        </w:rPr>
      </w:pPr>
    </w:p>
    <w:p>
      <w:pPr>
        <w:jc w:val="both"/>
        <w:ind w:left="4" w:hanging="4"/>
        <w:spacing w:after="0" w:line="288" w:lineRule="auto"/>
        <w:tabs>
          <w:tab w:leader="none" w:pos="291" w:val="left"/>
        </w:tabs>
        <w:numPr>
          <w:ilvl w:val="0"/>
          <w:numId w:val="41"/>
        </w:numPr>
        <w:rPr>
          <w:rFonts w:ascii="Arial" w:cs="Arial" w:eastAsia="Arial" w:hAnsi="Arial"/>
          <w:sz w:val="16"/>
          <w:szCs w:val="16"/>
          <w:color w:val="auto"/>
        </w:rPr>
      </w:pPr>
      <w:r>
        <w:rPr>
          <w:rFonts w:ascii="Arial" w:cs="Arial" w:eastAsia="Arial" w:hAnsi="Arial"/>
          <w:sz w:val="16"/>
          <w:szCs w:val="16"/>
          <w:color w:val="auto"/>
        </w:rPr>
        <w:t>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68" w:lineRule="exact"/>
        <w:rPr>
          <w:sz w:val="20"/>
          <w:szCs w:val="20"/>
          <w:color w:val="auto"/>
        </w:rPr>
      </w:pPr>
    </w:p>
    <w:p>
      <w:pPr>
        <w:ind w:left="464" w:hanging="464"/>
        <w:spacing w:after="0"/>
        <w:tabs>
          <w:tab w:leader="none" w:pos="464"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Securities for Beneficial Interests.</w:t>
      </w:r>
    </w:p>
    <w:p>
      <w:pPr>
        <w:spacing w:after="0" w:line="225" w:lineRule="exact"/>
        <w:rPr>
          <w:rFonts w:ascii="Arial" w:cs="Arial" w:eastAsia="Arial" w:hAnsi="Arial"/>
          <w:sz w:val="18"/>
          <w:szCs w:val="18"/>
          <w:color w:val="auto"/>
        </w:rPr>
      </w:pPr>
    </w:p>
    <w:p>
      <w:pPr>
        <w:jc w:val="both"/>
        <w:ind w:left="4" w:firstLine="644"/>
        <w:spacing w:after="0" w:line="259" w:lineRule="auto"/>
        <w:tabs>
          <w:tab w:leader="none" w:pos="1132"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6" w:lineRule="exact"/>
        <w:rPr>
          <w:rFonts w:ascii="Arial" w:cs="Arial" w:eastAsia="Arial" w:hAnsi="Arial"/>
          <w:sz w:val="18"/>
          <w:szCs w:val="18"/>
          <w:color w:val="auto"/>
        </w:rPr>
      </w:pPr>
    </w:p>
    <w:p>
      <w:pPr>
        <w:jc w:val="both"/>
        <w:ind w:left="644" w:firstLine="652"/>
        <w:spacing w:after="0" w:line="274" w:lineRule="auto"/>
        <w:tabs>
          <w:tab w:leader="none" w:pos="1812" w:val="left"/>
        </w:tabs>
        <w:numPr>
          <w:ilvl w:val="2"/>
          <w:numId w:val="42"/>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Security proposes to exchange such Security for a beneficial interest in a 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w:t>
      </w:r>
    </w:p>
    <w:p>
      <w:pPr>
        <w:ind w:left="644"/>
        <w:spacing w:after="0"/>
        <w:rPr>
          <w:rFonts w:ascii="Arial" w:cs="Arial" w:eastAsia="Arial" w:hAnsi="Arial"/>
          <w:sz w:val="17"/>
          <w:szCs w:val="17"/>
          <w:color w:val="auto"/>
        </w:rPr>
      </w:pPr>
      <w:r>
        <w:rPr>
          <w:rFonts w:ascii="Arial" w:cs="Arial" w:eastAsia="Arial" w:hAnsi="Arial"/>
          <w:sz w:val="18"/>
          <w:szCs w:val="18"/>
          <w:color w:val="auto"/>
        </w:rPr>
        <w:t>(b) thereof;</w:t>
      </w:r>
    </w:p>
    <w:p>
      <w:pPr>
        <w:spacing w:after="0" w:line="210" w:lineRule="exact"/>
        <w:rPr>
          <w:rFonts w:ascii="Arial" w:cs="Arial" w:eastAsia="Arial" w:hAnsi="Arial"/>
          <w:sz w:val="17"/>
          <w:szCs w:val="17"/>
          <w:color w:val="auto"/>
        </w:rPr>
      </w:pPr>
    </w:p>
    <w:p>
      <w:pPr>
        <w:ind w:left="644" w:firstLine="652"/>
        <w:spacing w:after="0" w:line="277" w:lineRule="auto"/>
        <w:tabs>
          <w:tab w:leader="none" w:pos="1802"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4" w:right="20" w:firstLine="652"/>
        <w:spacing w:after="0" w:line="342" w:lineRule="auto"/>
        <w:tabs>
          <w:tab w:leader="none" w:pos="1802" w:val="left"/>
        </w:tabs>
        <w:numPr>
          <w:ilvl w:val="2"/>
          <w:numId w:val="42"/>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 Non-U.S. Person in an offshore transaction in accordance with Rule 903 or Rule 904,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20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87" w:right="339" w:bottom="1440" w:gutter="0" w:footer="0" w:header="0"/>
        </w:sectPr>
      </w:pPr>
    </w:p>
    <w:bookmarkStart w:id="32" w:name="page33"/>
    <w:bookmarkEnd w:id="32"/>
    <w:p>
      <w:pPr>
        <w:jc w:val="both"/>
        <w:ind w:left="644" w:firstLine="652"/>
        <w:spacing w:after="0" w:line="291" w:lineRule="auto"/>
        <w:tabs>
          <w:tab w:leader="none" w:pos="1812"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w:t>
      </w:r>
    </w:p>
    <w:p>
      <w:pPr>
        <w:ind w:left="644"/>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210" w:lineRule="exact"/>
        <w:rPr>
          <w:rFonts w:ascii="Arial" w:cs="Arial" w:eastAsia="Arial" w:hAnsi="Arial"/>
          <w:sz w:val="16"/>
          <w:szCs w:val="16"/>
          <w:color w:val="auto"/>
        </w:rPr>
      </w:pPr>
    </w:p>
    <w:p>
      <w:pPr>
        <w:jc w:val="both"/>
        <w:ind w:left="644" w:firstLine="652"/>
        <w:spacing w:after="0" w:line="271" w:lineRule="auto"/>
        <w:tabs>
          <w:tab w:leader="none" w:pos="1814"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certificates and Opinion of Counsel required by item</w:t>
      </w:r>
    </w:p>
    <w:p>
      <w:pPr>
        <w:ind w:left="904" w:hanging="256"/>
        <w:spacing w:after="0"/>
        <w:tabs>
          <w:tab w:leader="none" w:pos="9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firstLine="652"/>
        <w:spacing w:after="0" w:line="277" w:lineRule="auto"/>
        <w:tabs>
          <w:tab w:leader="none" w:pos="18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right="20" w:firstLine="652"/>
        <w:spacing w:after="0" w:line="277" w:lineRule="auto"/>
        <w:tabs>
          <w:tab w:leader="none" w:pos="18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Security, increase or cause to be increased the aggregate principal amount of, in the case of clause</w:t>
      </w:r>
    </w:p>
    <w:p>
      <w:pPr>
        <w:spacing w:after="0" w:line="46" w:lineRule="exact"/>
        <w:rPr>
          <w:sz w:val="20"/>
          <w:szCs w:val="20"/>
          <w:color w:val="auto"/>
        </w:rPr>
      </w:pPr>
    </w:p>
    <w:p>
      <w:pPr>
        <w:ind w:left="4" w:hanging="4"/>
        <w:spacing w:after="0" w:line="260" w:lineRule="auto"/>
        <w:tabs>
          <w:tab w:leader="none" w:pos="3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85" w:lineRule="exact"/>
        <w:rPr>
          <w:rFonts w:ascii="Arial" w:cs="Arial" w:eastAsia="Arial" w:hAnsi="Arial"/>
          <w:sz w:val="18"/>
          <w:szCs w:val="18"/>
          <w:color w:val="auto"/>
        </w:rPr>
      </w:pPr>
    </w:p>
    <w:p>
      <w:pPr>
        <w:jc w:val="both"/>
        <w:ind w:left="4" w:firstLine="644"/>
        <w:spacing w:after="0" w:line="259"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Unrestricted Global Securities. </w:t>
      </w:r>
      <w:r>
        <w:rPr>
          <w:rFonts w:ascii="Arial" w:cs="Arial" w:eastAsia="Arial" w:hAnsi="Arial"/>
          <w:sz w:val="18"/>
          <w:szCs w:val="18"/>
          <w:color w:val="auto"/>
        </w:rPr>
        <w:t>A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spacing w:after="0" w:line="186" w:lineRule="exact"/>
        <w:rPr>
          <w:rFonts w:ascii="Arial" w:cs="Arial" w:eastAsia="Arial" w:hAnsi="Arial"/>
          <w:sz w:val="18"/>
          <w:szCs w:val="18"/>
          <w:color w:val="auto"/>
        </w:rPr>
      </w:pPr>
    </w:p>
    <w:p>
      <w:pPr>
        <w:jc w:val="both"/>
        <w:ind w:left="644" w:firstLine="652"/>
        <w:spacing w:after="0" w:line="274" w:lineRule="auto"/>
        <w:tabs>
          <w:tab w:leader="none" w:pos="1834" w:val="left"/>
        </w:tabs>
        <w:numPr>
          <w:ilvl w:val="2"/>
          <w:numId w:val="45"/>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Securities proposes to exchange such Notes for a beneficial interest in the Unrestricted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w:t>
      </w:r>
    </w:p>
    <w:p>
      <w:pPr>
        <w:ind w:left="644"/>
        <w:spacing w:after="0"/>
        <w:rPr>
          <w:rFonts w:ascii="Arial" w:cs="Arial" w:eastAsia="Arial" w:hAnsi="Arial"/>
          <w:sz w:val="17"/>
          <w:szCs w:val="17"/>
          <w:color w:val="auto"/>
        </w:rPr>
      </w:pPr>
      <w:r>
        <w:rPr>
          <w:rFonts w:ascii="Arial" w:cs="Arial" w:eastAsia="Arial" w:hAnsi="Arial"/>
          <w:sz w:val="18"/>
          <w:szCs w:val="18"/>
          <w:color w:val="auto"/>
        </w:rPr>
        <w:t>(c) thereof; or</w:t>
      </w:r>
    </w:p>
    <w:p>
      <w:pPr>
        <w:spacing w:after="0" w:line="210" w:lineRule="exact"/>
        <w:rPr>
          <w:rFonts w:ascii="Arial" w:cs="Arial" w:eastAsia="Arial" w:hAnsi="Arial"/>
          <w:sz w:val="17"/>
          <w:szCs w:val="17"/>
          <w:color w:val="auto"/>
        </w:rPr>
      </w:pPr>
    </w:p>
    <w:p>
      <w:pPr>
        <w:jc w:val="both"/>
        <w:ind w:left="644" w:firstLine="652"/>
        <w:spacing w:after="0" w:line="263" w:lineRule="auto"/>
        <w:tabs>
          <w:tab w:leader="none" w:pos="1824" w:val="left"/>
        </w:tabs>
        <w:numPr>
          <w:ilvl w:val="2"/>
          <w:numId w:val="45"/>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Upon satisfaction of the conditions of this Section 2.06(d)(2), the Trustee will cancel the Restricted Definitive Securities and increase or cause to be increased the aggregate principal amount of the Unrestricted Global Security.</w:t>
      </w:r>
    </w:p>
    <w:p>
      <w:pPr>
        <w:spacing w:after="0" w:line="25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87" w:right="339" w:bottom="1440" w:gutter="0" w:footer="0" w:header="0"/>
        </w:sectPr>
      </w:pPr>
    </w:p>
    <w:bookmarkStart w:id="33" w:name="page34"/>
    <w:bookmarkEnd w:id="33"/>
    <w:p>
      <w:pPr>
        <w:jc w:val="both"/>
        <w:ind w:left="660" w:firstLine="644"/>
        <w:spacing w:after="0" w:line="257" w:lineRule="auto"/>
        <w:tabs>
          <w:tab w:leader="none" w:pos="178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Securities to Beneficial Interests in Unrestricted Global Securities. </w:t>
      </w:r>
      <w:r>
        <w:rPr>
          <w:rFonts w:ascii="Arial" w:cs="Arial" w:eastAsia="Arial" w:hAnsi="Arial"/>
          <w:sz w:val="18"/>
          <w:szCs w:val="18"/>
          <w:color w:val="auto"/>
        </w:rPr>
        <w:t>A Holder of an Unrestricted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87" w:lineRule="exact"/>
        <w:rPr>
          <w:sz w:val="20"/>
          <w:szCs w:val="20"/>
          <w:color w:val="auto"/>
        </w:rPr>
      </w:pPr>
    </w:p>
    <w:p>
      <w:pPr>
        <w:jc w:val="both"/>
        <w:ind w:firstLine="656"/>
        <w:spacing w:after="0" w:line="255" w:lineRule="auto"/>
        <w:tabs>
          <w:tab w:leader="none" w:pos="109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2" w:lineRule="exact"/>
        <w:rPr>
          <w:rFonts w:ascii="Arial" w:cs="Arial" w:eastAsia="Arial" w:hAnsi="Arial"/>
          <w:sz w:val="18"/>
          <w:szCs w:val="18"/>
          <w:color w:val="auto"/>
        </w:rPr>
      </w:pPr>
    </w:p>
    <w:p>
      <w:pPr>
        <w:ind w:left="660" w:firstLine="644"/>
        <w:spacing w:after="0" w:line="342" w:lineRule="auto"/>
        <w:tabs>
          <w:tab w:leader="none" w:pos="1788"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Securities to Restricted Definitive Securities. </w:t>
      </w:r>
      <w:r>
        <w:rPr>
          <w:rFonts w:ascii="Arial" w:cs="Arial" w:eastAsia="Arial" w:hAnsi="Arial"/>
          <w:sz w:val="16"/>
          <w:szCs w:val="16"/>
          <w:color w:val="auto"/>
        </w:rPr>
        <w:t>Any Restricted Definitive Security may be transferred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Persons who take delivery thereof in the form of a Restricted Definitive Security if the Registrar receives the following:</w:t>
      </w:r>
    </w:p>
    <w:p>
      <w:pPr>
        <w:spacing w:after="0" w:line="123" w:lineRule="exact"/>
        <w:rPr>
          <w:rFonts w:ascii="Arial" w:cs="Arial" w:eastAsia="Arial" w:hAnsi="Arial"/>
          <w:sz w:val="16"/>
          <w:szCs w:val="16"/>
          <w:color w:val="auto"/>
        </w:rPr>
      </w:pPr>
    </w:p>
    <w:p>
      <w:pPr>
        <w:ind w:left="1300" w:firstLine="652"/>
        <w:spacing w:after="0" w:line="277" w:lineRule="auto"/>
        <w:tabs>
          <w:tab w:leader="none" w:pos="244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firstLine="652"/>
        <w:spacing w:after="0" w:line="277" w:lineRule="auto"/>
        <w:tabs>
          <w:tab w:leader="none" w:pos="243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43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Unrestricted Definitive Securities. </w:t>
      </w:r>
      <w:r>
        <w:rPr>
          <w:rFonts w:ascii="Arial" w:cs="Arial" w:eastAsia="Arial" w:hAnsi="Arial"/>
          <w:sz w:val="18"/>
          <w:szCs w:val="18"/>
          <w:color w:val="auto"/>
        </w:rPr>
        <w:t>Any Restricted Definitive Security may be exchanged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for an Unrestricted Definitive Security or transferred to a Person or Persons who take delivery thereof in the form of an Unrestricted Definitive Security if the Registrar receives the following:</w:t>
      </w:r>
    </w:p>
    <w:p>
      <w:pPr>
        <w:spacing w:after="0" w:line="183" w:lineRule="exact"/>
        <w:rPr>
          <w:rFonts w:ascii="Arial" w:cs="Arial" w:eastAsia="Arial" w:hAnsi="Arial"/>
          <w:sz w:val="18"/>
          <w:szCs w:val="18"/>
          <w:color w:val="auto"/>
        </w:rPr>
      </w:pPr>
    </w:p>
    <w:p>
      <w:pPr>
        <w:ind w:left="1300" w:firstLine="652"/>
        <w:spacing w:after="0" w:line="308" w:lineRule="auto"/>
        <w:tabs>
          <w:tab w:leader="none" w:pos="2445" w:val="left"/>
        </w:tabs>
        <w:numPr>
          <w:ilvl w:val="2"/>
          <w:numId w:val="47"/>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Securities proposes to exchange such Securities for an Unrestricted Definitive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(1)(d) thereof; or</w:t>
      </w:r>
    </w:p>
    <w:p>
      <w:pPr>
        <w:spacing w:after="0" w:line="146" w:lineRule="exact"/>
        <w:rPr>
          <w:rFonts w:ascii="Arial" w:cs="Arial" w:eastAsia="Arial" w:hAnsi="Arial"/>
          <w:sz w:val="17"/>
          <w:szCs w:val="17"/>
          <w:color w:val="auto"/>
        </w:rPr>
      </w:pPr>
    </w:p>
    <w:p>
      <w:pPr>
        <w:jc w:val="both"/>
        <w:ind w:left="1300" w:firstLine="652"/>
        <w:spacing w:after="0" w:line="263" w:lineRule="auto"/>
        <w:tabs>
          <w:tab w:leader="none" w:pos="2435"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4" w:name="page35"/>
    <w:bookmarkEnd w:id="34"/>
    <w:p>
      <w:pPr>
        <w:jc w:val="both"/>
        <w:ind w:left="1300"/>
        <w:spacing w:after="0" w:line="259" w:lineRule="auto"/>
        <w:rPr>
          <w:sz w:val="20"/>
          <w:szCs w:val="20"/>
          <w:color w:val="auto"/>
        </w:rPr>
      </w:pPr>
      <w:r>
        <w:rPr>
          <w:rFonts w:ascii="Arial" w:cs="Arial" w:eastAsia="Arial" w:hAnsi="Arial"/>
          <w:sz w:val="18"/>
          <w:szCs w:val="18"/>
          <w:color w:val="auto"/>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4"/>
        <w:spacing w:after="0" w:line="286" w:lineRule="auto"/>
        <w:tabs>
          <w:tab w:leader="none" w:pos="1765"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Unrestricted Definitive Securities to Unrestricted Definitive Securities. </w:t>
      </w:r>
      <w:r>
        <w:rPr>
          <w:rFonts w:ascii="Arial" w:cs="Arial" w:eastAsia="Arial" w:hAnsi="Arial"/>
          <w:sz w:val="17"/>
          <w:szCs w:val="17"/>
          <w:color w:val="auto"/>
        </w:rPr>
        <w:t>A Holder of Unrestricted Definitive Securities may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38"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firstLine="652"/>
        <w:spacing w:after="0" w:line="277" w:lineRule="auto"/>
        <w:tabs>
          <w:tab w:leader="none" w:pos="2468" w:val="left"/>
        </w:tabs>
        <w:numPr>
          <w:ilvl w:val="2"/>
          <w:numId w:val="49"/>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w:t>
      </w:r>
    </w:p>
    <w:p>
      <w:pPr>
        <w:spacing w:after="0" w:line="5" w:lineRule="exact"/>
        <w:rPr>
          <w:sz w:val="20"/>
          <w:szCs w:val="20"/>
          <w:color w:val="auto"/>
        </w:rPr>
      </w:pPr>
    </w:p>
    <w:p>
      <w:pPr>
        <w:jc w:val="both"/>
        <w:ind w:firstLine="8"/>
        <w:spacing w:after="0" w:line="255"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5" w:name="page36"/>
    <w:bookmarkEnd w:id="35"/>
    <w:p>
      <w:pPr>
        <w:ind w:left="2460" w:hanging="508"/>
        <w:spacing w:after="0"/>
        <w:tabs>
          <w:tab w:leader="none" w:pos="24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Notwithstanding the foregoing, any Global Note or Definitive Note issued pursuant to subparagraphs (b)(4), (c)(2), (c)</w:t>
      </w:r>
    </w:p>
    <w:p>
      <w:pPr>
        <w:spacing w:after="0" w:line="46" w:lineRule="exact"/>
        <w:rPr>
          <w:rFonts w:ascii="Arial" w:cs="Arial" w:eastAsia="Arial" w:hAnsi="Arial"/>
          <w:sz w:val="16"/>
          <w:szCs w:val="16"/>
          <w:color w:val="auto"/>
        </w:rPr>
      </w:pPr>
    </w:p>
    <w:p>
      <w:pPr>
        <w:ind w:left="1300"/>
        <w:spacing w:after="0" w:line="260" w:lineRule="auto"/>
        <w:rPr>
          <w:rFonts w:ascii="Arial" w:cs="Arial" w:eastAsia="Arial" w:hAnsi="Arial"/>
          <w:sz w:val="16"/>
          <w:szCs w:val="16"/>
          <w:color w:val="auto"/>
        </w:rPr>
      </w:pPr>
      <w:r>
        <w:rPr>
          <w:rFonts w:ascii="Arial" w:cs="Arial" w:eastAsia="Arial" w:hAnsi="Arial"/>
          <w:sz w:val="18"/>
          <w:szCs w:val="18"/>
          <w:color w:val="auto"/>
        </w:rPr>
        <w:t>(3), (d)(2), (d)(3), (e)(2), (e)(3) or (f) of this Section 2.06 (and all Notes issued in exchange therefor or substitution thereof) will not bear the Private Placement Legend.</w:t>
      </w:r>
    </w:p>
    <w:p>
      <w:pPr>
        <w:spacing w:after="0" w:line="185" w:lineRule="exact"/>
        <w:rPr>
          <w:rFonts w:ascii="Arial" w:cs="Arial" w:eastAsia="Arial" w:hAnsi="Arial"/>
          <w:sz w:val="16"/>
          <w:szCs w:val="16"/>
          <w:color w:val="auto"/>
        </w:rPr>
      </w:pPr>
    </w:p>
    <w:p>
      <w:pPr>
        <w:ind w:left="1740" w:hanging="436"/>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Global Legend</w:t>
      </w:r>
      <w:r>
        <w:rPr>
          <w:rFonts w:ascii="Arial" w:cs="Arial" w:eastAsia="Arial" w:hAnsi="Arial"/>
          <w:sz w:val="18"/>
          <w:szCs w:val="18"/>
          <w:color w:val="auto"/>
        </w:rPr>
        <w:t>. Each Global Security will bear a legend in substantially the following 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left="660" w:firstLine="644"/>
        <w:spacing w:after="0" w:line="277" w:lineRule="auto"/>
        <w:tabs>
          <w:tab w:leader="none" w:pos="1743"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Original Issue Discount Legend</w:t>
      </w:r>
      <w:r>
        <w:rPr>
          <w:rFonts w:ascii="Arial" w:cs="Arial" w:eastAsia="Arial" w:hAnsi="Arial"/>
          <w:sz w:val="18"/>
          <w:szCs w:val="18"/>
          <w:color w:val="auto"/>
        </w:rPr>
        <w:t>. Each Note issued with original issue discount, if any, will bear a legend in substantially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form: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PURPOSES OF SECTIONS 1272, 1273 AND 1275 OF THE INTERNAL REVENUE CODE OF 1986, AS AMENDED, THIS SECURITY IS BEING ISSUED WITH ORIGINAL ISSUE DISCOUNT; FOR EACH $1,000 IN AGGREGATE PRINCIPAL AMOUNT OF THIS SECURITY, THE ISSUE PRICE IS $[ ], THE AMOUNT OF ORIGINAL ISSUE DISCOUNT IS $[ ], THE ISSUE DATE IS [ ], 201[ ] AND THE YIELD TO MATURITY IS [ ]% PER ANNUM.”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20" w:firstLine="656"/>
        <w:spacing w:after="0" w:line="270"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Securities. </w:t>
      </w:r>
      <w:r>
        <w:rPr>
          <w:rFonts w:ascii="Arial" w:cs="Arial" w:eastAsia="Arial" w:hAnsi="Arial"/>
          <w:sz w:val="17"/>
          <w:szCs w:val="17"/>
          <w:color w:val="auto"/>
        </w:rPr>
        <w:t>At such time as all beneficial interests in a particular Global Security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180" w:lineRule="exact"/>
        <w:rPr>
          <w:rFonts w:ascii="Arial" w:cs="Arial" w:eastAsia="Arial" w:hAnsi="Arial"/>
          <w:sz w:val="17"/>
          <w:szCs w:val="17"/>
          <w:color w:val="auto"/>
        </w:rPr>
      </w:pPr>
    </w:p>
    <w:p>
      <w:pPr>
        <w:ind w:left="1080" w:hanging="44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left="640" w:firstLine="644"/>
        <w:spacing w:after="0" w:line="342" w:lineRule="auto"/>
        <w:tabs>
          <w:tab w:leader="none" w:pos="1742" w:val="left"/>
        </w:tabs>
        <w:numPr>
          <w:ilvl w:val="1"/>
          <w:numId w:val="54"/>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jc w:val="both"/>
        <w:ind w:left="640" w:firstLine="644"/>
        <w:spacing w:after="0" w:line="259" w:lineRule="auto"/>
        <w:tabs>
          <w:tab w:leader="none" w:pos="17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6" w:lineRule="exact"/>
        <w:rPr>
          <w:rFonts w:ascii="Arial" w:cs="Arial" w:eastAsia="Arial" w:hAnsi="Arial"/>
          <w:sz w:val="18"/>
          <w:szCs w:val="18"/>
          <w:color w:val="auto"/>
        </w:rPr>
      </w:pPr>
    </w:p>
    <w:p>
      <w:pPr>
        <w:ind w:left="640" w:firstLine="644"/>
        <w:spacing w:after="0" w:line="277" w:lineRule="auto"/>
        <w:tabs>
          <w:tab w:leader="none" w:pos="17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jc w:val="both"/>
        <w:ind w:left="640" w:firstLine="644"/>
        <w:spacing w:after="0" w:line="263" w:lineRule="auto"/>
        <w:tabs>
          <w:tab w:leader="none" w:pos="16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83" w:lineRule="exact"/>
        <w:rPr>
          <w:rFonts w:ascii="Arial" w:cs="Arial" w:eastAsia="Arial" w:hAnsi="Arial"/>
          <w:sz w:val="18"/>
          <w:szCs w:val="18"/>
          <w:color w:val="auto"/>
        </w:rPr>
      </w:pPr>
    </w:p>
    <w:p>
      <w:pPr>
        <w:ind w:left="1740" w:hanging="456"/>
        <w:spacing w:after="0"/>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shall not be required:</w:t>
      </w:r>
    </w:p>
    <w:p>
      <w:pPr>
        <w:spacing w:after="0" w:line="225" w:lineRule="exact"/>
        <w:rPr>
          <w:rFonts w:ascii="Arial" w:cs="Arial" w:eastAsia="Arial" w:hAnsi="Arial"/>
          <w:sz w:val="18"/>
          <w:szCs w:val="18"/>
          <w:color w:val="auto"/>
        </w:rPr>
      </w:pPr>
    </w:p>
    <w:p>
      <w:pPr>
        <w:ind w:left="1280" w:firstLine="652"/>
        <w:spacing w:after="0" w:line="342" w:lineRule="auto"/>
        <w:tabs>
          <w:tab w:leader="none" w:pos="2448" w:val="left"/>
        </w:tabs>
        <w:numPr>
          <w:ilvl w:val="2"/>
          <w:numId w:val="54"/>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Securities during a period beginning at the opening of business 10 days before the day of any selection of Securities for redemption and ending at the close of business on the day of selection;</w:t>
      </w:r>
    </w:p>
    <w:p>
      <w:pPr>
        <w:spacing w:after="0" w:line="123" w:lineRule="exact"/>
        <w:rPr>
          <w:rFonts w:ascii="Arial" w:cs="Arial" w:eastAsia="Arial" w:hAnsi="Arial"/>
          <w:sz w:val="16"/>
          <w:szCs w:val="16"/>
          <w:color w:val="auto"/>
        </w:rPr>
      </w:pPr>
    </w:p>
    <w:p>
      <w:pPr>
        <w:ind w:left="1280" w:right="20" w:firstLine="652"/>
        <w:spacing w:after="0" w:line="277" w:lineRule="auto"/>
        <w:tabs>
          <w:tab w:leader="none" w:pos="2438"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register the transfer of or to exchange any Security selected for redemption in whole or in part, except the unredeemed portion of any Security being redeemed in part; or</w:t>
      </w:r>
    </w:p>
    <w:p>
      <w:pPr>
        <w:spacing w:after="0" w:line="170" w:lineRule="exact"/>
        <w:rPr>
          <w:rFonts w:ascii="Arial" w:cs="Arial" w:eastAsia="Arial" w:hAnsi="Arial"/>
          <w:sz w:val="18"/>
          <w:szCs w:val="18"/>
          <w:color w:val="auto"/>
        </w:rPr>
      </w:pPr>
    </w:p>
    <w:p>
      <w:pPr>
        <w:ind w:left="2440" w:hanging="508"/>
        <w:spacing w:after="0"/>
        <w:tabs>
          <w:tab w:leader="none" w:pos="24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to register the transfer of or to exchange a Security between a record date and the next succeeding interest payment date.</w:t>
      </w:r>
    </w:p>
    <w:p>
      <w:pPr>
        <w:spacing w:after="0" w:line="248" w:lineRule="exact"/>
        <w:rPr>
          <w:rFonts w:ascii="Arial" w:cs="Arial" w:eastAsia="Arial" w:hAnsi="Arial"/>
          <w:sz w:val="16"/>
          <w:szCs w:val="16"/>
          <w:color w:val="auto"/>
        </w:rPr>
      </w:pPr>
    </w:p>
    <w:p>
      <w:pPr>
        <w:jc w:val="both"/>
        <w:ind w:left="640" w:firstLine="644"/>
        <w:spacing w:after="0" w:line="259" w:lineRule="auto"/>
        <w:tabs>
          <w:tab w:leader="none" w:pos="17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7" w:name="page38"/>
    <w:bookmarkEnd w:id="37"/>
    <w:p>
      <w:pPr>
        <w:ind w:left="1760" w:hanging="456"/>
        <w:spacing w:after="0"/>
        <w:tabs>
          <w:tab w:leader="none" w:pos="1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Trustee shall authenticate Global Securities and Definitive Securities in accordance with the provisions of Section 2.02 hereof.</w:t>
      </w:r>
    </w:p>
    <w:p>
      <w:pPr>
        <w:spacing w:after="0" w:line="248" w:lineRule="exact"/>
        <w:rPr>
          <w:rFonts w:ascii="Arial" w:cs="Arial" w:eastAsia="Arial" w:hAnsi="Arial"/>
          <w:sz w:val="16"/>
          <w:szCs w:val="16"/>
          <w:color w:val="auto"/>
        </w:rPr>
      </w:pPr>
    </w:p>
    <w:p>
      <w:pPr>
        <w:ind w:left="660" w:firstLine="644"/>
        <w:spacing w:after="0" w:line="277" w:lineRule="auto"/>
        <w:tabs>
          <w:tab w:leader="none" w:pos="17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orders, certifications, certificates and Opinions of Counsel required to be submitted to the Registrar pursuant to this Section 2.06 to effect a registration of transfer or exchange may be submitted by facsimile or electronic format (e.g. “pdf” or “tif”).</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Additional Notes that are not fungible with the Initial Notes for United States federal income tax purposes will be issued with a different CUSIP number than the CUSIP number issued with respect to the Initial Notes.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70" w:lineRule="exact"/>
        <w:rPr>
          <w:sz w:val="20"/>
          <w:szCs w:val="20"/>
          <w:color w:val="auto"/>
        </w:rPr>
      </w:pPr>
    </w:p>
    <w:p>
      <w:pPr>
        <w:ind w:left="1100" w:hanging="4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i w:val="1"/>
          <w:iCs w:val="1"/>
          <w:color w:val="auto"/>
        </w:rPr>
        <w:t>Replacement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If the principal amount of any Security is considered paid under Section 4.01 hereof, it ceases to be outstanding and interest on it ceases to accrue.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Treasury Securities.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right="20" w:firstLine="648"/>
        <w:spacing w:after="0" w:line="277" w:lineRule="auto"/>
        <w:rPr>
          <w:sz w:val="20"/>
          <w:szCs w:val="20"/>
          <w:color w:val="auto"/>
        </w:rPr>
      </w:pPr>
      <w:r>
        <w:rPr>
          <w:rFonts w:ascii="Arial" w:cs="Arial" w:eastAsia="Arial" w:hAnsi="Arial"/>
          <w:sz w:val="18"/>
          <w:szCs w:val="18"/>
          <w:color w:val="auto"/>
        </w:rPr>
        <w:t>Default interest will be payable with respect to Additional Securities on the terms provided in the Supplemental Indenture pursuant to which such Series of Additional Securities is created.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70" w:lineRule="exact"/>
        <w:rPr>
          <w:sz w:val="20"/>
          <w:szCs w:val="20"/>
          <w:color w:val="auto"/>
        </w:rPr>
      </w:pPr>
    </w:p>
    <w:p>
      <w:pPr>
        <w:ind w:left="1760" w:hanging="456"/>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If less than all of the Notes are to be redeemed at any time, the Trustee shall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75"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1760" w:hanging="456"/>
        <w:spacing w:after="0"/>
        <w:tabs>
          <w:tab w:leader="none" w:pos="1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left="660" w:firstLine="644"/>
        <w:spacing w:after="0" w:line="263"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760" w:hanging="456"/>
        <w:spacing w:after="0"/>
        <w:tabs>
          <w:tab w:leader="none" w:pos="1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At the Company’s request, the Trustee shall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79" w:lineRule="auto"/>
        <w:rPr>
          <w:sz w:val="20"/>
          <w:szCs w:val="20"/>
          <w:color w:val="auto"/>
        </w:rPr>
      </w:pPr>
      <w:r>
        <w:rPr>
          <w:rFonts w:ascii="Arial" w:cs="Arial" w:eastAsia="Arial" w:hAnsi="Arial"/>
          <w:sz w:val="17"/>
          <w:szCs w:val="17"/>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jc w:val="both"/>
        <w:ind w:firstLine="656"/>
        <w:spacing w:after="0" w:line="257" w:lineRule="auto"/>
        <w:tabs>
          <w:tab w:leader="none" w:pos="10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At any time prior to February 15, 2024, the Company may on any one or more occasions redeem up to 40% of the aggregate principal amount of the Notes, upon not less than 10 nor more than 60 days’ prior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1740" w:hanging="456"/>
        <w:spacing w:after="0"/>
        <w:tabs>
          <w:tab w:leader="none" w:pos="17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0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any time prior to February 15, 2026,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080" w:hanging="44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 February 15, 2026.</w:t>
      </w:r>
    </w:p>
    <w:p>
      <w:pPr>
        <w:spacing w:after="0" w:line="236" w:lineRule="exact"/>
        <w:rPr>
          <w:rFonts w:ascii="Arial" w:cs="Arial" w:eastAsia="Arial" w:hAnsi="Arial"/>
          <w:sz w:val="17"/>
          <w:szCs w:val="17"/>
          <w:color w:val="auto"/>
        </w:rPr>
      </w:pPr>
    </w:p>
    <w:p>
      <w:pPr>
        <w:jc w:val="both"/>
        <w:ind w:left="-20" w:firstLine="656"/>
        <w:spacing w:after="0" w:line="279" w:lineRule="auto"/>
        <w:tabs>
          <w:tab w:leader="none" w:pos="10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or after February 15, 2026,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February 15 of the years indicated below, subject to the rights of Holders on the relevant record date to receive interest on the relevant interest payment date:</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2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101.875%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101.250%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100.625%</w:t>
            </w: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2029 and thereafter</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080" w:hanging="44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rFonts w:ascii="Arial" w:cs="Arial" w:eastAsia="Arial" w:hAnsi="Arial"/>
          <w:sz w:val="18"/>
          <w:szCs w:val="18"/>
          <w:color w:val="auto"/>
        </w:rPr>
      </w:pPr>
    </w:p>
    <w:p>
      <w:pPr>
        <w:ind w:left="-20" w:firstLine="656"/>
        <w:spacing w:after="0" w:line="277" w:lineRule="auto"/>
        <w:tabs>
          <w:tab w:leader="none" w:pos="10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jc w:val="both"/>
        <w:ind w:left="-20" w:firstLine="656"/>
        <w:spacing w:after="0" w:line="288" w:lineRule="auto"/>
        <w:tabs>
          <w:tab w:leader="none" w:pos="10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3, in connection with any tender offer for, or other offer to purchase, the Notes,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3" w:name="page44"/>
    <w:bookmarkEnd w:id="43"/>
    <w:p>
      <w:pPr>
        <w:spacing w:after="0"/>
        <w:tabs>
          <w:tab w:leader="none" w:pos="112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i w:val="1"/>
          <w:iCs w:val="1"/>
          <w:color w:val="auto"/>
        </w:rPr>
        <w:t>Payment of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firstLine="656"/>
        <w:spacing w:after="0" w:line="277" w:lineRule="auto"/>
        <w:tabs>
          <w:tab w:leader="none" w:pos="10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such reports.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To the extent the reports referred to in clauses (1) and (2) above are filed with the SEC for public availability, the reports will be deemed to be furnished to the Trustee and Holders of Notes.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 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w:t>
      </w:r>
    </w:p>
    <w:p>
      <w:pPr>
        <w:spacing w:after="0" w:line="161" w:lineRule="exact"/>
        <w:rPr>
          <w:sz w:val="20"/>
          <w:szCs w:val="20"/>
          <w:color w:val="auto"/>
        </w:rPr>
      </w:pPr>
    </w:p>
    <w:p>
      <w:pPr>
        <w:jc w:val="both"/>
        <w:ind w:firstLine="656"/>
        <w:spacing w:after="0" w:line="311" w:lineRule="auto"/>
        <w:tabs>
          <w:tab w:leader="none" w:pos="11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095"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jc w:val="both"/>
        <w:ind w:firstLine="656"/>
        <w:spacing w:after="0" w:line="270" w:lineRule="auto"/>
        <w:tabs>
          <w:tab w:leader="none" w:pos="10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Company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80" w:lineRule="exact"/>
        <w:rPr>
          <w:rFonts w:ascii="Arial" w:cs="Arial" w:eastAsia="Arial" w:hAnsi="Arial"/>
          <w:sz w:val="17"/>
          <w:szCs w:val="17"/>
          <w:color w:val="auto"/>
        </w:rPr>
      </w:pPr>
    </w:p>
    <w:p>
      <w:pPr>
        <w:jc w:val="both"/>
        <w:ind w:firstLine="656"/>
        <w:spacing w:after="0" w:line="263" w:lineRule="auto"/>
        <w:tabs>
          <w:tab w:leader="none" w:pos="11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tabs>
          <w:tab w:leader="none" w:pos="112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restriction will not apply to, or prevent the creation or existence of:</w:t>
      </w:r>
    </w:p>
    <w:p>
      <w:pPr>
        <w:spacing w:after="0" w:line="161" w:lineRule="exact"/>
        <w:rPr>
          <w:sz w:val="20"/>
          <w:szCs w:val="20"/>
          <w:color w:val="auto"/>
        </w:rPr>
      </w:pPr>
    </w:p>
    <w:p>
      <w:pPr>
        <w:jc w:val="both"/>
        <w:ind w:left="660" w:firstLine="644"/>
        <w:spacing w:after="0" w:line="286" w:lineRule="auto"/>
        <w:tabs>
          <w:tab w:leader="none" w:pos="1788" w:val="left"/>
        </w:tabs>
        <w:numPr>
          <w:ilvl w:val="1"/>
          <w:numId w:val="67"/>
        </w:numPr>
        <w:rPr>
          <w:rFonts w:ascii="Arial" w:cs="Arial" w:eastAsia="Arial" w:hAnsi="Arial"/>
          <w:sz w:val="17"/>
          <w:szCs w:val="17"/>
          <w:color w:val="auto"/>
        </w:rPr>
      </w:pPr>
      <w:r>
        <w:rPr>
          <w:rFonts w:ascii="Arial" w:cs="Arial" w:eastAsia="Arial" w:hAnsi="Arial"/>
          <w:sz w:val="17"/>
          <w:szCs w:val="17"/>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1820" w:hanging="516"/>
        <w:spacing w:after="0"/>
        <w:tabs>
          <w:tab w:leader="none" w:pos="18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the Company or any of its Subsidiaries after the date hereof,</w:t>
      </w:r>
    </w:p>
    <w:p>
      <w:pPr>
        <w:spacing w:after="0" w:line="46" w:lineRule="exact"/>
        <w:rPr>
          <w:rFonts w:ascii="Arial" w:cs="Arial" w:eastAsia="Arial" w:hAnsi="Arial"/>
          <w:sz w:val="16"/>
          <w:szCs w:val="16"/>
          <w:color w:val="auto"/>
        </w:rPr>
      </w:pPr>
    </w:p>
    <w:p>
      <w:pPr>
        <w:jc w:val="both"/>
        <w:ind w:left="660" w:hanging="4"/>
        <w:spacing w:after="0" w:line="271" w:lineRule="auto"/>
        <w:tabs>
          <w:tab w:leader="none" w:pos="9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is merged or amalgamated with or into the Company or any of its Subsidiaries after the date hereof or (c) becomes consolidated in the financial statements of the Company or any of its Subsidiaries after the date hereof in accordance with GAAP;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78" w:lineRule="exact"/>
        <w:rPr>
          <w:rFonts w:ascii="Arial" w:cs="Arial" w:eastAsia="Arial" w:hAnsi="Arial"/>
          <w:sz w:val="17"/>
          <w:szCs w:val="17"/>
          <w:color w:val="auto"/>
        </w:rPr>
      </w:pPr>
    </w:p>
    <w:p>
      <w:pPr>
        <w:jc w:val="both"/>
        <w:ind w:left="660" w:firstLine="644"/>
        <w:spacing w:after="0" w:line="296" w:lineRule="auto"/>
        <w:tabs>
          <w:tab w:leader="none" w:pos="1788"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1760" w:hanging="456"/>
        <w:spacing w:after="0"/>
        <w:tabs>
          <w:tab w:leader="none" w:pos="1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in favor of the Company or any of its Subsidiaries;</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the Company in its reasonable discretion acting in good faith);</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relating to current or future escrow arrangements securing Indebtedness of the Company or any Guarantor;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70" w:lineRule="exact"/>
        <w:rPr>
          <w:rFonts w:ascii="Arial" w:cs="Arial" w:eastAsia="Arial" w:hAnsi="Arial"/>
          <w:sz w:val="18"/>
          <w:szCs w:val="18"/>
          <w:color w:val="auto"/>
        </w:rPr>
      </w:pPr>
    </w:p>
    <w:p>
      <w:pPr>
        <w:ind w:left="1800" w:hanging="496"/>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jc w:val="both"/>
        <w:ind w:left="660" w:firstLine="644"/>
        <w:spacing w:after="0" w:line="257" w:lineRule="auto"/>
        <w:tabs>
          <w:tab w:leader="none" w:pos="18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8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(i) to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tabs>
          <w:tab w:leader="none" w:pos="11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Limited Liability Company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w:t>
      </w:r>
    </w:p>
    <w:p>
      <w:pPr>
        <w:spacing w:after="0" w:line="237" w:lineRule="exact"/>
        <w:rPr>
          <w:sz w:val="20"/>
          <w:szCs w:val="20"/>
          <w:color w:val="auto"/>
        </w:rPr>
      </w:pPr>
    </w:p>
    <w:p>
      <w:pPr>
        <w:jc w:val="both"/>
        <w:ind w:left="660" w:firstLine="644"/>
        <w:spacing w:after="0" w:line="263" w:lineRule="auto"/>
        <w:tabs>
          <w:tab w:leader="none" w:pos="17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17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the Parent Guarantor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preserve any such right, license or franchise, or the corporate, partnership or other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6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Offer to Repurchase Upon Change of Control Triggering Event.</w:t>
      </w:r>
    </w:p>
    <w:p>
      <w:pPr>
        <w:spacing w:after="0" w:line="225" w:lineRule="exact"/>
        <w:rPr>
          <w:sz w:val="20"/>
          <w:szCs w:val="20"/>
          <w:color w:val="auto"/>
        </w:rPr>
      </w:pPr>
    </w:p>
    <w:p>
      <w:pPr>
        <w:jc w:val="both"/>
        <w:ind w:firstLine="656"/>
        <w:spacing w:after="0" w:line="273" w:lineRule="auto"/>
        <w:tabs>
          <w:tab w:leader="none" w:pos="10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Upon the occurrence of a Change of Control Triggering Event, the Company will make an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w:t>
      </w:r>
      <w:r>
        <w:rPr>
          <w:rFonts w:ascii="Arial" w:cs="Arial" w:eastAsia="Arial" w:hAnsi="Arial"/>
          <w:sz w:val="17"/>
          <w:szCs w:val="17"/>
          <w:color w:val="auto"/>
        </w:rPr>
        <w:t xml:space="preserve"> </w:t>
      </w:r>
      <w:r>
        <w:rPr>
          <w:rFonts w:ascii="Arial" w:cs="Arial" w:eastAsia="Arial" w:hAnsi="Arial"/>
          <w:sz w:val="17"/>
          <w:szCs w:val="17"/>
          <w:i w:val="1"/>
          <w:iCs w:val="1"/>
          <w:color w:val="auto"/>
        </w:rPr>
        <w:t>of Control Payment”</w:t>
      </w:r>
      <w:r>
        <w:rPr>
          <w:rFonts w:ascii="Arial" w:cs="Arial" w:eastAsia="Arial" w:hAnsi="Arial"/>
          <w:sz w:val="17"/>
          <w:szCs w:val="17"/>
          <w:color w:val="auto"/>
        </w:rPr>
        <w:t>). Within 30 days following any Change of Control Triggering Event, the Company will mail (or deliver electronically) a notice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describing the transaction or transactions that constitute the Change of Control and stating:</w:t>
      </w:r>
    </w:p>
    <w:p>
      <w:pPr>
        <w:spacing w:after="0" w:line="177" w:lineRule="exact"/>
        <w:rPr>
          <w:rFonts w:ascii="Arial" w:cs="Arial" w:eastAsia="Arial" w:hAnsi="Arial"/>
          <w:sz w:val="17"/>
          <w:szCs w:val="17"/>
          <w:color w:val="auto"/>
        </w:rPr>
      </w:pPr>
    </w:p>
    <w:p>
      <w:pPr>
        <w:ind w:left="1760" w:hanging="456"/>
        <w:spacing w:after="0"/>
        <w:tabs>
          <w:tab w:leader="none" w:pos="17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4.09 and that all Notes tendered will be accepted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210" w:lineRule="exact"/>
        <w:rPr>
          <w:rFonts w:ascii="Arial" w:cs="Arial" w:eastAsia="Arial" w:hAnsi="Arial"/>
          <w:sz w:val="17"/>
          <w:szCs w:val="17"/>
          <w:color w:val="auto"/>
        </w:rPr>
      </w:pPr>
    </w:p>
    <w:p>
      <w:pPr>
        <w:jc w:val="both"/>
        <w:ind w:left="660" w:firstLine="644"/>
        <w:spacing w:after="0" w:line="263" w:lineRule="auto"/>
        <w:tabs>
          <w:tab w:leader="none" w:pos="17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no earlier than 10 days (or such longer period required by applicable securities laws and regulations) and no later than 60 days from the date such notice is mailed or delivered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765"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left="660" w:firstLine="644"/>
        <w:spacing w:after="0" w:line="311" w:lineRule="auto"/>
        <w:tabs>
          <w:tab w:leader="none" w:pos="17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8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57" w:lineRule="exact"/>
        <w:rPr>
          <w:sz w:val="20"/>
          <w:szCs w:val="20"/>
          <w:color w:val="auto"/>
        </w:rPr>
      </w:pPr>
    </w:p>
    <w:p>
      <w:pPr>
        <w:ind w:left="1120" w:hanging="464"/>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firstLine="644"/>
        <w:spacing w:after="0" w:line="277" w:lineRule="auto"/>
        <w:tabs>
          <w:tab w:leader="none" w:pos="17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43"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56"/>
        <w:spacing w:after="0" w:line="263" w:lineRule="auto"/>
        <w:tabs>
          <w:tab w:leader="none" w:pos="10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56"/>
        <w:spacing w:after="0" w:line="270" w:lineRule="auto"/>
        <w:tabs>
          <w:tab w:leader="none" w:pos="10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Subsidiary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firstLine="644"/>
        <w:spacing w:after="0" w:line="277"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Holding Company Status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780" w:hanging="476"/>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ownership of debt or Equity Interests in the Company;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left="1780" w:hanging="476"/>
        <w:spacing w:after="0"/>
        <w:tabs>
          <w:tab w:leader="none" w:pos="1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activities as the parent of a consolidated group of companies, including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making distributions to holders of its debt or Equity Interests or contributions to the Company or any Subsidiary of the Company;</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and notes;</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7" w:lineRule="exact"/>
        <w:rPr>
          <w:sz w:val="20"/>
          <w:szCs w:val="20"/>
          <w:color w:val="auto"/>
        </w:rPr>
      </w:pPr>
    </w:p>
    <w:p>
      <w:pPr>
        <w:ind w:left="1780" w:hanging="476"/>
        <w:spacing w:after="0"/>
        <w:tabs>
          <w:tab w:leader="none" w:pos="1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Parent Guarantor or the Company, as the case may be, is the surviving Person; or</w:t>
      </w:r>
    </w:p>
    <w:p>
      <w:pPr>
        <w:spacing w:after="0" w:line="225" w:lineRule="exact"/>
        <w:rPr>
          <w:rFonts w:ascii="Arial" w:cs="Arial" w:eastAsia="Arial" w:hAnsi="Arial"/>
          <w:sz w:val="18"/>
          <w:szCs w:val="18"/>
          <w:color w:val="auto"/>
        </w:rPr>
      </w:pPr>
    </w:p>
    <w:p>
      <w:pPr>
        <w:jc w:val="both"/>
        <w:ind w:left="1300" w:firstLine="652"/>
        <w:spacing w:after="0" w:line="254" w:lineRule="auto"/>
        <w:tabs>
          <w:tab w:leader="none" w:pos="24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left="660" w:firstLine="644"/>
        <w:spacing w:after="0" w:line="259"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1800" w:hanging="496"/>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shall not apply to:</w:t>
      </w:r>
    </w:p>
    <w:p>
      <w:pPr>
        <w:spacing w:after="0" w:line="225" w:lineRule="exact"/>
        <w:rPr>
          <w:sz w:val="20"/>
          <w:szCs w:val="20"/>
          <w:color w:val="auto"/>
        </w:rPr>
      </w:pPr>
    </w:p>
    <w:p>
      <w:pPr>
        <w:jc w:val="both"/>
        <w:ind w:left="660" w:firstLine="644"/>
        <w:spacing w:after="0" w:line="263" w:lineRule="auto"/>
        <w:tabs>
          <w:tab w:leader="none" w:pos="17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7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Entity Substituted.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740" w:hanging="436"/>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failure by the Company or any Guarantor for 60 days (or, in the case of any failure to comply with Section 4.03 of this Indenture, 120 days) after written notice to the Company given by the Trustee or the Holders of at least 30% in aggregate principal amount of the Notes that are then outstanding, to comply with any of the agreements in this Indenture (other than a default referred to in clause (1) or (2) of this Section 6.01);</w:t>
      </w:r>
    </w:p>
    <w:p>
      <w:pPr>
        <w:spacing w:after="0" w:line="186" w:lineRule="exact"/>
        <w:rPr>
          <w:rFonts w:ascii="Arial" w:cs="Arial" w:eastAsia="Arial" w:hAnsi="Arial"/>
          <w:sz w:val="18"/>
          <w:szCs w:val="18"/>
          <w:color w:val="auto"/>
        </w:rPr>
      </w:pPr>
    </w:p>
    <w:p>
      <w:pPr>
        <w:jc w:val="both"/>
        <w:ind w:left="660" w:firstLine="644"/>
        <w:spacing w:after="0" w:line="286" w:lineRule="auto"/>
        <w:tabs>
          <w:tab w:leader="none" w:pos="1698"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300" w:right="20" w:firstLine="652"/>
        <w:spacing w:after="0" w:line="277" w:lineRule="auto"/>
        <w:tabs>
          <w:tab w:leader="none" w:pos="24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jc w:val="both"/>
        <w:ind w:left="660" w:hanging="4"/>
        <w:spacing w:after="0" w:line="253" w:lineRule="auto"/>
        <w:tabs>
          <w:tab w:leader="none" w:pos="9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$100.0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any indemnification, guarantee or other credit support obligations of the Company or any of the Guarantors in connection with any Tax Equity Financing entered into by a non-Subsidiary Guarantor;</w:t>
      </w:r>
    </w:p>
    <w:p>
      <w:pPr>
        <w:spacing w:after="0" w:line="192" w:lineRule="exact"/>
        <w:rPr>
          <w:rFonts w:ascii="Arial" w:cs="Arial" w:eastAsia="Arial" w:hAnsi="Arial"/>
          <w:sz w:val="18"/>
          <w:szCs w:val="18"/>
          <w:color w:val="auto"/>
        </w:rPr>
      </w:pPr>
    </w:p>
    <w:p>
      <w:pPr>
        <w:jc w:val="both"/>
        <w:ind w:left="660" w:firstLine="644"/>
        <w:spacing w:after="0" w:line="255" w:lineRule="auto"/>
        <w:tabs>
          <w:tab w:leader="none" w:pos="1743" w:val="left"/>
        </w:tabs>
        <w:numPr>
          <w:ilvl w:val="1"/>
          <w:numId w:val="83"/>
        </w:numPr>
        <w:rPr>
          <w:rFonts w:ascii="Arial" w:cs="Arial" w:eastAsia="Arial" w:hAnsi="Arial"/>
          <w:sz w:val="18"/>
          <w:szCs w:val="18"/>
          <w:color w:val="auto"/>
        </w:rPr>
      </w:pPr>
      <w:r>
        <w:rPr>
          <w:rFonts w:ascii="Arial" w:cs="Arial" w:eastAsia="Arial" w:hAnsi="Arial"/>
          <w:sz w:val="18"/>
          <w:szCs w:val="18"/>
          <w:color w:val="auto"/>
        </w:rPr>
        <w:t>except as permitted by this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firstLine="644"/>
        <w:spacing w:after="0" w:line="277" w:lineRule="auto"/>
        <w:tabs>
          <w:tab w:leader="none" w:pos="17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70"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right="20" w:firstLine="652"/>
        <w:spacing w:after="0" w:line="342" w:lineRule="auto"/>
        <w:tabs>
          <w:tab w:leader="none" w:pos="24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23" w:lineRule="exact"/>
        <w:rPr>
          <w:rFonts w:ascii="Arial" w:cs="Arial" w:eastAsia="Arial" w:hAnsi="Arial"/>
          <w:sz w:val="16"/>
          <w:szCs w:val="16"/>
          <w:color w:val="auto"/>
        </w:rPr>
      </w:pPr>
    </w:p>
    <w:p>
      <w:pPr>
        <w:jc w:val="both"/>
        <w:ind w:left="1300" w:firstLine="652"/>
        <w:spacing w:after="0" w:line="263" w:lineRule="auto"/>
        <w:tabs>
          <w:tab w:leader="none" w:pos="2455" w:val="left"/>
        </w:tabs>
        <w:numPr>
          <w:ilvl w:val="1"/>
          <w:numId w:val="84"/>
        </w:numPr>
        <w:rPr>
          <w:rFonts w:ascii="Arial" w:cs="Arial" w:eastAsia="Arial" w:hAnsi="Arial"/>
          <w:sz w:val="18"/>
          <w:szCs w:val="18"/>
          <w:color w:val="auto"/>
        </w:rPr>
      </w:pPr>
      <w:r>
        <w:rPr>
          <w:rFonts w:ascii="Arial" w:cs="Arial" w:eastAsia="Arial" w:hAnsi="Arial"/>
          <w:sz w:val="18"/>
          <w:szCs w:val="18"/>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39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case of an Event of Default specified in clause (6) or (7)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tabs>
          <w:tab w:leader="none" w:pos="11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i w:val="1"/>
          <w:iCs w:val="1"/>
          <w:color w:val="auto"/>
        </w:rPr>
        <w:t>Control by Majority.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225" w:lineRule="exact"/>
        <w:rPr>
          <w:sz w:val="20"/>
          <w:szCs w:val="20"/>
          <w:color w:val="auto"/>
        </w:rPr>
      </w:pPr>
    </w:p>
    <w:p>
      <w:pPr>
        <w:ind w:left="1780" w:hanging="476"/>
        <w:spacing w:after="0"/>
        <w:tabs>
          <w:tab w:leader="none" w:pos="1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Holders of at least 30% in aggregate principal amount of the outstanding Notes make a written request to the Trustee to pursue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780" w:hanging="476"/>
        <w:spacing w:after="0"/>
        <w:tabs>
          <w:tab w:leader="none" w:pos="1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such Holders have offered the Trustee security or indemnity reasonably satisfactory to the Trustee against any loss, liability or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1780" w:hanging="476"/>
        <w:spacing w:after="0"/>
        <w:tabs>
          <w:tab w:leader="none" w:pos="1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receipt of the request and the offer of security or indemnity;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firstLine="644"/>
        <w:spacing w:after="0" w:line="277" w:lineRule="auto"/>
        <w:tabs>
          <w:tab w:leader="none" w:pos="17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right="2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5"/>
          <w:szCs w:val="15"/>
          <w:i w:val="1"/>
          <w:iCs w:val="1"/>
          <w:color w:val="auto"/>
        </w:rPr>
        <w:t>Duties of Trustee.</w:t>
      </w:r>
    </w:p>
    <w:p>
      <w:pPr>
        <w:spacing w:after="0" w:line="225" w:lineRule="exact"/>
        <w:rPr>
          <w:sz w:val="20"/>
          <w:szCs w:val="20"/>
          <w:color w:val="auto"/>
        </w:rPr>
      </w:pPr>
    </w:p>
    <w:p>
      <w:pPr>
        <w:jc w:val="both"/>
        <w:ind w:firstLine="656"/>
        <w:spacing w:after="0" w:line="263" w:lineRule="auto"/>
        <w:tabs>
          <w:tab w:leader="none" w:pos="11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1140" w:hanging="484"/>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1788"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48" w:lineRule="exact"/>
        <w:rPr>
          <w:rFonts w:ascii="Arial" w:cs="Arial" w:eastAsia="Arial" w:hAnsi="Arial"/>
          <w:sz w:val="16"/>
          <w:szCs w:val="16"/>
          <w:color w:val="auto"/>
        </w:rPr>
      </w:pPr>
    </w:p>
    <w:p>
      <w:pPr>
        <w:ind w:left="1120" w:hanging="464"/>
        <w:spacing w:after="0"/>
        <w:tabs>
          <w:tab w:leader="none" w:pos="11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 that:</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firstLine="644"/>
        <w:spacing w:after="0" w:line="277" w:lineRule="auto"/>
        <w:tabs>
          <w:tab w:leader="none" w:pos="174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firstLine="644"/>
        <w:spacing w:after="0" w:line="277" w:lineRule="auto"/>
        <w:tabs>
          <w:tab w:leader="none" w:pos="17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83" w:lineRule="exact"/>
        <w:rPr>
          <w:rFonts w:ascii="Arial" w:cs="Arial" w:eastAsia="Arial" w:hAnsi="Arial"/>
          <w:sz w:val="18"/>
          <w:szCs w:val="18"/>
          <w:color w:val="auto"/>
        </w:rPr>
      </w:pPr>
    </w:p>
    <w:p>
      <w:pPr>
        <w:ind w:right="20" w:firstLine="656"/>
        <w:spacing w:after="0" w:line="277" w:lineRule="auto"/>
        <w:tabs>
          <w:tab w:leader="none" w:pos="109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firstLine="656"/>
        <w:spacing w:after="0" w:line="277" w:lineRule="auto"/>
        <w:tabs>
          <w:tab w:leader="none" w:pos="10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0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83" w:lineRule="exact"/>
        <w:rPr>
          <w:rFonts w:ascii="Arial" w:cs="Arial" w:eastAsia="Arial" w:hAnsi="Arial"/>
          <w:sz w:val="18"/>
          <w:szCs w:val="18"/>
          <w:color w:val="auto"/>
        </w:rPr>
      </w:pPr>
    </w:p>
    <w:p>
      <w:pPr>
        <w:ind w:firstLine="656"/>
        <w:spacing w:after="0" w:line="277" w:lineRule="auto"/>
        <w:tabs>
          <w:tab w:leader="none" w:pos="11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firstLine="656"/>
        <w:spacing w:after="0" w:line="277" w:lineRule="auto"/>
        <w:tabs>
          <w:tab w:leader="none" w:pos="10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firstLine="656"/>
        <w:spacing w:after="0" w:line="342" w:lineRule="auto"/>
        <w:tabs>
          <w:tab w:leader="none" w:pos="1094"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23" w:lineRule="exact"/>
        <w:rPr>
          <w:rFonts w:ascii="Arial" w:cs="Arial" w:eastAsia="Arial" w:hAnsi="Arial"/>
          <w:sz w:val="16"/>
          <w:szCs w:val="16"/>
          <w:color w:val="auto"/>
        </w:rPr>
      </w:pPr>
    </w:p>
    <w:p>
      <w:pPr>
        <w:ind w:firstLine="656"/>
        <w:spacing w:after="0" w:line="342" w:lineRule="auto"/>
        <w:tabs>
          <w:tab w:leader="none" w:pos="10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firstLine="656"/>
        <w:spacing w:after="0" w:line="277" w:lineRule="auto"/>
        <w:tabs>
          <w:tab w:leader="none" w:pos="10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70" w:lineRule="exact"/>
        <w:rPr>
          <w:rFonts w:ascii="Arial" w:cs="Arial" w:eastAsia="Arial" w:hAnsi="Arial"/>
          <w:sz w:val="18"/>
          <w:szCs w:val="18"/>
          <w:color w:val="auto"/>
        </w:rPr>
      </w:pPr>
    </w:p>
    <w:p>
      <w:pPr>
        <w:jc w:val="both"/>
        <w:ind w:firstLine="656"/>
        <w:spacing w:after="0" w:line="342" w:lineRule="auto"/>
        <w:tabs>
          <w:tab w:leader="none" w:pos="10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23" w:lineRule="exact"/>
        <w:rPr>
          <w:rFonts w:ascii="Arial" w:cs="Arial" w:eastAsia="Arial" w:hAnsi="Arial"/>
          <w:sz w:val="16"/>
          <w:szCs w:val="16"/>
          <w:color w:val="auto"/>
        </w:rPr>
      </w:pPr>
    </w:p>
    <w:p>
      <w:pPr>
        <w:ind w:firstLine="656"/>
        <w:spacing w:after="0" w:line="308" w:lineRule="auto"/>
        <w:tabs>
          <w:tab w:leader="none" w:pos="10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46" w:lineRule="exact"/>
        <w:rPr>
          <w:rFonts w:ascii="Arial" w:cs="Arial" w:eastAsia="Arial" w:hAnsi="Arial"/>
          <w:sz w:val="17"/>
          <w:szCs w:val="17"/>
          <w:color w:val="auto"/>
        </w:rPr>
      </w:pPr>
    </w:p>
    <w:p>
      <w:pPr>
        <w:jc w:val="both"/>
        <w:ind w:firstLine="656"/>
        <w:spacing w:after="0" w:line="270" w:lineRule="auto"/>
        <w:tabs>
          <w:tab w:leader="none" w:pos="1083"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0" w:lineRule="exact"/>
        <w:rPr>
          <w:rFonts w:ascii="Arial" w:cs="Arial" w:eastAsia="Arial" w:hAnsi="Arial"/>
          <w:sz w:val="17"/>
          <w:szCs w:val="17"/>
          <w:color w:val="auto"/>
        </w:rPr>
      </w:pPr>
    </w:p>
    <w:p>
      <w:pPr>
        <w:ind w:left="1060" w:hanging="404"/>
        <w:spacing w:after="0"/>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 be construed as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duty.</w:t>
      </w:r>
    </w:p>
    <w:p>
      <w:pPr>
        <w:spacing w:after="0" w:line="210" w:lineRule="exact"/>
        <w:rPr>
          <w:rFonts w:ascii="Arial" w:cs="Arial" w:eastAsia="Arial" w:hAnsi="Arial"/>
          <w:sz w:val="16"/>
          <w:szCs w:val="16"/>
          <w:color w:val="auto"/>
        </w:rPr>
      </w:pPr>
    </w:p>
    <w:p>
      <w:pPr>
        <w:jc w:val="both"/>
        <w:ind w:firstLine="656"/>
        <w:spacing w:after="0" w:line="263" w:lineRule="auto"/>
        <w:tabs>
          <w:tab w:leader="none" w:pos="10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83" w:lineRule="exact"/>
        <w:rPr>
          <w:rFonts w:ascii="Arial" w:cs="Arial" w:eastAsia="Arial" w:hAnsi="Arial"/>
          <w:sz w:val="18"/>
          <w:szCs w:val="18"/>
          <w:color w:val="auto"/>
        </w:rPr>
      </w:pPr>
    </w:p>
    <w:p>
      <w:pPr>
        <w:ind w:firstLine="656"/>
        <w:spacing w:after="0" w:line="277" w:lineRule="auto"/>
        <w:tabs>
          <w:tab w:leader="none" w:pos="10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Sections 7.10 and 7.11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tabs>
          <w:tab w:leader="none" w:pos="11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jc w:val="both"/>
        <w:ind w:firstLine="656"/>
        <w:spacing w:after="0" w:line="279" w:lineRule="auto"/>
        <w:tabs>
          <w:tab w:leader="none" w:pos="106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05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0" w:lineRule="exact"/>
        <w:rPr>
          <w:rFonts w:ascii="Arial" w:cs="Arial" w:eastAsia="Arial" w:hAnsi="Arial"/>
          <w:sz w:val="17"/>
          <w:szCs w:val="17"/>
          <w:color w:val="auto"/>
        </w:rPr>
      </w:pPr>
    </w:p>
    <w:p>
      <w:pPr>
        <w:ind w:left="1080" w:hanging="424"/>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obligations of the Company and the Guarantors under this Section 7.07 will survive the satisfaction and discharge of this Indenture.</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0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clause (6) or (7) of Section 6.01 hereof occurs, the expenses and the compensation for the services (including the fees and expenses of its agents and counsel) are intended to constitute expenses of administration under any Bankruptcy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1060" w:hanging="40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342" w:lineRule="auto"/>
        <w:tabs>
          <w:tab w:leader="none" w:pos="105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2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firstLine="656"/>
        <w:spacing w:after="0" w:line="277"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tabs>
          <w:tab w:leader="none" w:pos="11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65" w:lineRule="exact"/>
        <w:rPr>
          <w:sz w:val="20"/>
          <w:szCs w:val="20"/>
          <w:color w:val="auto"/>
        </w:rPr>
      </w:pPr>
    </w:p>
    <w:p>
      <w:pPr>
        <w:ind w:left="660" w:firstLine="644"/>
        <w:spacing w:after="0" w:line="277" w:lineRule="auto"/>
        <w:tabs>
          <w:tab w:leader="none" w:pos="178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780" w:hanging="476"/>
        <w:spacing w:after="0"/>
        <w:tabs>
          <w:tab w:leader="none" w:pos="1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4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 Notes will thereafter be deemed not “outstanding” for the purposes of any direction, waiver, consent or declaration or act of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and (4) hereof shall not constitute Events of Default.</w:t>
      </w:r>
    </w:p>
    <w:p>
      <w:pPr>
        <w:spacing w:after="0" w:line="1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jc w:val="both"/>
        <w:ind w:left="660" w:firstLine="644"/>
        <w:spacing w:after="0" w:line="275" w:lineRule="auto"/>
        <w:tabs>
          <w:tab w:leader="none" w:pos="178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7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2460" w:hanging="508"/>
        <w:spacing w:after="0"/>
        <w:tabs>
          <w:tab w:leader="none" w:pos="2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left="660" w:firstLine="644"/>
        <w:spacing w:after="0" w:line="259" w:lineRule="auto"/>
        <w:tabs>
          <w:tab w:leader="none" w:pos="17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70" w:lineRule="exact"/>
        <w:rPr>
          <w:sz w:val="20"/>
          <w:szCs w:val="20"/>
          <w:color w:val="auto"/>
        </w:rPr>
      </w:pPr>
    </w:p>
    <w:p>
      <w:pPr>
        <w:ind w:left="5540" w:right="5440" w:hanging="4236"/>
        <w:spacing w:after="0" w:line="905" w:lineRule="auto"/>
        <w:tabs>
          <w:tab w:leader="none" w:pos="179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cure any ambiguity, mistake, defect or inconsistency;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Securities are issued in registered form for purposes of Section 163(f) of the Code);</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78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provide for the assumption of the Parent Guarantor’s or the Company’s Obligations to Holders of Securities in the case of a merger or consolidation or sale of all or substantially all of the Parent Guarantor’s or the Company’s assets, as the case may be;</w:t>
      </w:r>
    </w:p>
    <w:p>
      <w:pPr>
        <w:spacing w:after="0" w:line="14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the Notes” section of the Offering Memorandum, relating to the initial offering of the Notes;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provide for the issuance of Additional Notes and Additional Securities in accordance with the limitations set forth in this Indenture as of the date hereof; or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 allow any Guarantor to execute a supplemental indenture and/or a Subsidiary Guarantee with respect to the Securities.</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7" w:lineRule="auto"/>
        <w:rPr>
          <w:sz w:val="20"/>
          <w:szCs w:val="20"/>
          <w:color w:val="auto"/>
        </w:rPr>
      </w:pPr>
      <w:r>
        <w:rPr>
          <w:rFonts w:ascii="Arial" w:cs="Arial" w:eastAsia="Arial" w:hAnsi="Arial"/>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95" w:lineRule="exact"/>
        <w:rPr>
          <w:sz w:val="20"/>
          <w:szCs w:val="20"/>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Security payable in currency other than that stated in the Securities;</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(other than a payment required by Sections 4.09 hereof);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tabs>
          <w:tab w:leader="none" w:pos="11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Security will not affect the validity and effect of such amendment, supplement or waiver.</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10.01.  Guarantee.</w:t>
      </w:r>
    </w:p>
    <w:p>
      <w:pPr>
        <w:spacing w:after="0" w:line="225" w:lineRule="exact"/>
        <w:rPr>
          <w:sz w:val="20"/>
          <w:szCs w:val="20"/>
          <w:color w:val="auto"/>
        </w:rPr>
      </w:pPr>
    </w:p>
    <w:p>
      <w:pPr>
        <w:jc w:val="both"/>
        <w:ind w:firstLine="656"/>
        <w:spacing w:after="0" w:line="263" w:lineRule="auto"/>
        <w:tabs>
          <w:tab w:leader="none" w:pos="11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8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660" w:firstLine="644"/>
        <w:spacing w:after="0" w:line="263" w:lineRule="auto"/>
        <w:tabs>
          <w:tab w:leader="none" w:pos="17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jc w:val="both"/>
        <w:ind w:firstLine="656"/>
        <w:spacing w:after="0" w:line="254" w:lineRule="auto"/>
        <w:tabs>
          <w:tab w:leader="none" w:pos="11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1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Section 10.03.  Execution and Delivery of Guarantee.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this Indenture on behalf of the Guarantors.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10.04.  Guarantors May Consolidate, etc., on Certain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84" w:lineRule="exact"/>
        <w:rPr>
          <w:sz w:val="20"/>
          <w:szCs w:val="20"/>
          <w:color w:val="auto"/>
        </w:rPr>
      </w:pPr>
    </w:p>
    <w:p>
      <w:pPr>
        <w:ind w:left="1780" w:hanging="476"/>
        <w:spacing w:after="0"/>
        <w:tabs>
          <w:tab w:leader="none" w:pos="1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78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on the terms set forth herein, pursuant to a supplemental indenture in form and substance reasonably satisfactory to the Trustee;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10.05.  Releases.</w:t>
      </w:r>
    </w:p>
    <w:p>
      <w:pPr>
        <w:spacing w:after="0" w:line="225" w:lineRule="exact"/>
        <w:rPr>
          <w:sz w:val="20"/>
          <w:szCs w:val="20"/>
          <w:color w:val="auto"/>
        </w:rPr>
      </w:pPr>
    </w:p>
    <w:p>
      <w:pPr>
        <w:ind w:left="1120" w:hanging="464"/>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1140" w:hanging="484"/>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Subsidiary Guarantee of a Subsidiary Guarantor shall be released automatically: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in Sections 8.01, 8.02, 8.03, 8.04 and 11.01 hereof;</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this Indenture;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2"/>
          <w:numId w:val="110"/>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6" w:lineRule="exact"/>
        <w:rPr>
          <w:rFonts w:ascii="Arial" w:cs="Arial" w:eastAsia="Arial" w:hAnsi="Arial"/>
          <w:sz w:val="17"/>
          <w:szCs w:val="17"/>
          <w:color w:val="auto"/>
        </w:rPr>
      </w:pPr>
    </w:p>
    <w:p>
      <w:pPr>
        <w:jc w:val="both"/>
        <w:ind w:left="1300" w:firstLine="652"/>
        <w:spacing w:after="0" w:line="255" w:lineRule="auto"/>
        <w:tabs>
          <w:tab w:leader="none" w:pos="245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92" w:lineRule="exact"/>
        <w:rPr>
          <w:rFonts w:ascii="Arial" w:cs="Arial" w:eastAsia="Arial" w:hAnsi="Arial"/>
          <w:sz w:val="18"/>
          <w:szCs w:val="18"/>
          <w:color w:val="auto"/>
        </w:rPr>
      </w:pPr>
    </w:p>
    <w:p>
      <w:pPr>
        <w:jc w:val="both"/>
        <w:ind w:left="1300" w:firstLine="652"/>
        <w:spacing w:after="0" w:line="279" w:lineRule="auto"/>
        <w:tabs>
          <w:tab w:leader="none" w:pos="2458" w:val="left"/>
        </w:tabs>
        <w:numPr>
          <w:ilvl w:val="2"/>
          <w:numId w:val="110"/>
        </w:numPr>
        <w:rPr>
          <w:rFonts w:ascii="Arial" w:cs="Arial" w:eastAsia="Arial" w:hAnsi="Arial"/>
          <w:sz w:val="17"/>
          <w:szCs w:val="17"/>
          <w:color w:val="auto"/>
        </w:rPr>
      </w:pPr>
      <w:r>
        <w:rPr>
          <w:rFonts w:ascii="Arial" w:cs="Arial" w:eastAsia="Arial" w:hAnsi="Arial"/>
          <w:sz w:val="17"/>
          <w:szCs w:val="17"/>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71" w:lineRule="exact"/>
        <w:rPr>
          <w:rFonts w:ascii="Arial" w:cs="Arial" w:eastAsia="Arial" w:hAnsi="Arial"/>
          <w:sz w:val="17"/>
          <w:szCs w:val="17"/>
          <w:color w:val="auto"/>
        </w:rPr>
      </w:pPr>
    </w:p>
    <w:p>
      <w:pPr>
        <w:ind w:firstLine="656"/>
        <w:spacing w:after="0" w:line="277" w:lineRule="auto"/>
        <w:tabs>
          <w:tab w:leader="none" w:pos="111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right="20" w:firstLine="656"/>
        <w:spacing w:after="0" w:line="342" w:lineRule="auto"/>
        <w:tabs>
          <w:tab w:leader="none" w:pos="110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4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42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83" w:lineRule="exact"/>
        <w:rPr>
          <w:rFonts w:ascii="Arial" w:cs="Arial" w:eastAsia="Arial" w:hAnsi="Arial"/>
          <w:sz w:val="18"/>
          <w:szCs w:val="18"/>
          <w:color w:val="auto"/>
        </w:rPr>
      </w:pPr>
    </w:p>
    <w:p>
      <w:pPr>
        <w:jc w:val="both"/>
        <w:ind w:left="660" w:firstLine="1292"/>
        <w:spacing w:after="0" w:line="273" w:lineRule="auto"/>
        <w:tabs>
          <w:tab w:leader="none" w:pos="2436"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77" w:lineRule="exact"/>
        <w:rPr>
          <w:rFonts w:ascii="Arial" w:cs="Arial" w:eastAsia="Arial" w:hAnsi="Arial"/>
          <w:sz w:val="17"/>
          <w:szCs w:val="17"/>
          <w:color w:val="auto"/>
        </w:rPr>
      </w:pPr>
    </w:p>
    <w:p>
      <w:pPr>
        <w:jc w:val="both"/>
        <w:ind w:left="660" w:firstLine="644"/>
        <w:spacing w:after="0" w:line="259" w:lineRule="auto"/>
        <w:tabs>
          <w:tab w:leader="none" w:pos="17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firstLine="8"/>
        <w:spacing w:after="0" w:line="260" w:lineRule="auto"/>
        <w:tabs>
          <w:tab w:leader="none" w:pos="28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Section 12.01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000" w:space="200"/>
            <w:col w:w="10040"/>
          </w:cols>
          <w:pgMar w:left="320" w:top="90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Section 12.02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Notices.</w:t>
      </w:r>
    </w:p>
    <w:p>
      <w:pPr>
        <w:spacing w:after="0" w:line="200" w:lineRule="exact"/>
        <w:rPr>
          <w:sz w:val="20"/>
          <w:szCs w:val="20"/>
          <w:color w:val="auto"/>
        </w:rPr>
      </w:pPr>
    </w:p>
    <w:p>
      <w:pPr>
        <w:sectPr>
          <w:pgSz w:w="11900" w:h="16838" w:orient="portrait"/>
          <w:cols w:equalWidth="0" w:num="2">
            <w:col w:w="1000" w:space="200"/>
            <w:col w:w="10040"/>
          </w:cols>
          <w:pgMar w:left="320" w:top="908" w:right="339" w:bottom="1440" w:gutter="0" w:footer="0" w:header="0"/>
          <w:type w:val="continuous"/>
        </w:sectPr>
      </w:pPr>
    </w:p>
    <w:p>
      <w:pPr>
        <w:spacing w:after="0" w:line="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Drive,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Preston Bernhisel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3" w:name="page74"/>
    <w:bookmarkEnd w:id="73"/>
    <w:p>
      <w:pPr>
        <w:ind w:left="66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mails (or deliver electronically) a notice or communication to Holders, it will mail (or deliver electronically) a copy to the Trustee and each Agent at the same time.</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jc w:val="both"/>
        <w:ind w:left="660" w:firstLine="644"/>
        <w:spacing w:after="0" w:line="263" w:lineRule="auto"/>
        <w:tabs>
          <w:tab w:leader="none" w:pos="17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83" w:lineRule="exact"/>
        <w:rPr>
          <w:rFonts w:ascii="Arial" w:cs="Arial" w:eastAsia="Arial" w:hAnsi="Arial"/>
          <w:sz w:val="18"/>
          <w:szCs w:val="18"/>
          <w:color w:val="auto"/>
        </w:rPr>
      </w:pPr>
    </w:p>
    <w:p>
      <w:pPr>
        <w:ind w:left="660" w:firstLine="644"/>
        <w:spacing w:after="0" w:line="308" w:lineRule="auto"/>
        <w:tabs>
          <w:tab w:leader="none" w:pos="178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225" w:lineRule="exact"/>
        <w:rPr>
          <w:sz w:val="20"/>
          <w:szCs w:val="20"/>
          <w:color w:val="auto"/>
        </w:rPr>
      </w:pPr>
    </w:p>
    <w:p>
      <w:pPr>
        <w:ind w:left="5540" w:right="2340" w:hanging="4236"/>
        <w:spacing w:after="0" w:line="778" w:lineRule="auto"/>
        <w:tabs>
          <w:tab w:leader="none" w:pos="179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firstLine="644"/>
        <w:spacing w:after="0" w:line="277" w:lineRule="auto"/>
        <w:tabs>
          <w:tab w:leader="none" w:pos="17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5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tabs>
          <w:tab w:leader="none" w:pos="11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Compliance with Applicable Anti-Terrorism and Anti-Money Laundering Regulations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i w:val="1"/>
          <w:iCs w:val="1"/>
          <w:color w:val="auto"/>
        </w:rPr>
        <w:t>“Relevant Law”</w:t>
      </w:r>
      <w:r>
        <w:rPr>
          <w:rFonts w:ascii="Arial" w:cs="Arial" w:eastAsia="Arial" w:hAnsi="Arial"/>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i w:val="1"/>
          <w:iCs w:val="1"/>
          <w:color w:val="auto"/>
        </w:rPr>
        <w:t>Electronic Signatures.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of the parties agrees on behalf of itself, and any Person acting or claiming by, under or through such party, that any written instrument delivered in connection with this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9,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Clearway Energy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Title: Senior Vice President, Chief Financial Officer and Treasurer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ALTA WIND 1-5 HOLDING COMPANY, LLC, as Guarantor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CENTRAL CA FUEL CELL 1, LLC, as Guarantors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Fuel Cell Holdings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ALTA WIND COMPANY,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DGPV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 SREC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908" w:right="819" w:bottom="1440" w:gutter="0" w:footer="0" w:header="0"/>
        </w:sectPr>
      </w:pPr>
    </w:p>
    <w:bookmarkStart w:id="77" w:name="page78"/>
    <w:bookmarkEnd w:id="77"/>
    <w:p>
      <w:pPr>
        <w:ind w:left="4500"/>
        <w:spacing w:after="0"/>
        <w:rPr>
          <w:sz w:val="20"/>
          <w:szCs w:val="20"/>
          <w:color w:val="auto"/>
        </w:rPr>
      </w:pPr>
      <w:r>
        <w:rPr>
          <w:rFonts w:ascii="Arial" w:cs="Arial" w:eastAsia="Arial" w:hAnsi="Arial"/>
          <w:sz w:val="18"/>
          <w:szCs w:val="18"/>
          <w:color w:val="auto"/>
        </w:rPr>
        <w:t>ECP UPTOWN CAMPUS HOLDINGS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line="253"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UTAH SOLAR MASTER HOLDCO LLC, as Guarantors, By Clearway Energy Operating LLC, as managing member</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Senior Vice President, Chief Financial Officer and Treasurer</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 as Guarantor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DGPV Holding LLC, as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8" w:name="page79"/>
    <w:bookmarkEnd w:id="78"/>
    <w:p>
      <w:pPr>
        <w:ind w:left="4500"/>
        <w:spacing w:after="0"/>
        <w:rPr>
          <w:sz w:val="20"/>
          <w:szCs w:val="20"/>
          <w:color w:val="auto"/>
        </w:rPr>
      </w:pPr>
      <w:r>
        <w:rPr>
          <w:rFonts w:ascii="Arial" w:cs="Arial" w:eastAsia="Arial" w:hAnsi="Arial"/>
          <w:sz w:val="18"/>
          <w:szCs w:val="18"/>
          <w:color w:val="auto"/>
        </w:rPr>
        <w:t>SPP FUND II,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 as Guarantors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SPP Fund II Holdings, LLC, as managing member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 as Guarantor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Fuel Cell Holdings LLC, as 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6"/>
          <w:szCs w:val="16"/>
          <w:color w:val="auto"/>
        </w:rPr>
        <w:t>DELAWARE TRUST COMPANY, as Trustee</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Benjamin Hancock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00" w:type="dxa"/>
            <w:vAlign w:val="bottom"/>
          </w:tcPr>
          <w:p>
            <w:pPr>
              <w:jc w:val="right"/>
              <w:spacing w:after="0"/>
              <w:rPr>
                <w:sz w:val="20"/>
                <w:szCs w:val="20"/>
                <w:color w:val="auto"/>
              </w:rPr>
            </w:pPr>
            <w:r>
              <w:rPr>
                <w:rFonts w:ascii="Arial" w:cs="Arial" w:eastAsia="Arial" w:hAnsi="Arial"/>
                <w:sz w:val="18"/>
                <w:szCs w:val="18"/>
                <w:color w:val="auto"/>
              </w:rPr>
              <w:t>EXHIBIT A</w:t>
            </w:r>
          </w:p>
        </w:tc>
      </w:tr>
      <w:tr>
        <w:trPr>
          <w:trHeight w:val="432"/>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center"/>
              <w:ind w:right="1650"/>
              <w:spacing w:after="0"/>
              <w:rPr>
                <w:sz w:val="20"/>
                <w:szCs w:val="20"/>
                <w:color w:val="auto"/>
              </w:rPr>
            </w:pPr>
            <w:r>
              <w:rPr>
                <w:rFonts w:ascii="Arial" w:cs="Arial" w:eastAsia="Arial" w:hAnsi="Arial"/>
                <w:sz w:val="18"/>
                <w:szCs w:val="18"/>
                <w:color w:val="auto"/>
                <w:w w:val="91"/>
              </w:rPr>
              <w:t>[Face of Note]</w:t>
            </w:r>
          </w:p>
        </w:tc>
      </w:tr>
      <w:tr>
        <w:trPr>
          <w:trHeight w:val="54"/>
        </w:trPr>
        <w:tc>
          <w:tcPr>
            <w:tcW w:w="1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r>
      <w:tr>
        <w:trPr>
          <w:trHeight w:val="493"/>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right"/>
              <w:spacing w:after="0"/>
              <w:rPr>
                <w:sz w:val="20"/>
                <w:szCs w:val="20"/>
                <w:color w:val="auto"/>
              </w:rPr>
            </w:pPr>
            <w:r>
              <w:rPr>
                <w:rFonts w:ascii="Arial" w:cs="Arial" w:eastAsia="Arial" w:hAnsi="Arial"/>
                <w:sz w:val="18"/>
                <w:szCs w:val="18"/>
                <w:color w:val="auto"/>
              </w:rPr>
              <w:t>CUSIP/CINS ____________</w:t>
            </w:r>
          </w:p>
        </w:tc>
      </w:tr>
      <w:tr>
        <w:trPr>
          <w:trHeight w:val="432"/>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center"/>
              <w:ind w:right="1650"/>
              <w:spacing w:after="0"/>
              <w:rPr>
                <w:sz w:val="20"/>
                <w:szCs w:val="20"/>
                <w:color w:val="auto"/>
              </w:rPr>
            </w:pPr>
            <w:r>
              <w:rPr>
                <w:rFonts w:ascii="Arial" w:cs="Arial" w:eastAsia="Arial" w:hAnsi="Arial"/>
                <w:sz w:val="18"/>
                <w:szCs w:val="18"/>
                <w:color w:val="auto"/>
                <w:w w:val="89"/>
              </w:rPr>
              <w:t>3.750% Senior Notes due 2031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No. ___</w:t>
            </w:r>
          </w:p>
        </w:tc>
        <w:tc>
          <w:tcPr>
            <w:tcW w:w="9860" w:type="dxa"/>
            <w:vAlign w:val="bottom"/>
            <w:gridSpan w:val="2"/>
          </w:tcPr>
          <w:p>
            <w:pPr>
              <w:jc w:val="right"/>
              <w:spacing w:after="0"/>
              <w:rPr>
                <w:sz w:val="20"/>
                <w:szCs w:val="20"/>
                <w:color w:val="auto"/>
              </w:rPr>
            </w:pPr>
            <w:r>
              <w:rPr>
                <w:rFonts w:ascii="Arial" w:cs="Arial" w:eastAsia="Arial" w:hAnsi="Arial"/>
                <w:sz w:val="18"/>
                <w:szCs w:val="18"/>
                <w:color w:val="auto"/>
              </w:rPr>
              <w:t>$____________</w:t>
            </w:r>
          </w:p>
        </w:tc>
      </w:tr>
      <w:tr>
        <w:trPr>
          <w:trHeight w:val="432"/>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jc w:val="center"/>
              <w:ind w:right="1630"/>
              <w:spacing w:after="0"/>
              <w:rPr>
                <w:sz w:val="20"/>
                <w:szCs w:val="20"/>
                <w:color w:val="auto"/>
              </w:rPr>
            </w:pPr>
            <w:r>
              <w:rPr>
                <w:rFonts w:ascii="Arial" w:cs="Arial" w:eastAsia="Arial" w:hAnsi="Arial"/>
                <w:sz w:val="18"/>
                <w:szCs w:val="18"/>
                <w:color w:val="auto"/>
                <w:w w:val="96"/>
              </w:rPr>
              <w:t>CLEARWAY ENERGY OPERATING LLC</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w w:val="92"/>
              </w:rPr>
              <w:t>promises to pay to</w:t>
            </w:r>
          </w:p>
        </w:tc>
        <w:tc>
          <w:tcPr>
            <w:tcW w:w="360" w:type="dxa"/>
            <w:vAlign w:val="bottom"/>
            <w:tcBorders>
              <w:bottom w:val="single" w:sz="8" w:color="auto"/>
            </w:tcBorders>
          </w:tcPr>
          <w:p>
            <w:pPr>
              <w:spacing w:after="0"/>
              <w:rPr>
                <w:sz w:val="24"/>
                <w:szCs w:val="24"/>
                <w:color w:val="auto"/>
              </w:rPr>
            </w:pPr>
          </w:p>
        </w:tc>
        <w:tc>
          <w:tcPr>
            <w:tcW w:w="9500" w:type="dxa"/>
            <w:vAlign w:val="bottom"/>
          </w:tcPr>
          <w:p>
            <w:pPr>
              <w:jc w:val="right"/>
              <w:ind w:right="7890"/>
              <w:spacing w:after="0"/>
              <w:rPr>
                <w:sz w:val="20"/>
                <w:szCs w:val="20"/>
                <w:color w:val="auto"/>
              </w:rPr>
            </w:pPr>
            <w:r>
              <w:rPr>
                <w:rFonts w:ascii="Arial" w:cs="Arial" w:eastAsia="Arial" w:hAnsi="Arial"/>
                <w:sz w:val="18"/>
                <w:szCs w:val="18"/>
                <w:color w:val="auto"/>
                <w:w w:val="87"/>
              </w:rPr>
              <w:t>or registered assigns,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sum of __________________________________________________________ DOLLARS on February 15, 2031.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15 and August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February 1 and August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IN WITNESS WHEREOF, the Issuer has caused this instrument to be duly executed.</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3.750% Senior Notes due 2031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Original Issue Discount Legend, if applicable pursuant to the provisions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jc w:val="both"/>
        <w:ind w:left="660" w:firstLine="644"/>
        <w:spacing w:after="0" w:line="254" w:lineRule="auto"/>
        <w:tabs>
          <w:tab w:leader="none" w:pos="178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2"/>
          <w:szCs w:val="12"/>
          <w:i w:val="1"/>
          <w:iCs w:val="1"/>
          <w:color w:val="auto"/>
        </w:rPr>
        <w:t>NTEREST</w:t>
      </w:r>
      <w:r>
        <w:rPr>
          <w:rFonts w:ascii="Arial" w:cs="Arial" w:eastAsia="Arial" w:hAnsi="Arial"/>
          <w:sz w:val="18"/>
          <w:szCs w:val="18"/>
          <w:color w:val="auto"/>
        </w:rPr>
        <w:t>. Clearway Energy Operating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promises to pay interest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this Note at 3.750% per annum from ________________, ___ until maturity. The Company shall pay interest semi-annually in arrears on February 15 and August 15 of each year, or if any such day is not a Business Day, on the next succeeding Business Day (each, an “</w:t>
      </w:r>
      <w:r>
        <w:rPr>
          <w:rFonts w:ascii="Arial" w:cs="Arial" w:eastAsia="Arial" w:hAnsi="Arial"/>
          <w:sz w:val="18"/>
          <w:szCs w:val="18"/>
          <w:i w:val="1"/>
          <w:iCs w:val="1"/>
          <w:color w:val="auto"/>
        </w:rPr>
        <w:t>Interest Payment Date</w:t>
      </w:r>
      <w:r>
        <w:rPr>
          <w:rFonts w:ascii="Arial" w:cs="Arial" w:eastAsia="Arial" w:hAnsi="Arial"/>
          <w:sz w:val="18"/>
          <w:szCs w:val="18"/>
          <w:color w:val="auto"/>
        </w:rPr>
        <w:t xml:space="preserve">”). Interest on the Notes will accrue from the most recent date to which interest has been paid or, if no interest has been paid, from the date of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first Interest Payment Date shall be _________. Interest will be computed on the basis of a 360-day year of twelve 30-day months.</w:t>
      </w:r>
    </w:p>
    <w:p>
      <w:pPr>
        <w:spacing w:after="0" w:line="191" w:lineRule="exact"/>
        <w:rPr>
          <w:rFonts w:ascii="Arial" w:cs="Arial" w:eastAsia="Arial" w:hAnsi="Arial"/>
          <w:sz w:val="18"/>
          <w:szCs w:val="18"/>
          <w:color w:val="auto"/>
        </w:rPr>
      </w:pPr>
    </w:p>
    <w:p>
      <w:pPr>
        <w:jc w:val="both"/>
        <w:ind w:left="660" w:firstLine="644"/>
        <w:spacing w:after="0" w:line="270" w:lineRule="auto"/>
        <w:tabs>
          <w:tab w:leader="none" w:pos="178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M</w:t>
      </w:r>
      <w:r>
        <w:rPr>
          <w:rFonts w:ascii="Arial" w:cs="Arial" w:eastAsia="Arial" w:hAnsi="Arial"/>
          <w:sz w:val="11"/>
          <w:szCs w:val="11"/>
          <w:i w:val="1"/>
          <w:iCs w:val="1"/>
          <w:color w:val="auto"/>
        </w:rPr>
        <w:t>ETHOD OF</w:t>
      </w:r>
      <w:r>
        <w:rPr>
          <w:rFonts w:ascii="Arial" w:cs="Arial" w:eastAsia="Arial" w:hAnsi="Arial"/>
          <w:sz w:val="17"/>
          <w:szCs w:val="17"/>
          <w:i w:val="1"/>
          <w:iCs w:val="1"/>
          <w:color w:val="auto"/>
        </w:rPr>
        <w:t xml:space="preserve"> P</w:t>
      </w:r>
      <w:r>
        <w:rPr>
          <w:rFonts w:ascii="Arial" w:cs="Arial" w:eastAsia="Arial" w:hAnsi="Arial"/>
          <w:sz w:val="11"/>
          <w:szCs w:val="11"/>
          <w:i w:val="1"/>
          <w:iCs w:val="1"/>
          <w:color w:val="auto"/>
        </w:rPr>
        <w:t>AYMENT</w:t>
      </w:r>
      <w:r>
        <w:rPr>
          <w:rFonts w:ascii="Arial" w:cs="Arial" w:eastAsia="Arial" w:hAnsi="Arial"/>
          <w:sz w:val="17"/>
          <w:szCs w:val="17"/>
          <w:color w:val="auto"/>
        </w:rPr>
        <w:t>. The Company shall pay interest on the Notes (except defaulted interest) to the Persons who are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Notes at the close of business on the February 1 and August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788"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EGISTRAR</w:t>
      </w:r>
      <w:r>
        <w:rPr>
          <w:rFonts w:ascii="Arial" w:cs="Arial" w:eastAsia="Arial" w:hAnsi="Arial"/>
          <w:sz w:val="18"/>
          <w:szCs w:val="18"/>
          <w:color w:val="auto"/>
        </w:rPr>
        <w:t>. Initially, Delaware Trust Company,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the Paying Agent or Registrar without prior notice to the Holders of the Notes. The Company or any of its Subsidiaries or parent entities may act as Paying Agent or Registrar.</w:t>
      </w:r>
    </w:p>
    <w:p>
      <w:pPr>
        <w:spacing w:after="0" w:line="183" w:lineRule="exact"/>
        <w:rPr>
          <w:rFonts w:ascii="Arial" w:cs="Arial" w:eastAsia="Arial" w:hAnsi="Arial"/>
          <w:sz w:val="18"/>
          <w:szCs w:val="18"/>
          <w:color w:val="auto"/>
        </w:rPr>
      </w:pPr>
    </w:p>
    <w:p>
      <w:pPr>
        <w:jc w:val="both"/>
        <w:ind w:left="660" w:firstLine="644"/>
        <w:spacing w:after="0" w:line="275" w:lineRule="auto"/>
        <w:tabs>
          <w:tab w:leader="none" w:pos="178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1"/>
          <w:szCs w:val="11"/>
          <w:i w:val="1"/>
          <w:iCs w:val="1"/>
          <w:color w:val="auto"/>
        </w:rPr>
        <w:t>NDENTURE</w:t>
      </w:r>
      <w:r>
        <w:rPr>
          <w:rFonts w:ascii="Arial" w:cs="Arial" w:eastAsia="Arial" w:hAnsi="Arial"/>
          <w:sz w:val="17"/>
          <w:szCs w:val="17"/>
          <w:color w:val="auto"/>
        </w:rPr>
        <w:t>. The Company issued the Notes under an Indenture dated as of March 9, 2021 (the “</w:t>
      </w:r>
      <w:r>
        <w:rPr>
          <w:rFonts w:ascii="Arial" w:cs="Arial" w:eastAsia="Arial" w:hAnsi="Arial"/>
          <w:sz w:val="17"/>
          <w:szCs w:val="17"/>
          <w:i w:val="1"/>
          <w:iCs w:val="1"/>
          <w:color w:val="auto"/>
        </w:rPr>
        <w:t>Indenture</w:t>
      </w:r>
      <w:r>
        <w:rPr>
          <w:rFonts w:ascii="Arial" w:cs="Arial" w:eastAsia="Arial" w:hAnsi="Arial"/>
          <w:sz w:val="17"/>
          <w:szCs w:val="17"/>
          <w:color w:val="auto"/>
        </w:rPr>
        <w:t>”) among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1080" w:hanging="436"/>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O</w:t>
      </w:r>
      <w:r>
        <w:rPr>
          <w:rFonts w:ascii="Arial" w:cs="Arial" w:eastAsia="Arial" w:hAnsi="Arial"/>
          <w:sz w:val="12"/>
          <w:szCs w:val="12"/>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1292"/>
        <w:spacing w:after="0" w:line="257" w:lineRule="auto"/>
        <w:tabs>
          <w:tab w:leader="none" w:pos="171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At any time prior to February 15, 2024, the Company may on any one or more occasions redeem up to 40% of the aggregate principal amount of the Notes, upon not less than 10 nor more than 60 days’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jc w:val="both"/>
        <w:ind w:left="1300" w:firstLine="640"/>
        <w:spacing w:after="0" w:line="263" w:lineRule="auto"/>
        <w:tabs>
          <w:tab w:leader="none" w:pos="2365"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83" w:lineRule="exact"/>
        <w:rPr>
          <w:rFonts w:ascii="Arial" w:cs="Arial" w:eastAsia="Arial" w:hAnsi="Arial"/>
          <w:sz w:val="18"/>
          <w:szCs w:val="18"/>
          <w:color w:val="auto"/>
        </w:rPr>
      </w:pPr>
    </w:p>
    <w:p>
      <w:pPr>
        <w:ind w:left="2400" w:hanging="460"/>
        <w:spacing w:after="0"/>
        <w:tabs>
          <w:tab w:leader="none" w:pos="240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firstLine="1292"/>
        <w:spacing w:after="0" w:line="259" w:lineRule="auto"/>
        <w:tabs>
          <w:tab w:leader="none" w:pos="172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At any time prior to February 15, 2026,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720" w:hanging="428"/>
        <w:spacing w:after="0"/>
        <w:tabs>
          <w:tab w:leader="none" w:pos="17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February 15, 2026.</w:t>
      </w:r>
    </w:p>
    <w:p>
      <w:pPr>
        <w:spacing w:after="0" w:line="210" w:lineRule="exact"/>
        <w:rPr>
          <w:rFonts w:ascii="Arial" w:cs="Arial" w:eastAsia="Arial" w:hAnsi="Arial"/>
          <w:sz w:val="17"/>
          <w:szCs w:val="17"/>
          <w:color w:val="auto"/>
        </w:rPr>
      </w:pPr>
    </w:p>
    <w:p>
      <w:pPr>
        <w:jc w:val="both"/>
        <w:ind w:firstLine="1292"/>
        <w:spacing w:after="0" w:line="257" w:lineRule="auto"/>
        <w:tabs>
          <w:tab w:leader="none" w:pos="17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On or after February 15, 2026,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February 15 of the years indicated below, subject to the rights of Holders on the relevant record date to receive interest on the relevant interest payment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300" w:type="dxa"/>
            <w:vAlign w:val="bottom"/>
            <w:tcBorders>
              <w:bottom w:val="single" w:sz="8" w:color="CCEEFF"/>
            </w:tcBorders>
          </w:tcPr>
          <w:p>
            <w:pPr>
              <w:spacing w:after="0"/>
              <w:rPr>
                <w:sz w:val="20"/>
                <w:szCs w:val="20"/>
                <w:color w:val="auto"/>
              </w:rPr>
            </w:pPr>
          </w:p>
        </w:tc>
        <w:tc>
          <w:tcPr>
            <w:tcW w:w="472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101.875%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8"/>
                <w:szCs w:val="18"/>
                <w:color w:val="auto"/>
              </w:rPr>
            </w:pPr>
          </w:p>
        </w:tc>
        <w:tc>
          <w:tcPr>
            <w:tcW w:w="4880" w:type="dxa"/>
            <w:vAlign w:val="bottom"/>
            <w:gridSpan w:val="2"/>
          </w:tcPr>
          <w:p>
            <w:pPr>
              <w:jc w:val="right"/>
              <w:ind w:right="20"/>
              <w:spacing w:after="0"/>
              <w:rPr>
                <w:sz w:val="20"/>
                <w:szCs w:val="20"/>
                <w:color w:val="auto"/>
              </w:rPr>
            </w:pPr>
            <w:r>
              <w:rPr>
                <w:rFonts w:ascii="Arial" w:cs="Arial" w:eastAsia="Arial" w:hAnsi="Arial"/>
                <w:sz w:val="18"/>
                <w:szCs w:val="18"/>
                <w:color w:val="auto"/>
              </w:rPr>
              <w:t>101.250%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100.625%</w:t>
            </w: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2029 and thereafter</w:t>
            </w:r>
          </w:p>
        </w:tc>
        <w:tc>
          <w:tcPr>
            <w:tcW w:w="48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720" w:hanging="428"/>
        <w:spacing w:after="0"/>
        <w:tabs>
          <w:tab w:leader="none" w:pos="17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redemption pursuant to this Section 5 shall be made pursuant to the provisions of Sections 3.01 through 3.06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1292"/>
        <w:spacing w:after="0" w:line="277" w:lineRule="auto"/>
        <w:tabs>
          <w:tab w:leader="none" w:pos="17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ind w:left="1100" w:hanging="456"/>
        <w:spacing w:after="0"/>
        <w:tabs>
          <w:tab w:leader="none" w:pos="110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1"/>
          <w:szCs w:val="11"/>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00" w:lineRule="exact"/>
        <w:rPr>
          <w:sz w:val="20"/>
          <w:szCs w:val="20"/>
          <w:color w:val="auto"/>
        </w:rPr>
      </w:pPr>
    </w:p>
    <w:p>
      <w:pPr>
        <w:spacing w:after="0" w:line="2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5" w:name="page86"/>
    <w:bookmarkEnd w:id="85"/>
    <w:p>
      <w:pPr>
        <w:ind w:left="1100" w:hanging="456"/>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2"/>
          <w:szCs w:val="12"/>
          <w:i w:val="1"/>
          <w:iCs w:val="1"/>
          <w:color w:val="auto"/>
        </w:rPr>
        <w:t>OLDER</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1292"/>
        <w:spacing w:after="0" w:line="293" w:lineRule="auto"/>
        <w:tabs>
          <w:tab w:leader="none" w:pos="158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Upon the occurrence of a Change of Control Triggering Event, the Company will make an offer (a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Offer</w:t>
      </w:r>
      <w:r>
        <w:rPr>
          <w:rFonts w:ascii="Arial" w:cs="Arial" w:eastAsia="Arial" w:hAnsi="Arial"/>
          <w:sz w:val="16"/>
          <w:szCs w:val="16"/>
          <w:color w:val="auto"/>
        </w:rPr>
        <w:t>”) to each Holder to repurchase all or any part (equal to $2,000 or an integral multiple of $1,000 in excess of $2,000) of that Holder’s Notes</w:t>
      </w:r>
      <w:r>
        <w:rPr>
          <w:rFonts w:ascii="Arial" w:cs="Arial" w:eastAsia="Arial" w:hAnsi="Arial"/>
          <w:sz w:val="16"/>
          <w:szCs w:val="16"/>
          <w:i w:val="1"/>
          <w:iCs w:val="1"/>
          <w:color w:val="auto"/>
        </w:rPr>
        <w:t xml:space="preserve"> </w:t>
      </w:r>
      <w:r>
        <w:rPr>
          <w:rFonts w:ascii="Arial" w:cs="Arial" w:eastAsia="Arial" w:hAnsi="Arial"/>
          <w:sz w:val="16"/>
          <w:szCs w:val="16"/>
          <w:color w:val="auto"/>
        </w:rPr>
        <w:t>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the Company will mail (or deliver electronically) a notice to each Holder setting forth the procedures governing the Change of Control Offer as required by the Indenture.</w:t>
      </w:r>
    </w:p>
    <w:p>
      <w:pPr>
        <w:spacing w:after="0" w:line="164" w:lineRule="exact"/>
        <w:rPr>
          <w:rFonts w:ascii="Arial" w:cs="Arial" w:eastAsia="Arial" w:hAnsi="Arial"/>
          <w:sz w:val="16"/>
          <w:szCs w:val="16"/>
          <w:color w:val="auto"/>
        </w:rPr>
      </w:pPr>
    </w:p>
    <w:p>
      <w:pPr>
        <w:ind w:left="1100" w:hanging="456"/>
        <w:spacing w:after="0"/>
        <w:tabs>
          <w:tab w:leader="none" w:pos="110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1"/>
          <w:szCs w:val="11"/>
          <w:i w:val="1"/>
          <w:iCs w:val="1"/>
          <w:color w:val="auto"/>
        </w:rPr>
        <w:t>OTICE OF</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color w:val="auto"/>
        </w:rPr>
        <w:t>. At least 10 days but not more than 60 days before a redemption date, the Company shall mail or cause to be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78" w:lineRule="exact"/>
        <w:rPr>
          <w:sz w:val="20"/>
          <w:szCs w:val="20"/>
          <w:color w:val="auto"/>
        </w:rPr>
      </w:pPr>
    </w:p>
    <w:p>
      <w:pPr>
        <w:jc w:val="both"/>
        <w:ind w:firstLine="644"/>
        <w:spacing w:after="0" w:line="272" w:lineRule="auto"/>
        <w:tabs>
          <w:tab w:leader="none" w:pos="1105"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1"/>
          <w:szCs w:val="11"/>
          <w:i w:val="1"/>
          <w:iCs w:val="1"/>
          <w:color w:val="auto"/>
        </w:rPr>
        <w:t>ENOMINATIONS</w:t>
      </w:r>
      <w:r>
        <w:rPr>
          <w:rFonts w:ascii="Arial" w:cs="Arial" w:eastAsia="Arial" w:hAnsi="Arial"/>
          <w:sz w:val="17"/>
          <w:szCs w:val="17"/>
          <w:i w:val="1"/>
          <w:iCs w:val="1"/>
          <w:color w:val="auto"/>
        </w:rPr>
        <w:t>, T</w:t>
      </w:r>
      <w:r>
        <w:rPr>
          <w:rFonts w:ascii="Arial" w:cs="Arial" w:eastAsia="Arial" w:hAnsi="Arial"/>
          <w:sz w:val="11"/>
          <w:szCs w:val="11"/>
          <w:i w:val="1"/>
          <w:iCs w:val="1"/>
          <w:color w:val="auto"/>
        </w:rPr>
        <w:t>RANSFER</w:t>
      </w:r>
      <w:r>
        <w:rPr>
          <w:rFonts w:ascii="Arial" w:cs="Arial" w:eastAsia="Arial" w:hAnsi="Arial"/>
          <w:sz w:val="17"/>
          <w:szCs w:val="17"/>
          <w:i w:val="1"/>
          <w:iCs w:val="1"/>
          <w:color w:val="auto"/>
        </w:rPr>
        <w:t>, E</w:t>
      </w:r>
      <w:r>
        <w:rPr>
          <w:rFonts w:ascii="Arial" w:cs="Arial" w:eastAsia="Arial" w:hAnsi="Arial"/>
          <w:sz w:val="11"/>
          <w:szCs w:val="11"/>
          <w:i w:val="1"/>
          <w:iCs w:val="1"/>
          <w:color w:val="auto"/>
        </w:rPr>
        <w:t>XCHANGE</w:t>
      </w:r>
      <w:r>
        <w:rPr>
          <w:rFonts w:ascii="Arial" w:cs="Arial" w:eastAsia="Arial" w:hAnsi="Arial"/>
          <w:sz w:val="17"/>
          <w:szCs w:val="17"/>
          <w:color w:val="auto"/>
        </w:rPr>
        <w:t>. The Notes are in registered form without coupons in denominations of $2,000 and integral</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spacing w:after="0" w:line="177" w:lineRule="exact"/>
        <w:rPr>
          <w:rFonts w:ascii="Arial" w:cs="Arial" w:eastAsia="Arial" w:hAnsi="Arial"/>
          <w:sz w:val="17"/>
          <w:szCs w:val="17"/>
          <w:color w:val="auto"/>
        </w:rPr>
      </w:pPr>
    </w:p>
    <w:p>
      <w:pPr>
        <w:ind w:firstLine="644"/>
        <w:spacing w:after="0" w:line="277" w:lineRule="auto"/>
        <w:tabs>
          <w:tab w:leader="none" w:pos="115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WNERS</w:t>
      </w:r>
      <w:r>
        <w:rPr>
          <w:rFonts w:ascii="Arial" w:cs="Arial" w:eastAsia="Arial" w:hAnsi="Arial"/>
          <w:sz w:val="18"/>
          <w:szCs w:val="18"/>
          <w:color w:val="auto"/>
        </w:rPr>
        <w:t>. The registered Holder of a Note may be treated as the owner of it for all purposes. Only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have rights under the Indenture.</w:t>
      </w:r>
    </w:p>
    <w:p>
      <w:pPr>
        <w:spacing w:after="0" w:line="170" w:lineRule="exact"/>
        <w:rPr>
          <w:rFonts w:ascii="Arial" w:cs="Arial" w:eastAsia="Arial" w:hAnsi="Arial"/>
          <w:sz w:val="18"/>
          <w:szCs w:val="18"/>
          <w:color w:val="auto"/>
        </w:rPr>
      </w:pPr>
    </w:p>
    <w:p>
      <w:pPr>
        <w:jc w:val="both"/>
        <w:ind w:firstLine="644"/>
        <w:spacing w:after="0" w:line="268" w:lineRule="auto"/>
        <w:tabs>
          <w:tab w:leader="none" w:pos="1143"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1"/>
          <w:szCs w:val="11"/>
          <w:i w:val="1"/>
          <w:iCs w:val="1"/>
          <w:color w:val="auto"/>
        </w:rPr>
        <w:t>MENDMENT</w:t>
      </w:r>
      <w:r>
        <w:rPr>
          <w:rFonts w:ascii="Arial" w:cs="Arial" w:eastAsia="Arial" w:hAnsi="Arial"/>
          <w:sz w:val="17"/>
          <w:szCs w:val="17"/>
          <w:i w:val="1"/>
          <w:iCs w:val="1"/>
          <w:color w:val="auto"/>
        </w:rPr>
        <w:t>, S</w:t>
      </w:r>
      <w:r>
        <w:rPr>
          <w:rFonts w:ascii="Arial" w:cs="Arial" w:eastAsia="Arial" w:hAnsi="Arial"/>
          <w:sz w:val="11"/>
          <w:szCs w:val="11"/>
          <w:i w:val="1"/>
          <w:iCs w:val="1"/>
          <w:color w:val="auto"/>
        </w:rPr>
        <w:t>UPPLEMENT AND</w:t>
      </w:r>
      <w:r>
        <w:rPr>
          <w:rFonts w:ascii="Arial" w:cs="Arial" w:eastAsia="Arial" w:hAnsi="Arial"/>
          <w:sz w:val="17"/>
          <w:szCs w:val="17"/>
          <w:i w:val="1"/>
          <w:iCs w:val="1"/>
          <w:color w:val="auto"/>
        </w:rPr>
        <w:t xml:space="preserve"> W</w:t>
      </w:r>
      <w:r>
        <w:rPr>
          <w:rFonts w:ascii="Arial" w:cs="Arial" w:eastAsia="Arial" w:hAnsi="Arial"/>
          <w:sz w:val="11"/>
          <w:szCs w:val="11"/>
          <w:i w:val="1"/>
          <w:iCs w:val="1"/>
          <w:color w:val="auto"/>
        </w:rPr>
        <w:t>AIVER</w:t>
      </w:r>
      <w:r>
        <w:rPr>
          <w:rFonts w:ascii="Arial" w:cs="Arial" w:eastAsia="Arial" w:hAnsi="Arial"/>
          <w:sz w:val="17"/>
          <w:szCs w:val="17"/>
          <w:color w:val="auto"/>
        </w:rPr>
        <w:t>. Subject to certain exceptions, the Indenture, the Notes or the Guarantees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6" w:name="page87"/>
    <w:bookmarkEnd w:id="86"/>
    <w:p>
      <w:pPr>
        <w:ind w:left="1164" w:hanging="516"/>
        <w:spacing w:after="0"/>
        <w:tabs>
          <w:tab w:leader="none" w:pos="1164" w:val="left"/>
        </w:tabs>
        <w:numPr>
          <w:ilvl w:val="1"/>
          <w:numId w:val="124"/>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1"/>
          <w:szCs w:val="11"/>
          <w:i w:val="1"/>
          <w:iCs w:val="1"/>
          <w:color w:val="auto"/>
        </w:rPr>
        <w:t>EFAULTS AND</w:t>
      </w:r>
      <w:r>
        <w:rPr>
          <w:rFonts w:ascii="Arial" w:cs="Arial" w:eastAsia="Arial" w:hAnsi="Arial"/>
          <w:sz w:val="17"/>
          <w:szCs w:val="17"/>
          <w:i w:val="1"/>
          <w:iCs w:val="1"/>
          <w:color w:val="auto"/>
        </w:rPr>
        <w:t xml:space="preserve"> R</w:t>
      </w:r>
      <w:r>
        <w:rPr>
          <w:rFonts w:ascii="Arial" w:cs="Arial" w:eastAsia="Arial" w:hAnsi="Arial"/>
          <w:sz w:val="11"/>
          <w:szCs w:val="11"/>
          <w:i w:val="1"/>
          <w:iCs w:val="1"/>
          <w:color w:val="auto"/>
        </w:rPr>
        <w:t>EMEDIES</w:t>
      </w:r>
      <w:r>
        <w:rPr>
          <w:rFonts w:ascii="Arial" w:cs="Arial" w:eastAsia="Arial" w:hAnsi="Arial"/>
          <w:sz w:val="17"/>
          <w:szCs w:val="17"/>
          <w:color w:val="auto"/>
        </w:rPr>
        <w:t>. Events of Default include: (i) default for 30 days in the payment when due of interest on, the Notes;</w:t>
      </w:r>
    </w:p>
    <w:p>
      <w:pPr>
        <w:spacing w:after="0" w:line="34" w:lineRule="exact"/>
        <w:rPr>
          <w:rFonts w:ascii="Arial" w:cs="Arial" w:eastAsia="Arial" w:hAnsi="Arial"/>
          <w:sz w:val="17"/>
          <w:szCs w:val="17"/>
          <w:color w:val="auto"/>
        </w:rPr>
      </w:pPr>
    </w:p>
    <w:p>
      <w:pPr>
        <w:jc w:val="both"/>
        <w:ind w:left="4" w:hanging="4"/>
        <w:spacing w:after="0" w:line="281" w:lineRule="auto"/>
        <w:tabs>
          <w:tab w:leader="none" w:pos="28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(1) or (2)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or</w:t>
      </w:r>
    </w:p>
    <w:p>
      <w:pPr>
        <w:spacing w:after="0" w:line="4" w:lineRule="exact"/>
        <w:rPr>
          <w:rFonts w:ascii="Arial" w:cs="Arial" w:eastAsia="Arial" w:hAnsi="Arial"/>
          <w:sz w:val="16"/>
          <w:szCs w:val="16"/>
          <w:color w:val="auto"/>
        </w:rPr>
      </w:pPr>
    </w:p>
    <w:p>
      <w:pPr>
        <w:jc w:val="both"/>
        <w:ind w:left="4"/>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$100.0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apply</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2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 the Company or any Guarantor of the Company that, if a Subsidiary of the Company, would constitute a Significant Subsidiary or any group of Guarantors of the Company that, if Subsidiaries of the Company, taken together, would constitute a Significant Subsidiary:</w:t>
      </w:r>
    </w:p>
    <w:p>
      <w:pPr>
        <w:spacing w:after="0" w:line="5" w:lineRule="exact"/>
        <w:rPr>
          <w:rFonts w:ascii="Arial" w:cs="Arial" w:eastAsia="Arial" w:hAnsi="Arial"/>
          <w:sz w:val="16"/>
          <w:szCs w:val="16"/>
          <w:color w:val="auto"/>
        </w:rPr>
      </w:pPr>
    </w:p>
    <w:p>
      <w:pPr>
        <w:jc w:val="both"/>
        <w:ind w:left="4"/>
        <w:spacing w:after="0" w:line="281" w:lineRule="auto"/>
        <w:rPr>
          <w:rFonts w:ascii="Arial" w:cs="Arial" w:eastAsia="Arial" w:hAnsi="Arial"/>
          <w:sz w:val="16"/>
          <w:szCs w:val="16"/>
          <w:color w:val="auto"/>
        </w:rPr>
      </w:pPr>
      <w:r>
        <w:rPr>
          <w:rFonts w:ascii="Arial" w:cs="Arial" w:eastAsia="Arial" w:hAnsi="Arial"/>
          <w:sz w:val="16"/>
          <w:szCs w:val="16"/>
          <w:color w:val="auto"/>
        </w:rPr>
        <w:t>(A)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w:t>
      </w:r>
    </w:p>
    <w:p>
      <w:pPr>
        <w:spacing w:after="0" w:line="2" w:lineRule="exact"/>
        <w:rPr>
          <w:rFonts w:ascii="Arial" w:cs="Arial" w:eastAsia="Arial" w:hAnsi="Arial"/>
          <w:sz w:val="16"/>
          <w:szCs w:val="16"/>
          <w:color w:val="auto"/>
        </w:rPr>
      </w:pPr>
    </w:p>
    <w:p>
      <w:pPr>
        <w:jc w:val="both"/>
        <w:ind w:left="4"/>
        <w:spacing w:after="0" w:line="252" w:lineRule="auto"/>
        <w:rPr>
          <w:rFonts w:ascii="Arial" w:cs="Arial" w:eastAsia="Arial" w:hAnsi="Arial"/>
          <w:sz w:val="16"/>
          <w:szCs w:val="16"/>
          <w:color w:val="auto"/>
        </w:rPr>
      </w:pPr>
      <w:r>
        <w:rPr>
          <w:rFonts w:ascii="Arial" w:cs="Arial" w:eastAsia="Arial" w:hAnsi="Arial"/>
          <w:sz w:val="18"/>
          <w:szCs w:val="18"/>
          <w:color w:val="auto"/>
        </w:rPr>
        <w:t>(B)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200" w:lineRule="exact"/>
        <w:rPr>
          <w:sz w:val="20"/>
          <w:szCs w:val="20"/>
          <w:color w:val="auto"/>
        </w:rPr>
      </w:pPr>
    </w:p>
    <w:p>
      <w:pPr>
        <w:spacing w:after="0" w:line="210"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7" w:name="page88"/>
    <w:bookmarkEnd w:id="87"/>
    <w:p>
      <w:pPr>
        <w:jc w:val="both"/>
        <w:ind w:left="660" w:firstLine="644"/>
        <w:spacing w:after="0" w:line="257"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T</w:t>
      </w:r>
      <w:r>
        <w:rPr>
          <w:rFonts w:ascii="Arial" w:cs="Arial" w:eastAsia="Arial" w:hAnsi="Arial"/>
          <w:sz w:val="12"/>
          <w:szCs w:val="12"/>
          <w:i w:val="1"/>
          <w:iCs w:val="1"/>
          <w:color w:val="auto"/>
        </w:rPr>
        <w:t>RUSTEE</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EALINGS WITH</w:t>
      </w:r>
      <w:r>
        <w:rPr>
          <w:rFonts w:ascii="Arial" w:cs="Arial" w:eastAsia="Arial" w:hAnsi="Arial"/>
          <w:sz w:val="18"/>
          <w:szCs w:val="18"/>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8"/>
          <w:szCs w:val="18"/>
          <w:color w:val="auto"/>
        </w:rPr>
        <w:t>. The Trustee, in its individual or any other capacity, may make loans to, accept deposits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7" w:lineRule="exact"/>
        <w:rPr>
          <w:rFonts w:ascii="Arial" w:cs="Arial" w:eastAsia="Arial" w:hAnsi="Arial"/>
          <w:sz w:val="18"/>
          <w:szCs w:val="18"/>
          <w:color w:val="auto"/>
        </w:rPr>
      </w:pPr>
    </w:p>
    <w:p>
      <w:pPr>
        <w:jc w:val="both"/>
        <w:ind w:left="660" w:firstLine="644"/>
        <w:spacing w:after="0" w:line="257"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THERS</w:t>
      </w:r>
      <w:r>
        <w:rPr>
          <w:rFonts w:ascii="Arial" w:cs="Arial" w:eastAsia="Arial" w:hAnsi="Arial"/>
          <w:sz w:val="18"/>
          <w:szCs w:val="18"/>
          <w:color w:val="auto"/>
        </w:rPr>
        <w:t>. No director, officer, employee, incorporator or stockholder of the Company or any Guarantor,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1"/>
          <w:szCs w:val="11"/>
          <w:i w:val="1"/>
          <w:iCs w:val="1"/>
          <w:color w:val="auto"/>
        </w:rPr>
        <w:t>UTHENTICATION</w:t>
      </w:r>
      <w:r>
        <w:rPr>
          <w:rFonts w:ascii="Arial" w:cs="Arial" w:eastAsia="Arial" w:hAnsi="Arial"/>
          <w:sz w:val="16"/>
          <w:szCs w:val="16"/>
          <w:color w:val="auto"/>
        </w:rPr>
        <w:t>. This Note will not be valid until authenticated by the manual signature of the Trustee or an authenticating agent.</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jc w:val="both"/>
        <w:ind w:left="660" w:firstLine="644"/>
        <w:spacing w:after="0" w:line="279" w:lineRule="auto"/>
        <w:tabs>
          <w:tab w:leader="none" w:pos="1833"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CUSIP N</w:t>
      </w:r>
      <w:r>
        <w:rPr>
          <w:rFonts w:ascii="Arial" w:cs="Arial" w:eastAsia="Arial" w:hAnsi="Arial"/>
          <w:sz w:val="11"/>
          <w:szCs w:val="11"/>
          <w:i w:val="1"/>
          <w:iCs w:val="1"/>
          <w:color w:val="auto"/>
        </w:rPr>
        <w:t>UMBERS</w:t>
      </w:r>
      <w:r>
        <w:rPr>
          <w:rFonts w:ascii="Arial" w:cs="Arial" w:eastAsia="Arial" w:hAnsi="Arial"/>
          <w:sz w:val="17"/>
          <w:szCs w:val="17"/>
          <w:color w:val="auto"/>
        </w:rPr>
        <w:t>. Pursuant to a recommendation promulgated by the Committee on Uniform Security Identification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833"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shall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50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w:t>
      </w:r>
      <w:r>
        <w:rPr>
          <w:rFonts w:ascii="Arial" w:cs="Arial" w:eastAsia="Arial" w:hAnsi="Arial"/>
          <w:sz w:val="18"/>
          <w:szCs w:val="18"/>
          <w:color w:val="auto"/>
        </w:rPr>
        <w:t xml:space="preserve"> F</w:t>
      </w:r>
      <w:r>
        <w:rPr>
          <w:rFonts w:ascii="Arial" w:cs="Arial" w:eastAsia="Arial" w:hAnsi="Arial"/>
          <w:sz w:val="12"/>
          <w:szCs w:val="12"/>
          <w:color w:val="auto"/>
        </w:rPr>
        <w:t>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280" w:hanging="218"/>
        <w:spacing w:after="0"/>
        <w:tabs>
          <w:tab w:leader="none" w:pos="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or (we) assign and transfer this Note</w:t>
      </w:r>
    </w:p>
    <w:p>
      <w:pPr>
        <w:spacing w:after="0" w:line="2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-1905</wp:posOffset>
            </wp:positionV>
            <wp:extent cx="51860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irrevocably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60604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right"/>
        <w:ind w:right="39"/>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25" w:lineRule="exact"/>
        <w:rPr>
          <w:sz w:val="20"/>
          <w:szCs w:val="20"/>
          <w:color w:val="auto"/>
        </w:rPr>
      </w:pPr>
    </w:p>
    <w:p>
      <w:pPr>
        <w:ind w:left="5440" w:right="539" w:hanging="5432"/>
        <w:spacing w:after="0" w:line="778" w:lineRule="auto"/>
        <w:tabs>
          <w:tab w:leader="none" w:pos="65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Option of Holder to Elect Purchase</w:t>
      </w:r>
    </w:p>
    <w:p>
      <w:pPr>
        <w:spacing w:after="0" w:line="19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Note purchased by the Company pursuant to Section 4.09 of the Indenture, check here: </w:t>
      </w:r>
      <w:r>
        <w:rPr>
          <w:rFonts w:ascii="MS PGothic" w:cs="MS PGothic" w:eastAsia="MS PGothic" w:hAnsi="MS PGothic"/>
          <w:sz w:val="18"/>
          <w:szCs w:val="18"/>
          <w:color w:val="auto"/>
        </w:rPr>
        <w:t>☐</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4.09 of the Indenture, state the amount you elect to have purchased:</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576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280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w:t>
      </w:r>
    </w:p>
    <w:p>
      <w:pPr>
        <w:spacing w:after="0" w:line="225" w:lineRule="exact"/>
        <w:rPr>
          <w:sz w:val="20"/>
          <w:szCs w:val="20"/>
          <w:color w:val="auto"/>
        </w:rPr>
      </w:pPr>
    </w:p>
    <w:p>
      <w:pPr>
        <w:ind w:left="5440" w:right="1620" w:hanging="5432"/>
        <w:spacing w:after="0" w:line="778" w:lineRule="auto"/>
        <w:tabs>
          <w:tab w:leader="none" w:pos="65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 OF</w:t>
      </w:r>
      <w:r>
        <w:rPr>
          <w:rFonts w:ascii="Arial" w:cs="Arial" w:eastAsia="Arial" w:hAnsi="Arial"/>
          <w:sz w:val="18"/>
          <w:szCs w:val="18"/>
          <w:color w:val="auto"/>
        </w:rPr>
        <w:t xml:space="preserve"> E</w:t>
      </w:r>
      <w:r>
        <w:rPr>
          <w:rFonts w:ascii="Arial" w:cs="Arial" w:eastAsia="Arial" w:hAnsi="Arial"/>
          <w:sz w:val="12"/>
          <w:szCs w:val="12"/>
          <w:color w:val="auto"/>
        </w:rPr>
        <w:t>XCHANGES OF</w:t>
      </w:r>
      <w:r>
        <w:rPr>
          <w:rFonts w:ascii="Arial" w:cs="Arial" w:eastAsia="Arial" w:hAnsi="Arial"/>
          <w:sz w:val="18"/>
          <w:szCs w:val="18"/>
          <w:color w:val="auto"/>
        </w:rPr>
        <w:t xml:space="preserve"> I</w:t>
      </w:r>
      <w:r>
        <w:rPr>
          <w:rFonts w:ascii="Arial" w:cs="Arial" w:eastAsia="Arial" w:hAnsi="Arial"/>
          <w:sz w:val="12"/>
          <w:szCs w:val="12"/>
          <w:color w:val="auto"/>
        </w:rPr>
        <w:t>NTERESTS IN THE</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N</w:t>
      </w:r>
      <w:r>
        <w:rPr>
          <w:rFonts w:ascii="Arial" w:cs="Arial" w:eastAsia="Arial" w:hAnsi="Arial"/>
          <w:sz w:val="12"/>
          <w:szCs w:val="12"/>
          <w:color w:val="auto"/>
        </w:rPr>
        <w:t>OTE</w:t>
      </w:r>
      <w:r>
        <w:rPr>
          <w:rFonts w:ascii="Arial" w:cs="Arial" w:eastAsia="Arial" w:hAnsi="Arial"/>
          <w:sz w:val="18"/>
          <w:szCs w:val="18"/>
          <w:color w:val="auto"/>
        </w:rPr>
        <w:t xml:space="preserve"> *</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Amount of</w:t>
            </w: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Amount of</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Principal Amount</w:t>
            </w: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decrease in</w:t>
            </w: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increase in</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 this Global Note</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Principal Amount</w:t>
            </w:r>
          </w:p>
        </w:tc>
        <w:tc>
          <w:tcPr>
            <w:tcW w:w="22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Amount</w:t>
            </w: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following such</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decrease</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of Trustee or</w:t>
            </w:r>
          </w:p>
        </w:tc>
      </w:tr>
      <w:tr>
        <w:trPr>
          <w:trHeight w:val="230"/>
        </w:trPr>
        <w:tc>
          <w:tcPr>
            <w:tcW w:w="2260" w:type="dxa"/>
            <w:vAlign w:val="bottom"/>
            <w:gridSpan w:val="2"/>
          </w:tcPr>
          <w:p>
            <w:pPr>
              <w:ind w:left="380"/>
              <w:spacing w:after="0"/>
              <w:rPr>
                <w:sz w:val="20"/>
                <w:szCs w:val="20"/>
                <w:color w:val="auto"/>
              </w:rPr>
            </w:pPr>
            <w:r>
              <w:rPr>
                <w:rFonts w:ascii="Arial" w:cs="Arial" w:eastAsia="Arial" w:hAnsi="Arial"/>
                <w:sz w:val="18"/>
                <w:szCs w:val="18"/>
                <w:color w:val="auto"/>
              </w:rPr>
              <w:t>Date of Exchange</w:t>
            </w: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this Global Note</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this Global Note</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(or increase)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Custodian</w:t>
            </w:r>
          </w:p>
        </w:tc>
      </w:tr>
      <w:tr>
        <w:trPr>
          <w:trHeight w:val="210"/>
        </w:trPr>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440" w:right="5440" w:hanging="5432"/>
        <w:spacing w:after="0" w:line="905" w:lineRule="auto"/>
        <w:tabs>
          <w:tab w:leader="none" w:pos="333"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This schedule should be included only if the Note is issued in global form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March 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of $___________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to ___________________________ (the “</w:t>
      </w:r>
      <w:r>
        <w:rPr>
          <w:rFonts w:ascii="Arial" w:cs="Arial" w:eastAsia="Arial" w:hAnsi="Arial"/>
          <w:sz w:val="17"/>
          <w:szCs w:val="17"/>
          <w:i w:val="1"/>
          <w:iCs w:val="1"/>
          <w:color w:val="auto"/>
        </w:rPr>
        <w:t>Transferee</w:t>
      </w:r>
      <w:r>
        <w:rPr>
          <w:rFonts w:ascii="Arial" w:cs="Arial" w:eastAsia="Arial" w:hAnsi="Arial"/>
          <w:sz w:val="17"/>
          <w:szCs w:val="17"/>
          <w:color w:val="auto"/>
        </w:rPr>
        <w:t>”), as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jc w:val="both"/>
        <w:ind w:firstLine="656"/>
        <w:spacing w:after="0" w:line="221" w:lineRule="exact"/>
        <w:tabs>
          <w:tab w:leader="none" w:pos="841" w:val="left"/>
        </w:tabs>
        <w:numPr>
          <w:ilvl w:val="1"/>
          <w:numId w:val="13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jc w:val="both"/>
        <w:ind w:firstLine="656"/>
        <w:spacing w:after="0" w:line="223" w:lineRule="exact"/>
        <w:tabs>
          <w:tab w:leader="none" w:pos="855" w:val="left"/>
        </w:tabs>
        <w:numPr>
          <w:ilvl w:val="1"/>
          <w:numId w:val="13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w:t>
      </w:r>
    </w:p>
    <w:p>
      <w:pPr>
        <w:spacing w:after="0" w:line="2" w:lineRule="exact"/>
        <w:rPr>
          <w:rFonts w:ascii="Arial" w:cs="Arial" w:eastAsia="Arial" w:hAnsi="Arial"/>
          <w:sz w:val="16"/>
          <w:szCs w:val="16"/>
          <w:color w:val="auto"/>
        </w:rPr>
      </w:pPr>
    </w:p>
    <w:p>
      <w:pPr>
        <w:jc w:val="both"/>
        <w:ind w:firstLine="8"/>
        <w:spacing w:after="0" w:line="253" w:lineRule="auto"/>
        <w:tabs>
          <w:tab w:leader="none" w:pos="3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56"/>
        <w:spacing w:after="0" w:line="226" w:lineRule="exact"/>
        <w:tabs>
          <w:tab w:leader="none" w:pos="841" w:val="left"/>
        </w:tabs>
        <w:numPr>
          <w:ilvl w:val="0"/>
          <w:numId w:val="1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IAI Global Note or a Restricted Definitive Note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pursuant to any provision of the Securities Act other than Rule 144A or Regulation S</w:t>
      </w:r>
      <w:r>
        <w:rPr>
          <w:rFonts w:ascii="Arial" w:cs="Arial" w:eastAsia="Arial" w:hAnsi="Arial"/>
          <w:sz w:val="18"/>
          <w:szCs w:val="18"/>
          <w:color w:val="auto"/>
        </w:rPr>
        <w:t>. The Transfer is being effected in compliance with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0" w:lineRule="exact"/>
        <w:rPr>
          <w:rFonts w:ascii="Arial" w:cs="Arial" w:eastAsia="Arial" w:hAnsi="Arial"/>
          <w:sz w:val="18"/>
          <w:szCs w:val="18"/>
          <w:color w:val="auto"/>
        </w:rPr>
      </w:pPr>
    </w:p>
    <w:p>
      <w:pPr>
        <w:ind w:left="1780" w:hanging="476"/>
        <w:spacing w:after="0" w:line="207" w:lineRule="exact"/>
        <w:tabs>
          <w:tab w:leader="none" w:pos="1780" w:val="left"/>
        </w:tabs>
        <w:numPr>
          <w:ilvl w:val="1"/>
          <w:numId w:val="1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ind w:left="5540" w:right="4140" w:hanging="4236"/>
        <w:spacing w:after="0" w:line="347" w:lineRule="exact"/>
        <w:tabs>
          <w:tab w:leader="none" w:pos="1774" w:val="left"/>
        </w:tabs>
        <w:numPr>
          <w:ilvl w:val="0"/>
          <w:numId w:val="1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170" w:lineRule="exact"/>
        <w:rPr>
          <w:rFonts w:ascii="Arial" w:cs="Arial" w:eastAsia="Arial" w:hAnsi="Arial"/>
          <w:sz w:val="18"/>
          <w:szCs w:val="18"/>
          <w:color w:val="auto"/>
        </w:rPr>
      </w:pPr>
    </w:p>
    <w:p>
      <w:pPr>
        <w:ind w:left="660" w:firstLine="644"/>
        <w:spacing w:after="0" w:line="239" w:lineRule="exact"/>
        <w:tabs>
          <w:tab w:leader="none" w:pos="1778" w:val="left"/>
        </w:tabs>
        <w:numPr>
          <w:ilvl w:val="0"/>
          <w:numId w:val="1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left="660" w:firstLine="644"/>
        <w:spacing w:after="0" w:line="220" w:lineRule="exact"/>
        <w:tabs>
          <w:tab w:leader="none" w:pos="1788" w:val="left"/>
        </w:tabs>
        <w:numPr>
          <w:ilvl w:val="1"/>
          <w:numId w:val="13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6" w:lineRule="exact"/>
        <w:rPr>
          <w:rFonts w:ascii="Arial" w:cs="Arial" w:eastAsia="Arial" w:hAnsi="Arial"/>
          <w:sz w:val="17"/>
          <w:szCs w:val="17"/>
          <w:color w:val="auto"/>
        </w:rPr>
      </w:pPr>
    </w:p>
    <w:p>
      <w:pPr>
        <w:ind w:left="840" w:hanging="184"/>
        <w:spacing w:after="0" w:line="184" w:lineRule="exact"/>
        <w:tabs>
          <w:tab w:leader="none" w:pos="840" w:val="left"/>
        </w:tabs>
        <w:numPr>
          <w:ilvl w:val="0"/>
          <w:numId w:val="13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color w:val="auto"/>
        </w:rPr>
        <w:t>.</w:t>
      </w:r>
    </w:p>
    <w:p>
      <w:pPr>
        <w:spacing w:after="0" w:line="248" w:lineRule="exact"/>
        <w:rPr>
          <w:sz w:val="20"/>
          <w:szCs w:val="20"/>
          <w:color w:val="auto"/>
        </w:rPr>
      </w:pPr>
    </w:p>
    <w:p>
      <w:pPr>
        <w:jc w:val="both"/>
        <w:ind w:firstLine="656"/>
        <w:spacing w:after="0" w:line="224" w:lineRule="exact"/>
        <w:tabs>
          <w:tab w:leader="none" w:pos="965" w:val="left"/>
        </w:tabs>
        <w:numPr>
          <w:ilvl w:val="0"/>
          <w:numId w:val="1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3" w:name="page94"/>
    <w:bookmarkEnd w:id="93"/>
    <w:p>
      <w:pPr>
        <w:jc w:val="both"/>
        <w:ind w:left="-20" w:firstLine="656"/>
        <w:spacing w:after="0" w:line="224" w:lineRule="exact"/>
        <w:tabs>
          <w:tab w:leader="none" w:pos="968" w:val="left"/>
        </w:tabs>
        <w:numPr>
          <w:ilvl w:val="0"/>
          <w:numId w:val="1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 903 or</w:t>
      </w:r>
      <w:r>
        <w:rPr>
          <w:rFonts w:ascii="Arial" w:cs="Arial" w:eastAsia="Arial" w:hAnsi="Arial"/>
          <w:sz w:val="18"/>
          <w:szCs w:val="18"/>
          <w:b w:val="1"/>
          <w:bCs w:val="1"/>
          <w:color w:val="auto"/>
        </w:rPr>
        <w:t xml:space="preserve"> </w:t>
      </w:r>
      <w:r>
        <w:rPr>
          <w:rFonts w:ascii="Arial" w:cs="Arial" w:eastAsia="Arial" w:hAnsi="Arial"/>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1" w:lineRule="exact"/>
        <w:rPr>
          <w:rFonts w:ascii="Arial" w:cs="Arial" w:eastAsia="Arial" w:hAnsi="Arial"/>
          <w:sz w:val="18"/>
          <w:szCs w:val="18"/>
          <w:color w:val="auto"/>
        </w:rPr>
      </w:pPr>
    </w:p>
    <w:p>
      <w:pPr>
        <w:jc w:val="both"/>
        <w:ind w:left="-20" w:firstLine="656"/>
        <w:spacing w:after="0" w:line="224" w:lineRule="exact"/>
        <w:tabs>
          <w:tab w:leader="none" w:pos="931" w:val="left"/>
        </w:tabs>
        <w:numPr>
          <w:ilvl w:val="0"/>
          <w:numId w:val="1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w:t>
      </w:r>
      <w:r>
        <w:rPr>
          <w:rFonts w:ascii="Arial" w:cs="Arial" w:eastAsia="Arial" w:hAnsi="Arial"/>
          <w:sz w:val="16"/>
          <w:szCs w:val="16"/>
          <w:color w:val="auto"/>
        </w:rPr>
        <w:t>. (i) The Transfer is being effected pursuant to and in compliance with an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-130175</wp:posOffset>
            </wp:positionV>
            <wp:extent cx="3557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33515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Dated: 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7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1000" w:hanging="344"/>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jc w:val="center"/>
              <w:spacing w:after="0"/>
              <w:rPr>
                <w:sz w:val="20"/>
                <w:szCs w:val="20"/>
                <w:color w:val="auto"/>
              </w:rPr>
            </w:pPr>
            <w:r>
              <w:rPr>
                <w:rFonts w:ascii="Arial" w:cs="Arial" w:eastAsia="Arial" w:hAnsi="Arial"/>
                <w:sz w:val="18"/>
                <w:szCs w:val="18"/>
                <w:color w:val="auto"/>
                <w:w w:val="95"/>
              </w:rPr>
              <w:t>[CHECK ONE OF (a) OR (b)]</w:t>
            </w:r>
          </w:p>
        </w:tc>
      </w:tr>
      <w:tr>
        <w:trPr>
          <w:trHeight w:val="452"/>
        </w:trPr>
        <w:tc>
          <w:tcPr>
            <w:tcW w:w="288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2"/>
        </w:trPr>
        <w:tc>
          <w:tcPr>
            <w:tcW w:w="640" w:type="dxa"/>
            <w:vAlign w:val="bottom"/>
          </w:tcPr>
          <w:p>
            <w:pPr>
              <w:ind w:left="340"/>
              <w:spacing w:after="0"/>
              <w:rPr>
                <w:sz w:val="20"/>
                <w:szCs w:val="20"/>
                <w:color w:val="auto"/>
              </w:rPr>
            </w:pPr>
            <w:r>
              <w:rPr>
                <w:rFonts w:ascii="Arial" w:cs="Arial" w:eastAsia="Arial" w:hAnsi="Arial"/>
                <w:sz w:val="18"/>
                <w:szCs w:val="18"/>
                <w:color w:val="auto"/>
              </w:rPr>
              <w:t>(i)</w:t>
            </w:r>
          </w:p>
        </w:tc>
        <w:tc>
          <w:tcPr>
            <w:tcW w:w="22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144A Global Note (CUSIP</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 or</w:t>
            </w:r>
          </w:p>
        </w:tc>
        <w:tc>
          <w:tcPr>
            <w:tcW w:w="1260" w:type="dxa"/>
            <w:vAlign w:val="bottom"/>
          </w:tcPr>
          <w:p>
            <w:pPr>
              <w:spacing w:after="0"/>
              <w:rPr>
                <w:sz w:val="24"/>
                <w:szCs w:val="24"/>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w:t>
            </w:r>
          </w:p>
        </w:tc>
        <w:tc>
          <w:tcPr>
            <w:tcW w:w="280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Regulation S Global Note (CUSIP</w:t>
            </w:r>
          </w:p>
        </w:tc>
        <w:tc>
          <w:tcPr>
            <w:tcW w:w="420" w:type="dxa"/>
            <w:vAlign w:val="bottom"/>
            <w:tcBorders>
              <w:bottom w:val="single" w:sz="8" w:color="auto"/>
            </w:tcBorders>
          </w:tcPr>
          <w:p>
            <w:pPr>
              <w:spacing w:after="0"/>
              <w:rPr>
                <w:sz w:val="24"/>
                <w:szCs w:val="24"/>
                <w:color w:val="auto"/>
              </w:rPr>
            </w:pPr>
          </w:p>
        </w:tc>
        <w:tc>
          <w:tcPr>
            <w:tcW w:w="1260" w:type="dxa"/>
            <w:vAlign w:val="bottom"/>
          </w:tcPr>
          <w:p>
            <w:pPr>
              <w:jc w:val="center"/>
              <w:ind w:right="870"/>
              <w:spacing w:after="0"/>
              <w:rPr>
                <w:sz w:val="20"/>
                <w:szCs w:val="20"/>
                <w:color w:val="auto"/>
              </w:rPr>
            </w:pPr>
            <w:r>
              <w:rPr>
                <w:rFonts w:ascii="Arial" w:cs="Arial" w:eastAsia="Arial" w:hAnsi="Arial"/>
                <w:sz w:val="18"/>
                <w:szCs w:val="18"/>
                <w:color w:val="auto"/>
                <w:w w:val="93"/>
              </w:rPr>
              <w:t>), or</w:t>
            </w: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(iii)</w:t>
            </w:r>
          </w:p>
        </w:tc>
        <w:tc>
          <w:tcPr>
            <w:tcW w:w="21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IAI Global Note (CUSIP</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rPr>
              <w:t>); or</w:t>
            </w:r>
          </w:p>
        </w:tc>
        <w:tc>
          <w:tcPr>
            <w:tcW w:w="1260" w:type="dxa"/>
            <w:vAlign w:val="bottom"/>
          </w:tcPr>
          <w:p>
            <w:pPr>
              <w:spacing w:after="0"/>
              <w:rPr>
                <w:sz w:val="24"/>
                <w:szCs w:val="24"/>
                <w:color w:val="auto"/>
              </w:rPr>
            </w:pPr>
          </w:p>
        </w:tc>
      </w:tr>
    </w:tbl>
    <w:p>
      <w:pPr>
        <w:spacing w:after="0" w:line="196" w:lineRule="exact"/>
        <w:rPr>
          <w:sz w:val="20"/>
          <w:szCs w:val="20"/>
          <w:color w:val="auto"/>
        </w:rPr>
      </w:pPr>
    </w:p>
    <w:p>
      <w:pPr>
        <w:ind w:left="1920" w:hanging="292"/>
        <w:spacing w:after="0" w:line="207" w:lineRule="exact"/>
        <w:tabs>
          <w:tab w:leader="none" w:pos="1920" w:val="left"/>
        </w:tabs>
        <w:numPr>
          <w:ilvl w:val="1"/>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4"/>
          </w:tcPr>
          <w:p>
            <w:pPr>
              <w:ind w:left="120"/>
              <w:spacing w:after="0"/>
              <w:rPr>
                <w:sz w:val="20"/>
                <w:szCs w:val="20"/>
                <w:color w:val="auto"/>
              </w:rPr>
            </w:pPr>
            <w:r>
              <w:rPr>
                <w:rFonts w:ascii="Arial" w:cs="Arial" w:eastAsia="Arial" w:hAnsi="Arial"/>
                <w:sz w:val="18"/>
                <w:szCs w:val="18"/>
                <w:color w:val="auto"/>
                <w:w w:val="95"/>
              </w:rPr>
              <w:t>[CHECK ONE]</w:t>
            </w:r>
          </w:p>
        </w:tc>
        <w:tc>
          <w:tcPr>
            <w:tcW w:w="0" w:type="dxa"/>
            <w:vAlign w:val="bottom"/>
          </w:tcPr>
          <w:p>
            <w:pPr>
              <w:spacing w:after="0"/>
              <w:rPr>
                <w:sz w:val="1"/>
                <w:szCs w:val="1"/>
                <w:color w:val="auto"/>
              </w:rPr>
            </w:pPr>
          </w:p>
        </w:tc>
      </w:tr>
      <w:tr>
        <w:trPr>
          <w:trHeight w:val="452"/>
        </w:trPr>
        <w:tc>
          <w:tcPr>
            <w:tcW w:w="290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ind w:left="340"/>
              <w:spacing w:after="0"/>
              <w:rPr>
                <w:sz w:val="20"/>
                <w:szCs w:val="20"/>
                <w:color w:val="auto"/>
              </w:rPr>
            </w:pPr>
            <w:r>
              <w:rPr>
                <w:rFonts w:ascii="Arial" w:cs="Arial" w:eastAsia="Arial" w:hAnsi="Arial"/>
                <w:sz w:val="18"/>
                <w:szCs w:val="18"/>
                <w:color w:val="auto"/>
              </w:rPr>
              <w:t>(i)</w:t>
            </w:r>
          </w:p>
        </w:tc>
        <w:tc>
          <w:tcPr>
            <w:tcW w:w="2260" w:type="dxa"/>
            <w:vAlign w:val="bottom"/>
            <w:gridSpan w:val="2"/>
          </w:tcPr>
          <w:p>
            <w:pPr>
              <w:jc w:val="center"/>
              <w:ind w:right="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144A Global Note (CUSIP</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 or</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w:t>
            </w:r>
          </w:p>
        </w:tc>
        <w:tc>
          <w:tcPr>
            <w:tcW w:w="2860" w:type="dxa"/>
            <w:vAlign w:val="bottom"/>
            <w:gridSpan w:val="6"/>
          </w:tcPr>
          <w:p>
            <w:pPr>
              <w:ind w:left="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Regulation S Global Note (CUSIP</w:t>
            </w:r>
          </w:p>
        </w:tc>
        <w:tc>
          <w:tcPr>
            <w:tcW w:w="4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180" w:type="dxa"/>
            <w:vAlign w:val="bottom"/>
            <w:vMerge w:val="restart"/>
          </w:tcPr>
          <w:p>
            <w:pPr>
              <w:jc w:val="center"/>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IAI Global Note (CUSIP</w:t>
            </w:r>
          </w:p>
        </w:tc>
        <w:tc>
          <w:tcPr>
            <w:tcW w:w="8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(iii)</w:t>
            </w:r>
          </w:p>
        </w:tc>
        <w:tc>
          <w:tcPr>
            <w:tcW w:w="2180" w:type="dxa"/>
            <w:vAlign w:val="bottom"/>
            <w:vMerge w:val="continue"/>
          </w:tcPr>
          <w:p>
            <w:pPr>
              <w:spacing w:after="0"/>
              <w:rPr>
                <w:sz w:val="24"/>
                <w:szCs w:val="24"/>
                <w:color w:val="auto"/>
              </w:rPr>
            </w:pPr>
          </w:p>
        </w:tc>
        <w:tc>
          <w:tcPr>
            <w:tcW w:w="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auto"/>
              </w:rPr>
              <w:t>); or</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Pr>
          <w:p>
            <w:pPr>
              <w:ind w:left="340"/>
              <w:spacing w:after="0"/>
              <w:rPr>
                <w:sz w:val="20"/>
                <w:szCs w:val="20"/>
                <w:color w:val="auto"/>
              </w:rPr>
            </w:pPr>
            <w:r>
              <w:rPr>
                <w:rFonts w:ascii="Arial" w:cs="Arial" w:eastAsia="Arial" w:hAnsi="Arial"/>
                <w:sz w:val="18"/>
                <w:szCs w:val="18"/>
                <w:color w:val="auto"/>
              </w:rPr>
              <w:t>(iv)</w:t>
            </w:r>
          </w:p>
        </w:tc>
        <w:tc>
          <w:tcPr>
            <w:tcW w:w="2820" w:type="dxa"/>
            <w:vAlign w:val="bottom"/>
            <w:gridSpan w:val="5"/>
          </w:tcPr>
          <w:p>
            <w:pPr>
              <w:ind w:left="8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Unrestricted Global Note (CUSIP</w:t>
            </w:r>
          </w:p>
        </w:tc>
        <w:tc>
          <w:tcPr>
            <w:tcW w:w="480" w:type="dxa"/>
            <w:vAlign w:val="bottom"/>
            <w:tcBorders>
              <w:bottom w:val="single" w:sz="8" w:color="auto"/>
            </w:tcBorders>
            <w:gridSpan w:val="2"/>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900" w:hanging="272"/>
        <w:spacing w:after="0" w:line="207" w:lineRule="exact"/>
        <w:tabs>
          <w:tab w:leader="none" w:pos="1900" w:val="left"/>
        </w:tabs>
        <w:numPr>
          <w:ilvl w:val="0"/>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ind w:left="1900" w:hanging="272"/>
        <w:spacing w:after="0" w:line="207" w:lineRule="exact"/>
        <w:tabs>
          <w:tab w:leader="none" w:pos="1900" w:val="left"/>
        </w:tabs>
        <w:numPr>
          <w:ilvl w:val="0"/>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2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accordance with the terms of the Indenture.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24"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2031</w:t>
      </w:r>
    </w:p>
    <w:p>
      <w:pPr>
        <w:spacing w:after="0" w:line="225" w:lineRule="exact"/>
        <w:rPr>
          <w:sz w:val="20"/>
          <w:szCs w:val="20"/>
          <w:color w:val="auto"/>
        </w:rPr>
      </w:pPr>
    </w:p>
    <w:p>
      <w:pPr>
        <w:ind w:left="5040"/>
        <w:spacing w:after="0"/>
        <w:tabs>
          <w:tab w:leader="none" w:pos="6080" w:val="left"/>
        </w:tabs>
        <w:rPr>
          <w:sz w:val="20"/>
          <w:szCs w:val="20"/>
          <w:color w:val="auto"/>
        </w:rPr>
      </w:pPr>
      <w:r>
        <w:rPr>
          <w:rFonts w:ascii="Arial" w:cs="Arial" w:eastAsia="Arial" w:hAnsi="Arial"/>
          <w:sz w:val="18"/>
          <w:szCs w:val="18"/>
          <w:color w:val="auto"/>
        </w:rPr>
        <w:t>(CUSIP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March 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2140" w:hanging="90"/>
        <w:spacing w:after="0"/>
        <w:tabs>
          <w:tab w:leader="none" w:pos="21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w:t>
      </w:r>
      <w:r>
        <w:rPr>
          <w:rFonts w:ascii="Arial" w:cs="Arial" w:eastAsia="Arial" w:hAnsi="Arial"/>
          <w:sz w:val="16"/>
          <w:szCs w:val="16"/>
          <w:color w:val="auto"/>
        </w:rPr>
        <w:t>in such Note[s] or interests (the “</w:t>
      </w:r>
      <w:r>
        <w:rPr>
          <w:rFonts w:ascii="Arial" w:cs="Arial" w:eastAsia="Arial" w:hAnsi="Arial"/>
          <w:sz w:val="16"/>
          <w:szCs w:val="16"/>
          <w:i w:val="1"/>
          <w:iCs w:val="1"/>
          <w:color w:val="auto"/>
        </w:rPr>
        <w:t>Exchange</w:t>
      </w:r>
      <w:r>
        <w:rPr>
          <w:rFonts w:ascii="Arial" w:cs="Arial" w:eastAsia="Arial" w:hAnsi="Arial"/>
          <w:sz w:val="16"/>
          <w:szCs w:val="16"/>
          <w:color w:val="auto"/>
        </w:rPr>
        <w:t>”). In connection with the Exchange, the Owner hereby certifies that:</w:t>
      </w:r>
    </w:p>
    <w:p>
      <w:pPr>
        <w:spacing w:after="0" w:line="206" w:lineRule="exact"/>
        <w:rPr>
          <w:rFonts w:ascii="Arial" w:cs="Arial" w:eastAsia="Arial" w:hAnsi="Arial"/>
          <w:sz w:val="16"/>
          <w:szCs w:val="16"/>
          <w:color w:val="auto"/>
        </w:rPr>
      </w:pPr>
    </w:p>
    <w:p>
      <w:pPr>
        <w:ind w:right="20" w:firstLine="656"/>
        <w:spacing w:after="0" w:line="282" w:lineRule="auto"/>
        <w:tabs>
          <w:tab w:leader="none" w:pos="1053"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-596900</wp:posOffset>
            </wp:positionV>
            <wp:extent cx="8851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5190"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-459740</wp:posOffset>
            </wp:positionV>
            <wp:extent cx="314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113" w:lineRule="exact"/>
        <w:rPr>
          <w:sz w:val="20"/>
          <w:szCs w:val="20"/>
          <w:color w:val="auto"/>
        </w:rPr>
      </w:pPr>
    </w:p>
    <w:p>
      <w:pPr>
        <w:jc w:val="both"/>
        <w:ind w:firstLine="656"/>
        <w:spacing w:after="0" w:line="223" w:lineRule="exact"/>
        <w:tabs>
          <w:tab w:leader="none" w:pos="915" w:val="left"/>
        </w:tabs>
        <w:numPr>
          <w:ilvl w:val="0"/>
          <w:numId w:val="1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Arial" w:cs="Arial" w:eastAsia="Arial" w:hAnsi="Arial"/>
          <w:sz w:val="17"/>
          <w:szCs w:val="17"/>
          <w:color w:val="auto"/>
        </w:rPr>
      </w:pPr>
    </w:p>
    <w:p>
      <w:pPr>
        <w:jc w:val="both"/>
        <w:ind w:firstLine="656"/>
        <w:spacing w:after="0" w:line="224" w:lineRule="exact"/>
        <w:tabs>
          <w:tab w:leader="none" w:pos="903" w:val="left"/>
        </w:tabs>
        <w:numPr>
          <w:ilvl w:val="0"/>
          <w:numId w:val="14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56"/>
        <w:spacing w:after="0" w:line="224" w:lineRule="exact"/>
        <w:tabs>
          <w:tab w:leader="none" w:pos="965" w:val="left"/>
        </w:tabs>
        <w:numPr>
          <w:ilvl w:val="0"/>
          <w:numId w:val="146"/>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jc w:val="both"/>
        <w:ind w:firstLine="656"/>
        <w:spacing w:after="0" w:line="224" w:lineRule="exact"/>
        <w:tabs>
          <w:tab w:leader="none" w:pos="961"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0" w:lineRule="exact"/>
        <w:rPr>
          <w:sz w:val="20"/>
          <w:szCs w:val="20"/>
          <w:color w:val="auto"/>
        </w:rPr>
      </w:pPr>
    </w:p>
    <w:p>
      <w:pPr>
        <w:ind w:firstLine="656"/>
        <w:spacing w:after="0" w:line="282" w:lineRule="auto"/>
        <w:tabs>
          <w:tab w:leader="none" w:pos="1053"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3" w:lineRule="exact"/>
        <w:rPr>
          <w:sz w:val="20"/>
          <w:szCs w:val="20"/>
          <w:color w:val="auto"/>
        </w:rPr>
      </w:pPr>
    </w:p>
    <w:p>
      <w:pPr>
        <w:jc w:val="both"/>
        <w:ind w:firstLine="656"/>
        <w:spacing w:after="0" w:line="225" w:lineRule="exact"/>
        <w:tabs>
          <w:tab w:leader="none" w:pos="978" w:val="left"/>
        </w:tabs>
        <w:numPr>
          <w:ilvl w:val="0"/>
          <w:numId w:val="14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Restricted Definitive Note. </w:t>
      </w:r>
      <w:r>
        <w:rPr>
          <w:rFonts w:ascii="Arial" w:cs="Arial" w:eastAsia="Arial" w:hAnsi="Arial"/>
          <w:sz w:val="17"/>
          <w:szCs w:val="17"/>
          <w:color w:val="auto"/>
        </w:rPr>
        <w:t>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2" w:lineRule="exact"/>
        <w:rPr>
          <w:rFonts w:ascii="Arial" w:cs="Arial" w:eastAsia="Arial" w:hAnsi="Arial"/>
          <w:sz w:val="17"/>
          <w:szCs w:val="17"/>
          <w:color w:val="auto"/>
        </w:rPr>
      </w:pPr>
    </w:p>
    <w:p>
      <w:pPr>
        <w:jc w:val="both"/>
        <w:ind w:firstLine="656"/>
        <w:spacing w:after="0" w:line="222" w:lineRule="exact"/>
        <w:tabs>
          <w:tab w:leader="none" w:pos="988"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beneficial interest in a Restricted Global Note</w:t>
      </w:r>
      <w:r>
        <w:rPr>
          <w:rFonts w:ascii="Arial" w:cs="Arial" w:eastAsia="Arial" w:hAnsi="Arial"/>
          <w:sz w:val="18"/>
          <w:szCs w:val="18"/>
          <w:color w:val="auto"/>
        </w:rPr>
        <w: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of the Owner’s Restricted Definitive Note for a beneficial interest in the [CHECK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w:t>
      </w: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w:t>
      </w: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143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7" w:name="page98"/>
    <w:bookmarkEnd w:id="97"/>
    <w:p>
      <w:pPr>
        <w:ind w:left="10340"/>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3.750</w:t>
      </w:r>
      <w:r>
        <w:rPr>
          <w:rFonts w:ascii="Arial" w:cs="Arial" w:eastAsia="Arial" w:hAnsi="Arial"/>
          <w:sz w:val="18"/>
          <w:szCs w:val="18"/>
          <w:u w:val="single" w:color="auto"/>
          <w:color w:val="auto"/>
        </w:rPr>
        <w:t>% Senior Notes due 2031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March 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tabs>
          <w:tab w:leader="none" w:pos="448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-10160</wp:posOffset>
            </wp:positionV>
            <wp:extent cx="314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72" w:lineRule="exact"/>
        <w:rPr>
          <w:sz w:val="20"/>
          <w:szCs w:val="20"/>
          <w:color w:val="auto"/>
        </w:rPr>
      </w:pPr>
    </w:p>
    <w:p>
      <w:pPr>
        <w:ind w:left="940" w:hanging="284"/>
        <w:spacing w:after="0" w:line="207" w:lineRule="exact"/>
        <w:tabs>
          <w:tab w:leader="none" w:pos="940" w:val="left"/>
        </w:tabs>
        <w:numPr>
          <w:ilvl w:val="0"/>
          <w:numId w:val="1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960" w:hanging="304"/>
        <w:spacing w:after="0" w:line="207" w:lineRule="exact"/>
        <w:tabs>
          <w:tab w:leader="none" w:pos="960" w:val="left"/>
        </w:tabs>
        <w:numPr>
          <w:ilvl w:val="0"/>
          <w:numId w:val="14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jc w:val="both"/>
        <w:ind w:firstLine="656"/>
        <w:spacing w:after="0" w:line="263" w:lineRule="auto"/>
        <w:tabs>
          <w:tab w:leader="none" w:pos="105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87" w:lineRule="auto"/>
        <w:tabs>
          <w:tab w:leader="none" w:pos="105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w:t>
      </w:r>
    </w:p>
    <w:p>
      <w:pPr>
        <w:spacing w:after="0" w:line="2" w:lineRule="exact"/>
        <w:rPr>
          <w:rFonts w:ascii="Arial" w:cs="Arial" w:eastAsia="Arial" w:hAnsi="Arial"/>
          <w:sz w:val="16"/>
          <w:szCs w:val="16"/>
          <w:color w:val="auto"/>
        </w:rPr>
      </w:pPr>
    </w:p>
    <w:p>
      <w:pPr>
        <w:jc w:val="both"/>
        <w:ind w:firstLine="8"/>
        <w:spacing w:after="0" w:line="281" w:lineRule="auto"/>
        <w:tabs>
          <w:tab w:leader="none" w:pos="30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w:t>
      </w:r>
    </w:p>
    <w:p>
      <w:pPr>
        <w:spacing w:after="0" w:line="2" w:lineRule="exact"/>
        <w:rPr>
          <w:rFonts w:ascii="Arial" w:cs="Arial" w:eastAsia="Arial" w:hAnsi="Arial"/>
          <w:sz w:val="16"/>
          <w:szCs w:val="16"/>
          <w:color w:val="auto"/>
        </w:rPr>
      </w:pPr>
    </w:p>
    <w:p>
      <w:pPr>
        <w:jc w:val="both"/>
        <w:ind w:firstLine="8"/>
        <w:spacing w:after="0" w:line="253" w:lineRule="auto"/>
        <w:tabs>
          <w:tab w:leader="none" w:pos="3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right="20" w:firstLine="656"/>
        <w:spacing w:after="0" w:line="286" w:lineRule="auto"/>
        <w:tabs>
          <w:tab w:leader="none" w:pos="105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0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3" w:lineRule="exact"/>
        <w:rPr>
          <w:rFonts w:ascii="Arial" w:cs="Arial" w:eastAsia="Arial" w:hAnsi="Arial"/>
          <w:sz w:val="18"/>
          <w:szCs w:val="18"/>
          <w:color w:val="auto"/>
        </w:rPr>
      </w:pPr>
    </w:p>
    <w:p>
      <w:pPr>
        <w:ind w:firstLine="656"/>
        <w:spacing w:after="0" w:line="277" w:lineRule="auto"/>
        <w:tabs>
          <w:tab w:leader="none" w:pos="107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40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143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660"/>
        <w:spacing w:after="0"/>
        <w:tabs>
          <w:tab w:leader="none" w:pos="6320" w:val="left"/>
          <w:tab w:leader="none" w:pos="7660" w:val="left"/>
        </w:tabs>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UPPLEMENTAL</w:t>
      </w:r>
      <w:r>
        <w:rPr>
          <w:rFonts w:ascii="Arial" w:cs="Arial" w:eastAsia="Arial" w:hAnsi="Arial"/>
          <w:sz w:val="18"/>
          <w:szCs w:val="18"/>
          <w:color w:val="auto"/>
        </w:rPr>
        <w:t xml:space="preserve"> I</w:t>
      </w:r>
      <w:r>
        <w:rPr>
          <w:rFonts w:ascii="Arial" w:cs="Arial" w:eastAsia="Arial" w:hAnsi="Arial"/>
          <w:sz w:val="12"/>
          <w:szCs w:val="12"/>
          <w:color w:val="auto"/>
        </w:rPr>
        <w:t>NDENTURE</w:t>
      </w:r>
      <w:r>
        <w:rPr>
          <w:rFonts w:ascii="Arial" w:cs="Arial" w:eastAsia="Arial" w:hAnsi="Arial"/>
          <w:sz w:val="18"/>
          <w:szCs w:val="18"/>
          <w:color w:val="auto"/>
        </w:rPr>
        <w:t xml:space="preserv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among</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-10160</wp:posOffset>
            </wp:positionV>
            <wp:extent cx="4286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-10160</wp:posOffset>
            </wp:positionV>
            <wp:extent cx="428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Clearway Energy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March 9, 2021 providing for the issuance of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000" w:hanging="344"/>
        <w:spacing w:after="0"/>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8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GREEMENT TO</w:t>
      </w:r>
      <w:r>
        <w:rPr>
          <w:rFonts w:ascii="Arial" w:cs="Arial" w:eastAsia="Arial" w:hAnsi="Arial"/>
          <w:sz w:val="18"/>
          <w:szCs w:val="18"/>
          <w:color w:val="auto"/>
        </w:rPr>
        <w:t xml:space="preserve"> G</w:t>
      </w:r>
      <w:r>
        <w:rPr>
          <w:rFonts w:ascii="Arial" w:cs="Arial" w:eastAsia="Arial" w:hAnsi="Arial"/>
          <w:sz w:val="12"/>
          <w:szCs w:val="12"/>
          <w:color w:val="auto"/>
        </w:rPr>
        <w:t>UARANTEE</w:t>
      </w:r>
      <w:r>
        <w:rPr>
          <w:rFonts w:ascii="Arial" w:cs="Arial" w:eastAsia="Arial" w:hAnsi="Arial"/>
          <w:sz w:val="18"/>
          <w:szCs w:val="18"/>
          <w:color w:val="auto"/>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7" w:lineRule="exact"/>
        <w:rPr>
          <w:sz w:val="20"/>
          <w:szCs w:val="20"/>
          <w:color w:val="auto"/>
        </w:rPr>
      </w:pPr>
    </w:p>
    <w:p>
      <w:pPr>
        <w:jc w:val="both"/>
        <w:ind w:firstLine="656"/>
        <w:spacing w:after="0" w:line="257" w:lineRule="auto"/>
        <w:tabs>
          <w:tab w:leader="none" w:pos="9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 xml:space="preserve"> A</w:t>
      </w:r>
      <w:r>
        <w:rPr>
          <w:rFonts w:ascii="Arial" w:cs="Arial" w:eastAsia="Arial" w:hAnsi="Arial"/>
          <w:sz w:val="12"/>
          <w:szCs w:val="12"/>
          <w:color w:val="auto"/>
        </w:rPr>
        <w:t>GAINST</w:t>
      </w:r>
      <w:r>
        <w:rPr>
          <w:rFonts w:ascii="Arial" w:cs="Arial" w:eastAsia="Arial" w:hAnsi="Arial"/>
          <w:sz w:val="18"/>
          <w:szCs w:val="18"/>
          <w:color w:val="auto"/>
        </w:rPr>
        <w:t xml:space="preserve"> O</w:t>
      </w:r>
      <w:r>
        <w:rPr>
          <w:rFonts w:ascii="Arial" w:cs="Arial" w:eastAsia="Arial" w:hAnsi="Arial"/>
          <w:sz w:val="12"/>
          <w:szCs w:val="12"/>
          <w:color w:val="auto"/>
        </w:rPr>
        <w:t>THERS</w:t>
      </w:r>
      <w:r>
        <w:rPr>
          <w:rFonts w:ascii="Arial" w:cs="Arial" w:eastAsia="Arial" w:hAnsi="Arial"/>
          <w:sz w:val="18"/>
          <w:szCs w:val="18"/>
          <w:color w:val="auto"/>
        </w:rPr>
        <w:t>.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firstLine="656"/>
        <w:spacing w:after="0" w:line="277" w:lineRule="auto"/>
        <w:tabs>
          <w:tab w:leader="none" w:pos="9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T</w:t>
      </w:r>
      <w:r>
        <w:rPr>
          <w:rFonts w:ascii="Arial" w:cs="Arial" w:eastAsia="Arial" w:hAnsi="Arial"/>
          <w:sz w:val="12"/>
          <w:szCs w:val="12"/>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640"/>
        <w:spacing w:after="0"/>
        <w:tabs>
          <w:tab w:leader="none" w:pos="3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1534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UARANTEEING</w:t>
      </w:r>
      <w:r>
        <w:rPr>
          <w:rFonts w:ascii="Arial" w:cs="Arial" w:eastAsia="Arial" w:hAnsi="Arial"/>
          <w:sz w:val="18"/>
          <w:szCs w:val="18"/>
          <w:color w:val="auto"/>
        </w:rPr>
        <w:t xml:space="preserve"> S</w:t>
      </w:r>
      <w:r>
        <w:rPr>
          <w:rFonts w:ascii="Arial" w:cs="Arial" w:eastAsia="Arial" w:hAnsi="Arial"/>
          <w:sz w:val="12"/>
          <w:szCs w:val="12"/>
          <w:color w:val="auto"/>
        </w:rPr>
        <w:t>UBSIDIARY</w:t>
      </w:r>
      <w:r>
        <w:rPr>
          <w:rFonts w:ascii="Arial" w:cs="Arial" w:eastAsia="Arial" w:hAnsi="Arial"/>
          <w:sz w:val="18"/>
          <w:szCs w:val="18"/>
          <w:color w:val="auto"/>
        </w:rPr>
        <w:t>]</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O</w:t>
      </w:r>
      <w:r>
        <w:rPr>
          <w:rFonts w:ascii="Arial" w:cs="Arial" w:eastAsia="Arial" w:hAnsi="Arial"/>
          <w:sz w:val="12"/>
          <w:szCs w:val="12"/>
          <w:color w:val="auto"/>
        </w:rPr>
        <w:t>PERATING</w:t>
      </w:r>
      <w:r>
        <w:rPr>
          <w:rFonts w:ascii="Arial" w:cs="Arial" w:eastAsia="Arial" w:hAnsi="Arial"/>
          <w:sz w:val="18"/>
          <w:szCs w:val="18"/>
          <w:color w:val="auto"/>
        </w:rPr>
        <w:t xml:space="preserve"> LLC</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XISTING</w:t>
      </w:r>
      <w:r>
        <w:rPr>
          <w:rFonts w:ascii="Arial" w:cs="Arial" w:eastAsia="Arial" w:hAnsi="Arial"/>
          <w:sz w:val="18"/>
          <w:szCs w:val="18"/>
          <w:color w:val="auto"/>
        </w:rPr>
        <w:t xml:space="preserve"> G</w:t>
      </w:r>
      <w:r>
        <w:rPr>
          <w:rFonts w:ascii="Arial" w:cs="Arial" w:eastAsia="Arial" w:hAnsi="Arial"/>
          <w:sz w:val="12"/>
          <w:szCs w:val="12"/>
          <w:color w:val="auto"/>
        </w:rPr>
        <w:t>UARANTORS</w:t>
      </w:r>
      <w:r>
        <w:rPr>
          <w:rFonts w:ascii="Arial" w:cs="Arial" w:eastAsia="Arial" w:hAnsi="Arial"/>
          <w:sz w:val="18"/>
          <w:szCs w:val="18"/>
          <w:color w:val="auto"/>
        </w:rPr>
        <w:t>]</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RUSTEE</w:t>
      </w:r>
      <w:r>
        <w:rPr>
          <w:rFonts w:ascii="Arial" w:cs="Arial" w:eastAsia="Arial" w:hAnsi="Arial"/>
          <w:sz w:val="18"/>
          <w:szCs w:val="18"/>
          <w:color w:val="auto"/>
        </w:rPr>
        <w:t>],</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1)"/>
      <w:numFmt w:val="lowerLetter"/>
      <w:start w:val="4"/>
    </w:lvl>
  </w:abstractNum>
  <w:abstractNum w:abstractNumId="2">
    <w:nsid w:val="3B0FD379"/>
    <w:multiLevelType w:val="hybridMultilevel"/>
    <w:lvl w:ilvl="0">
      <w:lvlJc w:val="left"/>
      <w:lvlText w:val="%1"/>
      <w:numFmt w:val="decimal"/>
      <w:start w:val="104"/>
    </w:lvl>
  </w:abstractNum>
  <w:abstractNum w:abstractNumId="3">
    <w:nsid w:val="68EB2F63"/>
    <w:multiLevelType w:val="hybridMultilevel"/>
    <w:lvl w:ilvl="0">
      <w:lvlJc w:val="left"/>
      <w:lvlText w:val="(%1)"/>
      <w:numFmt w:val="decimal"/>
      <w:start w:val="1"/>
    </w:lvl>
  </w:abstractNum>
  <w:abstractNum w:abstractNumId="4">
    <w:nsid w:val="4962813B"/>
    <w:multiLevelType w:val="hybridMultilevel"/>
    <w:lvl w:ilvl="0">
      <w:lvlJc w:val="left"/>
      <w:lvlText w:val="(%1)"/>
      <w:numFmt w:val="decimal"/>
      <w:start w:val="3"/>
    </w:lvl>
  </w:abstractNum>
  <w:abstractNum w:abstractNumId="5">
    <w:nsid w:val="60B6DF70"/>
    <w:multiLevelType w:val="hybridMultilevel"/>
    <w:lvl w:ilvl="0">
      <w:lvlJc w:val="left"/>
      <w:lvlText w:val="(%1)"/>
      <w:numFmt w:val="decimal"/>
      <w:start w:val="4"/>
    </w:lvl>
  </w:abstractNum>
  <w:abstractNum w:abstractNumId="6">
    <w:nsid w:val="6A5EE64"/>
    <w:multiLevelType w:val="hybridMultilevel"/>
    <w:lvl w:ilvl="0">
      <w:lvlJc w:val="left"/>
      <w:lvlText w:val="(%1)"/>
      <w:numFmt w:val="decimal"/>
      <w:start w:val="19"/>
    </w:lvl>
  </w:abstractNum>
  <w:abstractNum w:abstractNumId="7">
    <w:nsid w:val="14330624"/>
    <w:multiLevelType w:val="hybridMultilevel"/>
    <w:lvl w:ilvl="0">
      <w:lvlJc w:val="left"/>
      <w:lvlText w:val="(%1)"/>
      <w:numFmt w:val="decimal"/>
      <w:start w:val="1"/>
    </w:lvl>
  </w:abstractNum>
  <w:abstractNum w:abstractNumId="8">
    <w:nsid w:val="7FFFCA11"/>
    <w:multiLevelType w:val="hybridMultilevel"/>
    <w:lvl w:ilvl="0">
      <w:lvlJc w:val="left"/>
      <w:lvlText w:val="(%1)"/>
      <w:numFmt w:val="decimal"/>
      <w:start w:val="1"/>
    </w:lvl>
    <w:lvl w:ilvl="1">
      <w:lvlJc w:val="left"/>
      <w:lvlText w:val="(%2)"/>
      <w:numFmt w:val="lowerLetter"/>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1)"/>
      <w:numFmt w:val="decimal"/>
      <w:start w:val="1"/>
    </w:lvl>
  </w:abstractNum>
  <w:abstractNum w:abstractNumId="11">
    <w:nsid w:val="100F59DC"/>
    <w:multiLevelType w:val="hybridMultilevel"/>
    <w:lvl w:ilvl="0">
      <w:lvlJc w:val="left"/>
      <w:lvlText w:val="(%1)"/>
      <w:numFmt w:val="decimal"/>
      <w:start w:val="3"/>
    </w:lvl>
  </w:abstractNum>
  <w:abstractNum w:abstractNumId="12">
    <w:nsid w:val="7FB7E0AA"/>
    <w:multiLevelType w:val="hybridMultilevel"/>
    <w:lvl w:ilvl="0">
      <w:lvlJc w:val="left"/>
      <w:lvlText w:val="(%1)"/>
      <w:numFmt w:val="decimal"/>
      <w:start w:val="4"/>
    </w:lvl>
  </w:abstractNum>
  <w:abstractNum w:abstractNumId="13">
    <w:nsid w:val="6EB5BD4"/>
    <w:multiLevelType w:val="hybridMultilevel"/>
    <w:lvl w:ilvl="0">
      <w:lvlJc w:val="left"/>
      <w:lvlText w:val="(%1)"/>
      <w:numFmt w:val="decimal"/>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1)"/>
      <w:numFmt w:val="decimal"/>
      <w:start w:val="1"/>
    </w:lvl>
  </w:abstractNum>
  <w:abstractNum w:abstractNumId="16">
    <w:nsid w:val="885E1B"/>
    <w:multiLevelType w:val="hybridMultilevel"/>
    <w:lvl w:ilvl="0">
      <w:lvlJc w:val="left"/>
      <w:lvlText w:val="(%1)"/>
      <w:numFmt w:val="decimal"/>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1)"/>
      <w:numFmt w:val="decimal"/>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1)"/>
      <w:numFmt w:val="decimal"/>
      <w:start w:val="1"/>
    </w:lvl>
  </w:abstractNum>
  <w:abstractNum w:abstractNumId="21">
    <w:nsid w:val="3222E7CD"/>
    <w:multiLevelType w:val="hybridMultilevel"/>
    <w:lvl w:ilvl="0">
      <w:lvlJc w:val="left"/>
      <w:lvlText w:val="(%1)"/>
      <w:numFmt w:val="decimal"/>
      <w:start w:val="1"/>
    </w:lvl>
  </w:abstractNum>
  <w:abstractNum w:abstractNumId="22">
    <w:nsid w:val="74DE0EE3"/>
    <w:multiLevelType w:val="hybridMultilevel"/>
    <w:lvl w:ilvl="0">
      <w:lvlJc w:val="left"/>
      <w:lvlText w:val="(%1)"/>
      <w:numFmt w:val="decimal"/>
      <w:start w:val="1"/>
    </w:lvl>
  </w:abstractNum>
  <w:abstractNum w:abstractNumId="23">
    <w:nsid w:val="68EBC550"/>
    <w:multiLevelType w:val="hybridMultilevel"/>
    <w:lvl w:ilvl="0">
      <w:lvlJc w:val="left"/>
      <w:lvlText w:val="(%1)"/>
      <w:numFmt w:val="lowerLetter"/>
      <w:start w:val="1"/>
    </w:lvl>
  </w:abstractNum>
  <w:abstractNum w:abstractNumId="24">
    <w:nsid w:val="2DF6D648"/>
    <w:multiLevelType w:val="hybridMultilevel"/>
    <w:lvl w:ilvl="0">
      <w:lvlJc w:val="left"/>
      <w:lvlText w:val="(%1)"/>
      <w:numFmt w:val="decimal"/>
      <w:start w:val="1"/>
    </w:lvl>
  </w:abstractNum>
  <w:abstractNum w:abstractNumId="25">
    <w:nsid w:val="46B7D447"/>
    <w:multiLevelType w:val="hybridMultilevel"/>
    <w:lvl w:ilvl="0">
      <w:lvlJc w:val="left"/>
      <w:lvlText w:val="(%1)"/>
      <w:numFmt w:val="decimal"/>
      <w:start w:val="7"/>
    </w:lvl>
  </w:abstractNum>
  <w:abstractNum w:abstractNumId="26">
    <w:nsid w:val="4A2AC315"/>
    <w:multiLevelType w:val="hybridMultilevel"/>
    <w:lvl w:ilvl="0">
      <w:lvlJc w:val="left"/>
      <w:lvlText w:val="(%1)"/>
      <w:numFmt w:val="decimal"/>
      <w:start w:val="20"/>
    </w:lvl>
  </w:abstractNum>
  <w:abstractNum w:abstractNumId="27">
    <w:nsid w:val="39EE015C"/>
    <w:multiLevelType w:val="hybridMultilevel"/>
    <w:lvl w:ilvl="0">
      <w:lvlJc w:val="left"/>
      <w:lvlText w:val="(%1)"/>
      <w:numFmt w:val="lowerLetter"/>
      <w:start w:val="2"/>
    </w:lvl>
  </w:abstractNum>
  <w:abstractNum w:abstractNumId="28">
    <w:nsid w:val="57FC4FBB"/>
    <w:multiLevelType w:val="hybridMultilevel"/>
    <w:lvl w:ilvl="0">
      <w:lvlJc w:val="left"/>
      <w:lvlText w:val="(%1)"/>
      <w:numFmt w:val="lowerLetter"/>
      <w:start w:val="3"/>
    </w:lvl>
  </w:abstractNum>
  <w:abstractNum w:abstractNumId="29">
    <w:nsid w:val="CC1016F"/>
    <w:multiLevelType w:val="hybridMultilevel"/>
    <w:lvl w:ilvl="0">
      <w:lvlJc w:val="left"/>
      <w:lvlText w:val="(%1)"/>
      <w:numFmt w:val="lowerLetter"/>
      <w:start w:val="1"/>
    </w:lvl>
    <w:lvl w:ilvl="1">
      <w:lvlJc w:val="left"/>
      <w:lvlText w:val="(%2)"/>
      <w:numFmt w:val="decimal"/>
      <w:start w:val="1"/>
    </w:lvl>
  </w:abstractNum>
  <w:abstractNum w:abstractNumId="30">
    <w:nsid w:val="43F18422"/>
    <w:multiLevelType w:val="hybridMultilevel"/>
    <w:lvl w:ilvl="0">
      <w:lvlJc w:val="left"/>
      <w:lvlText w:val="(%1)"/>
      <w:numFmt w:val="lowerLetter"/>
      <w:start w:val="2"/>
    </w:lvl>
  </w:abstractNum>
  <w:abstractNum w:abstractNumId="31">
    <w:nsid w:val="60EF011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2">
    <w:nsid w:val="26F324BA"/>
    <w:multiLevelType w:val="hybridMultilevel"/>
    <w:lvl w:ilvl="0">
      <w:lvlJc w:val="left"/>
      <w:lvlText w:val="%1"/>
      <w:numFmt w:val="decimal"/>
      <w:start w:val="1"/>
    </w:lvl>
    <w:lvl w:ilvl="1">
      <w:lvlJc w:val="left"/>
      <w:lvlText w:val="(%2)"/>
      <w:numFmt w:val="upperLetter"/>
      <w:start w:val="3"/>
    </w:lvl>
  </w:abstractNum>
  <w:abstractNum w:abstractNumId="33">
    <w:nsid w:val="7F01579B"/>
    <w:multiLevelType w:val="hybridMultilevel"/>
    <w:lvl w:ilvl="0">
      <w:lvlJc w:val="left"/>
      <w:lvlText w:val="(%1)"/>
      <w:numFmt w:val="decimal"/>
      <w:start w:val="3"/>
    </w:lvl>
    <w:lvl w:ilvl="1">
      <w:lvlJc w:val="left"/>
      <w:lvlText w:val="(%2)"/>
      <w:numFmt w:val="upperLetter"/>
      <w:start w:val="1"/>
    </w:lvl>
  </w:abstractNum>
  <w:abstractNum w:abstractNumId="34">
    <w:nsid w:val="49DA307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5">
    <w:nsid w:val="7055A5F5"/>
    <w:multiLevelType w:val="hybridMultilevel"/>
    <w:lvl w:ilvl="0">
      <w:lvlJc w:val="left"/>
      <w:lvlText w:val="%1"/>
      <w:numFmt w:val="lowerLetter"/>
      <w:start w:val="1"/>
    </w:lvl>
    <w:lvl w:ilvl="1">
      <w:lvlJc w:val="left"/>
      <w:lvlText w:val="(%2)"/>
      <w:numFmt w:val="upperLetter"/>
      <w:start w:val="2"/>
    </w:lvl>
  </w:abstractNum>
  <w:abstractNum w:abstractNumId="36">
    <w:nsid w:val="5FB8370B"/>
    <w:multiLevelType w:val="hybridMultilevel"/>
    <w:lvl w:ilvl="0">
      <w:lvlJc w:val="left"/>
      <w:lvlText w:val="(%1)"/>
      <w:numFmt w:val="lowerLetter"/>
      <w:start w:val="1"/>
    </w:lvl>
    <w:lvl w:ilvl="1">
      <w:lvlJc w:val="left"/>
      <w:lvlText w:val="(%2)"/>
      <w:numFmt w:val="upperLetter"/>
      <w:start w:val="5"/>
    </w:lvl>
  </w:abstractNum>
  <w:abstractNum w:abstractNumId="37">
    <w:nsid w:val="50801EE1"/>
    <w:multiLevelType w:val="hybridMultilevel"/>
    <w:lvl w:ilvl="0">
      <w:lvlJc w:val="left"/>
      <w:lvlText w:val="(%1)"/>
      <w:numFmt w:val="decimal"/>
      <w:start w:val="2"/>
    </w:lvl>
    <w:lvl w:ilvl="1">
      <w:lvlJc w:val="left"/>
      <w:lvlText w:val="(%2)"/>
      <w:numFmt w:val="upperLetter"/>
      <w:start w:val="1"/>
    </w:lvl>
  </w:abstractNum>
  <w:abstractNum w:abstractNumId="38">
    <w:nsid w:val="488AC1A"/>
    <w:multiLevelType w:val="hybridMultilevel"/>
    <w:lvl w:ilvl="0">
      <w:lvlJc w:val="left"/>
      <w:lvlText w:val="(%1)"/>
      <w:numFmt w:val="upperLetter"/>
      <w:start w:val="2"/>
    </w:lvl>
  </w:abstractNum>
  <w:abstractNum w:abstractNumId="39">
    <w:nsid w:val="5FB8011C"/>
    <w:multiLevelType w:val="hybridMultilevel"/>
    <w:lvl w:ilvl="0">
      <w:lvlJc w:val="left"/>
      <w:lvlText w:val="%1"/>
      <w:numFmt w:val="decimal"/>
      <w:start w:val="1"/>
    </w:lvl>
    <w:lvl w:ilvl="1">
      <w:lvlJc w:val="left"/>
      <w:lvlText w:val="(%2)"/>
      <w:numFmt w:val="decimal"/>
      <w:start w:val="3"/>
    </w:lvl>
  </w:abstractNum>
  <w:abstractNum w:abstractNumId="40">
    <w:nsid w:val="6AA78F7F"/>
    <w:multiLevelType w:val="hybridMultilevel"/>
    <w:lvl w:ilvl="0">
      <w:lvlJc w:val="left"/>
      <w:lvlText w:val="(%1)"/>
      <w:numFmt w:val="decimal"/>
      <w:start w:val="2"/>
    </w:lvl>
    <w:lvl w:ilvl="1">
      <w:lvlJc w:val="left"/>
      <w:lvlText w:val="%2"/>
      <w:numFmt w:val="decimal"/>
      <w:start w:val="1"/>
    </w:lvl>
  </w:abstractNum>
  <w:abstractNum w:abstractNumId="41">
    <w:nsid w:val="7672BD23"/>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42">
    <w:nsid w:val="6FC75AF8"/>
    <w:multiLevelType w:val="hybridMultilevel"/>
    <w:lvl w:ilvl="0">
      <w:lvlJc w:val="left"/>
      <w:lvlText w:val="%1"/>
      <w:numFmt w:val="decimal"/>
      <w:start w:val="1"/>
    </w:lvl>
    <w:lvl w:ilvl="1">
      <w:lvlJc w:val="left"/>
      <w:lvlText w:val="(%2)"/>
      <w:numFmt w:val="upperLetter"/>
      <w:start w:val="4"/>
    </w:lvl>
  </w:abstractNum>
  <w:abstractNum w:abstractNumId="43">
    <w:nsid w:val="6A5F7029"/>
    <w:multiLevelType w:val="hybridMultilevel"/>
    <w:lvl w:ilvl="0">
      <w:lvlJc w:val="left"/>
      <w:lvlText w:val="(%1)"/>
      <w:numFmt w:val="decimal"/>
      <w:start w:val="3"/>
    </w:lvl>
    <w:lvl w:ilvl="1">
      <w:lvlJc w:val="left"/>
      <w:lvlText w:val="(%2)"/>
      <w:numFmt w:val="upperLetter"/>
      <w:start w:val="6"/>
    </w:lvl>
  </w:abstractNum>
  <w:abstractNum w:abstractNumId="44">
    <w:nsid w:val="7D5E18F8"/>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45">
    <w:nsid w:val="5F3534A4"/>
    <w:multiLevelType w:val="hybridMultilevel"/>
    <w:lvl w:ilvl="0">
      <w:lvlJc w:val="left"/>
      <w:lvlText w:val="(%1)"/>
      <w:numFmt w:val="decimal"/>
      <w:start w:val="3"/>
    </w:lvl>
  </w:abstractNum>
  <w:abstractNum w:abstractNumId="46">
    <w:nsid w:val="73A1821B"/>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7">
    <w:nsid w:val="7DE67713"/>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8">
    <w:nsid w:val="555C55B5"/>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9">
    <w:nsid w:val="3FA62ACA"/>
    <w:multiLevelType w:val="hybridMultilevel"/>
    <w:lvl w:ilvl="0">
      <w:lvlJc w:val="left"/>
      <w:lvlText w:val="(%1)"/>
      <w:numFmt w:val="decimal"/>
      <w:start w:val="3"/>
    </w:lvl>
  </w:abstractNum>
  <w:abstractNum w:abstractNumId="50">
    <w:nsid w:val="14FCE74E"/>
    <w:multiLevelType w:val="hybridMultilevel"/>
    <w:lvl w:ilvl="0">
      <w:lvlJc w:val="left"/>
      <w:lvlText w:val="%1"/>
      <w:numFmt w:val="decimal"/>
      <w:start w:val="1"/>
    </w:lvl>
    <w:lvl w:ilvl="1">
      <w:lvlJc w:val="left"/>
      <w:lvlText w:val="(%2)"/>
      <w:numFmt w:val="upperLetter"/>
      <w:start w:val="2"/>
    </w:lvl>
  </w:abstractNum>
  <w:abstractNum w:abstractNumId="51">
    <w:nsid w:val="6A3DD3E8"/>
    <w:multiLevelType w:val="hybridMultilevel"/>
    <w:lvl w:ilvl="0">
      <w:lvlJc w:val="left"/>
      <w:lvlText w:val="(%1)"/>
      <w:numFmt w:val="decimal"/>
      <w:start w:val="2"/>
    </w:lvl>
    <w:lvl w:ilvl="1">
      <w:lvlJc w:val="left"/>
      <w:lvlText w:val="%2"/>
      <w:numFmt w:val="upperLetter"/>
      <w:start w:val="1"/>
    </w:lvl>
  </w:abstractNum>
  <w:abstractNum w:abstractNumId="52">
    <w:nsid w:val="71C91298"/>
    <w:multiLevelType w:val="hybridMultilevel"/>
    <w:lvl w:ilvl="0">
      <w:lvlJc w:val="left"/>
      <w:lvlText w:val="(%1)"/>
      <w:numFmt w:val="decimal"/>
      <w:start w:val="3"/>
    </w:lvl>
  </w:abstractNum>
  <w:abstractNum w:abstractNumId="53">
    <w:nsid w:val="9DAF632"/>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54">
    <w:nsid w:val="53299938"/>
    <w:multiLevelType w:val="hybridMultilevel"/>
    <w:lvl w:ilvl="0">
      <w:lvlJc w:val="left"/>
      <w:lvlText w:val="(%1)"/>
      <w:numFmt w:val="decimal"/>
      <w:start w:val="7"/>
    </w:lvl>
  </w:abstractNum>
  <w:abstractNum w:abstractNumId="55">
    <w:nsid w:val="1FBFE8E0"/>
    <w:multiLevelType w:val="hybridMultilevel"/>
    <w:lvl w:ilvl="0">
      <w:lvlJc w:val="left"/>
      <w:lvlText w:val="(%1)"/>
      <w:numFmt w:val="lowerLetter"/>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3"/>
    </w:lvl>
  </w:abstractNum>
  <w:abstractNum w:abstractNumId="59">
    <w:nsid w:val="288F1A34"/>
    <w:multiLevelType w:val="hybridMultilevel"/>
    <w:lvl w:ilvl="0">
      <w:lvlJc w:val="left"/>
      <w:lvlText w:val="(%1)"/>
      <w:numFmt w:val="lowerLetter"/>
      <w:start w:val="1"/>
    </w:lvl>
    <w:lvl w:ilvl="1">
      <w:lvlJc w:val="left"/>
      <w:lvlText w:val="(%2)"/>
      <w:numFmt w:val="decimal"/>
      <w:start w:val="1"/>
    </w:lvl>
  </w:abstractNum>
  <w:abstractNum w:abstractNumId="60">
    <w:nsid w:val="2A155DBC"/>
    <w:multiLevelType w:val="hybridMultilevel"/>
    <w:lvl w:ilvl="0">
      <w:lvlJc w:val="left"/>
      <w:lvlText w:val="%1"/>
      <w:numFmt w:val="lowerLetter"/>
      <w:start w:val="1"/>
    </w:lvl>
    <w:lvl w:ilvl="1">
      <w:lvlJc w:val="left"/>
      <w:lvlText w:val="(%2)"/>
      <w:numFmt w:val="decimal"/>
      <w:start w:val="2"/>
    </w:lvl>
  </w:abstractNum>
  <w:abstractNum w:abstractNumId="61">
    <w:nsid w:val="1D9F6E5F"/>
    <w:multiLevelType w:val="hybridMultilevel"/>
    <w:lvl w:ilvl="0">
      <w:lvlJc w:val="left"/>
      <w:lvlText w:val="(%1)"/>
      <w:numFmt w:val="lowerLetter"/>
      <w:start w:val="2"/>
    </w:lvl>
    <w:lvl w:ilvl="1">
      <w:lvlJc w:val="left"/>
      <w:lvlText w:val="%2"/>
      <w:numFmt w:val="decimal"/>
      <w:start w:val="1"/>
    </w:lvl>
  </w:abstractNum>
  <w:abstractNum w:abstractNumId="62">
    <w:nsid w:val="97E1B4E"/>
    <w:multiLevelType w:val="hybridMultilevel"/>
    <w:lvl w:ilvl="0">
      <w:lvlJc w:val="left"/>
      <w:lvlText w:val="(%1)"/>
      <w:numFmt w:val="lowerLetter"/>
      <w:start w:val="5"/>
    </w:lvl>
  </w:abstractNum>
  <w:abstractNum w:abstractNumId="63">
    <w:nsid w:val="51088277"/>
    <w:multiLevelType w:val="hybridMultilevel"/>
    <w:lvl w:ilvl="0">
      <w:lvlJc w:val="left"/>
      <w:lvlText w:val="(%1)"/>
      <w:numFmt w:val="lowerLetter"/>
      <w:start w:val="1"/>
    </w:lvl>
    <w:lvl w:ilvl="1">
      <w:lvlJc w:val="left"/>
      <w:lvlText w:val="(%2)"/>
      <w:numFmt w:val="decimal"/>
      <w:start w:val="1"/>
    </w:lvl>
  </w:abstractNum>
  <w:abstractNum w:abstractNumId="64">
    <w:nsid w:val="1CA0C5FA"/>
    <w:multiLevelType w:val="hybridMultilevel"/>
    <w:lvl w:ilvl="0">
      <w:lvlJc w:val="left"/>
      <w:lvlText w:val="(%1)"/>
      <w:numFmt w:val="lowerLetter"/>
      <w:start w:val="2"/>
    </w:lvl>
  </w:abstractNum>
  <w:abstractNum w:abstractNumId="65">
    <w:nsid w:val="53584BCB"/>
    <w:multiLevelType w:val="hybridMultilevel"/>
    <w:lvl w:ilvl="0">
      <w:lvlJc w:val="left"/>
      <w:lvlText w:val="(%1)"/>
      <w:numFmt w:val="lowerLetter"/>
      <w:start w:val="1"/>
    </w:lvl>
  </w:abstractNum>
  <w:abstractNum w:abstractNumId="66">
    <w:nsid w:val="415E286C"/>
    <w:multiLevelType w:val="hybridMultilevel"/>
    <w:lvl w:ilvl="0">
      <w:lvlJc w:val="left"/>
      <w:lvlText w:val="%1"/>
      <w:numFmt w:val="lowerLetter"/>
      <w:start w:val="1"/>
    </w:lvl>
    <w:lvl w:ilvl="1">
      <w:lvlJc w:val="left"/>
      <w:lvlText w:val="(%2)"/>
      <w:numFmt w:val="decimal"/>
      <w:start w:val="1"/>
    </w:lvl>
  </w:abstractNum>
  <w:abstractNum w:abstractNumId="67">
    <w:nsid w:val="7C58FD05"/>
    <w:multiLevelType w:val="hybridMultilevel"/>
    <w:lvl w:ilvl="0">
      <w:lvlJc w:val="left"/>
      <w:lvlText w:val="(%1)"/>
      <w:numFmt w:val="lowerLetter"/>
      <w:start w:val="2"/>
    </w:lvl>
    <w:lvl w:ilvl="1">
      <w:lvlJc w:val="left"/>
      <w:lvlText w:val="(%2)"/>
      <w:numFmt w:val="decimal"/>
      <w:start w:val="4"/>
    </w:lvl>
  </w:abstractNum>
  <w:abstractNum w:abstractNumId="68">
    <w:nsid w:val="23D86AAC"/>
    <w:multiLevelType w:val="hybridMultilevel"/>
    <w:lvl w:ilvl="0">
      <w:lvlJc w:val="left"/>
      <w:lvlText w:val="(%1)"/>
      <w:numFmt w:val="decimal"/>
      <w:start w:val="5"/>
    </w:lvl>
  </w:abstractNum>
  <w:abstractNum w:abstractNumId="69">
    <w:nsid w:val="45E6D486"/>
    <w:multiLevelType w:val="hybridMultilevel"/>
    <w:lvl w:ilvl="0">
      <w:lvlJc w:val="left"/>
      <w:lvlText w:val="(%1)"/>
      <w:numFmt w:val="decimal"/>
      <w:start w:val="1"/>
    </w:lvl>
  </w:abstractNum>
  <w:abstractNum w:abstractNumId="70">
    <w:nsid w:val="5C10FE21"/>
    <w:multiLevelType w:val="hybridMultilevel"/>
    <w:lvl w:ilvl="0">
      <w:lvlJc w:val="left"/>
      <w:lvlText w:val="(%1)"/>
      <w:numFmt w:val="lowerLetter"/>
      <w:start w:val="1"/>
    </w:lvl>
    <w:lvl w:ilvl="1">
      <w:lvlJc w:val="left"/>
      <w:lvlText w:val="(%2)"/>
      <w:numFmt w:val="decimal"/>
      <w:start w:val="1"/>
    </w:lvl>
  </w:abstractNum>
  <w:abstractNum w:abstractNumId="71">
    <w:nsid w:val="E7FFA2B"/>
    <w:multiLevelType w:val="hybridMultilevel"/>
    <w:lvl w:ilvl="0">
      <w:lvlJc w:val="left"/>
      <w:lvlText w:val="(%1)"/>
      <w:numFmt w:val="decimal"/>
      <w:start w:val="6"/>
    </w:lvl>
  </w:abstractNum>
  <w:abstractNum w:abstractNumId="72">
    <w:nsid w:val="3C5991AA"/>
    <w:multiLevelType w:val="hybridMultilevel"/>
    <w:lvl w:ilvl="0">
      <w:lvlJc w:val="left"/>
      <w:lvlText w:val="(%1)"/>
      <w:numFmt w:val="lowerLetter"/>
      <w:start w:val="2"/>
    </w:lvl>
    <w:lvl w:ilvl="1">
      <w:lvlJc w:val="left"/>
      <w:lvlText w:val="(%2)"/>
      <w:numFmt w:val="decimal"/>
      <w:start w:val="1"/>
    </w:lvl>
  </w:abstractNum>
  <w:abstractNum w:abstractNumId="73">
    <w:nsid w:val="4BD8591A"/>
    <w:multiLevelType w:val="hybridMultilevel"/>
    <w:lvl w:ilvl="0">
      <w:lvlJc w:val="left"/>
      <w:lvlText w:val="(%1)"/>
      <w:numFmt w:val="lowerLetter"/>
      <w:start w:val="3"/>
    </w:lvl>
  </w:abstractNum>
  <w:abstractNum w:abstractNumId="74">
    <w:nsid w:val="78DF6A55"/>
    <w:multiLevelType w:val="hybridMultilevel"/>
    <w:lvl w:ilvl="0">
      <w:lvlJc w:val="left"/>
      <w:lvlText w:val="(%1)"/>
      <w:numFmt w:val="lowerLetter"/>
      <w:start w:val="5"/>
    </w:lvl>
  </w:abstractNum>
  <w:abstractNum w:abstractNumId="75">
    <w:nsid w:val="39B7AAA2"/>
    <w:multiLevelType w:val="hybridMultilevel"/>
    <w:lvl w:ilvl="0">
      <w:lvlJc w:val="left"/>
      <w:lvlText w:val="(%1)"/>
      <w:numFmt w:val="decimal"/>
      <w:start w:val="1"/>
    </w:lvl>
  </w:abstractNum>
  <w:abstractNum w:abstractNumId="76">
    <w:nsid w:val="2B0D8DBE"/>
    <w:multiLevelType w:val="hybridMultilevel"/>
    <w:lvl w:ilvl="0">
      <w:lvlJc w:val="left"/>
      <w:lvlText w:val="(%1)"/>
      <w:numFmt w:val="decimal"/>
      <w:start w:val="1"/>
    </w:lvl>
  </w:abstractNum>
  <w:abstractNum w:abstractNumId="77">
    <w:nsid w:val="6C80EC70"/>
    <w:multiLevelType w:val="hybridMultilevel"/>
    <w:lvl w:ilvl="0">
      <w:lvlJc w:val="left"/>
      <w:lvlText w:val="(%1)"/>
      <w:numFmt w:val="decimal"/>
      <w:start w:val="3"/>
    </w:lvl>
  </w:abstractNum>
  <w:abstractNum w:abstractNumId="78">
    <w:nsid w:val="379E21B5"/>
    <w:multiLevelType w:val="hybridMultilevel"/>
    <w:lvl w:ilvl="0">
      <w:lvlJc w:val="left"/>
      <w:lvlText w:val="(%1)"/>
      <w:numFmt w:val="decimal"/>
      <w:start w:val="1"/>
    </w:lvl>
    <w:lvl w:ilvl="1">
      <w:lvlJc w:val="left"/>
      <w:lvlText w:val="(%2)"/>
      <w:numFmt w:val="upperLetter"/>
      <w:start w:val="1"/>
    </w:lvl>
  </w:abstractNum>
  <w:abstractNum w:abstractNumId="79">
    <w:nsid w:val="69E373"/>
    <w:multiLevelType w:val="hybridMultilevel"/>
    <w:lvl w:ilvl="0">
      <w:lvlJc w:val="left"/>
      <w:lvlText w:val="(%1)"/>
      <w:numFmt w:val="decimal"/>
      <w:start w:val="2"/>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1"/>
    </w:lvl>
    <w:lvl w:ilvl="1">
      <w:lvlJc w:val="left"/>
      <w:lvlText w:val="(%2)"/>
      <w:numFmt w:val="upperLetter"/>
      <w:start w:val="1"/>
    </w:lvl>
  </w:abstractNum>
  <w:abstractNum w:abstractNumId="82">
    <w:nsid w:val="6AA7B75C"/>
    <w:multiLevelType w:val="hybridMultilevel"/>
    <w:lvl w:ilvl="0">
      <w:lvlJc w:val="left"/>
      <w:lvlText w:val="(%1)"/>
      <w:numFmt w:val="lowerRoman"/>
      <w:start w:val="2"/>
    </w:lvl>
    <w:lvl w:ilvl="1">
      <w:lvlJc w:val="left"/>
      <w:lvlText w:val="(%2)"/>
      <w:numFmt w:val="decimal"/>
      <w:start w:val="5"/>
    </w:lvl>
  </w:abstractNum>
  <w:abstractNum w:abstractNumId="83">
    <w:nsid w:val="1DF029D3"/>
    <w:multiLevelType w:val="hybridMultilevel"/>
    <w:lvl w:ilvl="0">
      <w:lvlJc w:val="left"/>
      <w:lvlText w:val="(%1)"/>
      <w:numFmt w:val="decimal"/>
      <w:start w:val="6"/>
    </w:lvl>
    <w:lvl w:ilvl="1">
      <w:lvlJc w:val="left"/>
      <w:lvlText w:val="(%2)"/>
      <w:numFmt w:val="upperLetter"/>
      <w:start w:val="1"/>
    </w:lvl>
  </w:abstractNum>
  <w:abstractNum w:abstractNumId="84">
    <w:nsid w:val="5675FF36"/>
    <w:multiLevelType w:val="hybridMultilevel"/>
    <w:lvl w:ilvl="0">
      <w:lvlJc w:val="left"/>
      <w:lvlText w:val="(%1)"/>
      <w:numFmt w:val="decimal"/>
      <w:start w:val="1"/>
    </w:lvl>
  </w:abstractNum>
  <w:abstractNum w:abstractNumId="85">
    <w:nsid w:val="3DD15094"/>
    <w:multiLevelType w:val="hybridMultilevel"/>
    <w:lvl w:ilvl="0">
      <w:lvlJc w:val="left"/>
      <w:lvlText w:val="(%1)"/>
      <w:numFmt w:val="decimal"/>
      <w:start w:val="3"/>
    </w:lvl>
  </w:abstractNum>
  <w:abstractNum w:abstractNumId="86">
    <w:nsid w:val="3DB012B3"/>
    <w:multiLevelType w:val="hybridMultilevel"/>
    <w:lvl w:ilvl="0">
      <w:lvlJc w:val="left"/>
      <w:lvlText w:val="(%1)"/>
      <w:numFmt w:val="decimal"/>
      <w:start w:val="4"/>
    </w:lvl>
  </w:abstractNum>
  <w:abstractNum w:abstractNumId="87">
    <w:nsid w:val="2708C9AF"/>
    <w:multiLevelType w:val="hybridMultilevel"/>
    <w:lvl w:ilvl="0">
      <w:lvlJc w:val="left"/>
      <w:lvlText w:val="(%1)"/>
      <w:numFmt w:val="decimal"/>
      <w:start w:val="5"/>
    </w:lvl>
  </w:abstractNum>
  <w:abstractNum w:abstractNumId="88">
    <w:nsid w:val="5B25ACE2"/>
    <w:multiLevelType w:val="hybridMultilevel"/>
    <w:lvl w:ilvl="0">
      <w:lvlJc w:val="left"/>
      <w:lvlText w:val="(%1)"/>
      <w:numFmt w:val="lowerLetter"/>
      <w:start w:val="1"/>
    </w:lvl>
    <w:lvl w:ilvl="1">
      <w:lvlJc w:val="left"/>
      <w:lvlText w:val="(%2)"/>
      <w:numFmt w:val="decimal"/>
      <w:start w:val="1"/>
    </w:lvl>
  </w:abstractNum>
  <w:abstractNum w:abstractNumId="89">
    <w:nsid w:val="175DFCF0"/>
    <w:multiLevelType w:val="hybridMultilevel"/>
    <w:lvl w:ilvl="0">
      <w:lvlJc w:val="left"/>
      <w:lvlText w:val="%1"/>
      <w:numFmt w:val="lowerLetter"/>
      <w:start w:val="1"/>
    </w:lvl>
    <w:lvl w:ilvl="1">
      <w:lvlJc w:val="left"/>
      <w:lvlText w:val="(%2)"/>
      <w:numFmt w:val="decimal"/>
      <w:start w:val="3"/>
    </w:lvl>
  </w:abstractNum>
  <w:abstractNum w:abstractNumId="90">
    <w:nsid w:val="4F97E3E4"/>
    <w:multiLevelType w:val="hybridMultilevel"/>
    <w:lvl w:ilvl="0">
      <w:lvlJc w:val="left"/>
      <w:lvlText w:val="(%1)"/>
      <w:numFmt w:val="lowerLetter"/>
      <w:start w:val="4"/>
    </w:lvl>
    <w:lvl w:ilvl="1">
      <w:lvlJc w:val="left"/>
      <w:lvlText w:val="%2"/>
      <w:numFmt w:val="decimal"/>
      <w:start w:val="1"/>
    </w:lvl>
  </w:abstractNum>
  <w:abstractNum w:abstractNumId="91">
    <w:nsid w:val="53B0A9E"/>
    <w:multiLevelType w:val="hybridMultilevel"/>
    <w:lvl w:ilvl="0">
      <w:lvlJc w:val="left"/>
      <w:lvlText w:val="(%1)"/>
      <w:numFmt w:val="lowerLetter"/>
      <w:start w:val="1"/>
    </w:lvl>
  </w:abstractNum>
  <w:abstractNum w:abstractNumId="92">
    <w:nsid w:val="34FD6B4F"/>
    <w:multiLevelType w:val="hybridMultilevel"/>
    <w:lvl w:ilvl="0">
      <w:lvlJc w:val="left"/>
      <w:lvlText w:val="(%1)"/>
      <w:numFmt w:val="lowerLetter"/>
      <w:start w:val="8"/>
    </w:lvl>
  </w:abstractNum>
  <w:abstractNum w:abstractNumId="93">
    <w:nsid w:val="5915FF32"/>
    <w:multiLevelType w:val="hybridMultilevel"/>
    <w:lvl w:ilvl="0">
      <w:lvlJc w:val="left"/>
      <w:lvlText w:val="(%1)"/>
      <w:numFmt w:val="lowerLetter"/>
      <w:start w:val="1"/>
    </w:lvl>
  </w:abstractNum>
  <w:abstractNum w:abstractNumId="94">
    <w:nsid w:val="56438D15"/>
    <w:multiLevelType w:val="hybridMultilevel"/>
    <w:lvl w:ilvl="0">
      <w:lvlJc w:val="left"/>
      <w:lvlText w:val="(%1)"/>
      <w:numFmt w:val="lowerLetter"/>
      <w:start w:val="6"/>
    </w:lvl>
  </w:abstractNum>
  <w:abstractNum w:abstractNumId="95">
    <w:nsid w:val="519E3149"/>
    <w:multiLevelType w:val="hybridMultilevel"/>
    <w:lvl w:ilvl="0">
      <w:lvlJc w:val="left"/>
      <w:lvlText w:val="(%1)"/>
      <w:numFmt w:val="lowerLetter"/>
      <w:start w:val="1"/>
    </w:lvl>
    <w:lvl w:ilvl="1">
      <w:lvlJc w:val="left"/>
      <w:lvlText w:val="(%2)"/>
      <w:numFmt w:val="decimal"/>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2"/>
    </w:lvl>
  </w:abstractNum>
  <w:abstractNum w:abstractNumId="98">
    <w:nsid w:val="4DF72E4E"/>
    <w:multiLevelType w:val="hybridMultilevel"/>
    <w:lvl w:ilvl="0">
      <w:lvlJc w:val="left"/>
      <w:lvlText w:val="(%1)"/>
      <w:numFmt w:val="decimal"/>
      <w:start w:val="1"/>
    </w:lvl>
    <w:lvl w:ilvl="1">
      <w:lvlJc w:val="left"/>
      <w:lvlText w:val="(%2)"/>
      <w:numFmt w:val="upperLetter"/>
      <w:start w:val="1"/>
    </w:lvl>
  </w:abstractNum>
  <w:abstractNum w:abstractNumId="99">
    <w:nsid w:val="5046B5A9"/>
    <w:multiLevelType w:val="hybridMultilevel"/>
    <w:lvl w:ilvl="0">
      <w:lvlJc w:val="left"/>
      <w:lvlText w:val="(%1)"/>
      <w:numFmt w:val="upperLetter"/>
      <w:start w:val="2"/>
    </w:lvl>
  </w:abstractNum>
  <w:abstractNum w:abstractNumId="100">
    <w:nsid w:val="5D888A08"/>
    <w:multiLevelType w:val="hybridMultilevel"/>
    <w:lvl w:ilvl="0">
      <w:lvlJc w:val="left"/>
      <w:lvlText w:val="(%1)"/>
      <w:numFmt w:val="decimal"/>
      <w:start w:val="3"/>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decimal"/>
      <w:start w:val="2"/>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1)"/>
      <w:numFmt w:val="lowerLetter"/>
      <w:start w:val="1"/>
    </w:lvl>
    <w:lvl w:ilvl="1">
      <w:lvlJc w:val="left"/>
      <w:lvlText w:val="(%2)"/>
      <w:numFmt w:val="decimal"/>
      <w:start w:val="1"/>
    </w:lvl>
  </w:abstractNum>
  <w:abstractNum w:abstractNumId="105">
    <w:nsid w:val="57A61A29"/>
    <w:multiLevelType w:val="hybridMultilevel"/>
    <w:lvl w:ilvl="0">
      <w:lvlJc w:val="left"/>
      <w:lvlText w:val="(%1)"/>
      <w:numFmt w:val="decimal"/>
      <w:start w:val="2"/>
    </w:lvl>
  </w:abstractNum>
  <w:abstractNum w:abstractNumId="106">
    <w:nsid w:val="5399C654"/>
    <w:multiLevelType w:val="hybridMultilevel"/>
    <w:lvl w:ilvl="0">
      <w:lvlJc w:val="left"/>
      <w:lvlText w:val="(%1)"/>
      <w:numFmt w:val="lowerLetter"/>
      <w:start w:val="2"/>
    </w:lvl>
  </w:abstractNum>
  <w:abstractNum w:abstractNumId="107">
    <w:nsid w:val="20EE1348"/>
    <w:multiLevelType w:val="hybridMultilevel"/>
    <w:lvl w:ilvl="0">
      <w:lvlJc w:val="left"/>
      <w:lvlText w:val="(%1)"/>
      <w:numFmt w:val="decimal"/>
      <w:start w:val="1"/>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0">
    <w:nsid w:val="2157F6BC"/>
    <w:multiLevelType w:val="hybridMultilevel"/>
    <w:lvl w:ilvl="0">
      <w:lvlJc w:val="left"/>
      <w:lvlText w:val="(%1)"/>
      <w:numFmt w:val="lowerLetter"/>
      <w:start w:val="5"/>
    </w:lvl>
  </w:abstractNum>
  <w:abstractNum w:abstractNumId="111">
    <w:nsid w:val="704E1DD5"/>
    <w:multiLevelType w:val="hybridMultilevel"/>
    <w:lvl w:ilvl="0">
      <w:lvlJc w:val="left"/>
      <w:lvlText w:val="(%1)"/>
      <w:numFmt w:val="decimal"/>
      <w:start w:val="1"/>
    </w:lvl>
    <w:lvl w:ilvl="1">
      <w:lvlJc w:val="left"/>
      <w:lvlText w:val="(%2)"/>
      <w:numFmt w:val="lowerLetter"/>
      <w:start w:val="1"/>
    </w:lvl>
  </w:abstractNum>
  <w:abstractNum w:abstractNumId="112">
    <w:nsid w:val="57D2F10E"/>
    <w:multiLevelType w:val="hybridMultilevel"/>
    <w:lvl w:ilvl="0">
      <w:lvlJc w:val="left"/>
      <w:lvlText w:val="(%1)"/>
      <w:numFmt w:val="decimal"/>
      <w:start w:val="1"/>
    </w:lvl>
  </w:abstractNum>
  <w:abstractNum w:abstractNumId="113">
    <w:nsid w:val="BFFAE18"/>
    <w:multiLevelType w:val="hybridMultilevel"/>
    <w:lvl w:ilvl="0">
      <w:lvlJc w:val="left"/>
      <w:lvlText w:val="(%1)"/>
      <w:numFmt w:val="decimal"/>
      <w:start w:val="1"/>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1)"/>
      <w:numFmt w:val="decimal"/>
      <w:start w:val="2"/>
    </w:lvl>
  </w:abstractNum>
  <w:abstractNum w:abstractNumId="116">
    <w:nsid w:val="49D0FEAC"/>
    <w:multiLevelType w:val="hybridMultilevel"/>
    <w:lvl w:ilvl="0">
      <w:lvlJc w:val="left"/>
      <w:lvlText w:val="(%1)"/>
      <w:numFmt w:val="decimal"/>
      <w:start w:val="1"/>
    </w:lvl>
  </w:abstractNum>
  <w:abstractNum w:abstractNumId="117">
    <w:nsid w:val="4BEE5A5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8">
    <w:nsid w:val="5551B9F3"/>
    <w:multiLevelType w:val="hybridMultilevel"/>
    <w:lvl w:ilvl="0">
      <w:lvlJc w:val="left"/>
      <w:lvlText w:val="(%1)"/>
      <w:numFmt w:val="lowerLetter"/>
      <w:start w:val="5"/>
    </w:lvl>
  </w:abstractNum>
  <w:abstractNum w:abstractNumId="119">
    <w:nsid w:val="24F6AB8E"/>
    <w:multiLevelType w:val="hybridMultilevel"/>
    <w:lvl w:ilvl="0">
      <w:lvlJc w:val="left"/>
      <w:lvlText w:val="%1"/>
      <w:numFmt w:val="decimal"/>
      <w:start w:val="1"/>
    </w:lvl>
    <w:lvl w:ilvl="1">
      <w:lvlJc w:val="left"/>
      <w:lvlText w:val="(%2)"/>
      <w:numFmt w:val="lowerLetter"/>
      <w:start w:val="6"/>
    </w:lvl>
  </w:abstractNum>
  <w:abstractNum w:abstractNumId="120">
    <w:nsid w:val="634C574C"/>
    <w:multiLevelType w:val="hybridMultilevel"/>
    <w:lvl w:ilvl="0">
      <w:lvlJc w:val="left"/>
      <w:lvlText w:val="(%1)"/>
      <w:numFmt w:val="decimal"/>
      <w:start w:val="6"/>
    </w:lvl>
    <w:lvl w:ilvl="1">
      <w:lvlJc w:val="left"/>
      <w:lvlText w:val="%2"/>
      <w:numFmt w:val="lowerLetter"/>
      <w:start w:val="1"/>
    </w:lvl>
  </w:abstractNum>
  <w:abstractNum w:abstractNumId="121">
    <w:nsid w:val="24E99DD7"/>
    <w:multiLevelType w:val="hybridMultilevel"/>
    <w:lvl w:ilvl="0">
      <w:lvlJc w:val="left"/>
      <w:lvlText w:val="(%1)"/>
      <w:numFmt w:val="decimal"/>
      <w:start w:val="7"/>
    </w:lvl>
    <w:lvl w:ilvl="1">
      <w:lvlJc w:val="left"/>
      <w:lvlText w:val="(%2)"/>
      <w:numFmt w:val="lowerLetter"/>
      <w:start w:val="1"/>
    </w:lvl>
  </w:abstractNum>
  <w:abstractNum w:abstractNumId="122">
    <w:nsid w:val="2A31B62D"/>
    <w:multiLevelType w:val="hybridMultilevel"/>
    <w:lvl w:ilvl="0">
      <w:lvlJc w:val="left"/>
      <w:lvlText w:val="(%1)"/>
      <w:numFmt w:val="decimal"/>
      <w:start w:val="9"/>
    </w:lvl>
  </w:abstractNum>
  <w:abstractNum w:abstractNumId="123">
    <w:nsid w:val="1849C29B"/>
    <w:multiLevelType w:val="hybridMultilevel"/>
    <w:lvl w:ilvl="0">
      <w:lvlJc w:val="left"/>
      <w:lvlText w:val="%1"/>
      <w:numFmt w:val="lowerRoman"/>
      <w:start w:val="1"/>
    </w:lvl>
    <w:lvl w:ilvl="1">
      <w:lvlJc w:val="left"/>
      <w:lvlText w:val="(%2)"/>
      <w:numFmt w:val="decimal"/>
      <w:start w:val="12"/>
    </w:lvl>
  </w:abstractNum>
  <w:abstractNum w:abstractNumId="124">
    <w:nsid w:val="7DFF9D09"/>
    <w:multiLevelType w:val="hybridMultilevel"/>
    <w:lvl w:ilvl="0">
      <w:lvlJc w:val="left"/>
      <w:lvlText w:val="(%1)"/>
      <w:numFmt w:val="lowerRoman"/>
      <w:start w:val="2"/>
    </w:lvl>
    <w:lvl w:ilvl="1">
      <w:lvlJc w:val="left"/>
      <w:lvlText w:val="%2"/>
      <w:numFmt w:val="decimal"/>
      <w:start w:val="1"/>
    </w:lvl>
  </w:abstractNum>
  <w:abstractNum w:abstractNumId="125">
    <w:nsid w:val="754342"/>
    <w:multiLevelType w:val="hybridMultilevel"/>
    <w:lvl w:ilvl="0">
      <w:lvlJc w:val="left"/>
      <w:lvlText w:val="(%1)"/>
      <w:numFmt w:val="lowerRoman"/>
      <w:start w:val="10"/>
    </w:lvl>
    <w:lvl w:ilvl="1">
      <w:lvlJc w:val="left"/>
      <w:lvlText w:val="%2"/>
      <w:numFmt w:val="decimal"/>
      <w:start w:val="1"/>
    </w:lvl>
  </w:abstractNum>
  <w:abstractNum w:abstractNumId="126">
    <w:nsid w:val="69E7F3E5"/>
    <w:multiLevelType w:val="hybridMultilevel"/>
    <w:lvl w:ilvl="0">
      <w:lvlJc w:val="left"/>
      <w:lvlText w:val="(%1)"/>
      <w:numFmt w:val="decimal"/>
      <w:start w:val="13"/>
    </w:lvl>
  </w:abstractNum>
  <w:abstractNum w:abstractNumId="127">
    <w:nsid w:val="2A6DE806"/>
    <w:multiLevelType w:val="hybridMultilevel"/>
    <w:lvl w:ilvl="0">
      <w:lvlJc w:val="left"/>
      <w:lvlText w:val="(%1)"/>
      <w:numFmt w:val="upperLetter"/>
      <w:start w:val="9"/>
    </w:lvl>
  </w:abstractNum>
  <w:abstractNum w:abstractNumId="128">
    <w:nsid w:val="1816F8C4"/>
    <w:multiLevelType w:val="hybridMultilevel"/>
    <w:lvl w:ilvl="0">
      <w:lvlJc w:val="left"/>
      <w:lvlText w:val="*"/>
      <w:numFmt w:val="bullet"/>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lowerRoman"/>
      <w:start w:val="1"/>
    </w:lvl>
    <w:lvl w:ilvl="1">
      <w:lvlJc w:val="left"/>
      <w:lvlText w:val="%2."/>
      <w:numFmt w:val="decimal"/>
      <w:start w:val="1"/>
    </w:lvl>
  </w:abstractNum>
  <w:abstractNum w:abstractNumId="132">
    <w:nsid w:val="61E74EA3"/>
    <w:multiLevelType w:val="hybridMultilevel"/>
    <w:lvl w:ilvl="0">
      <w:lvlJc w:val="left"/>
      <w:lvlText w:val="(%1)"/>
      <w:numFmt w:val="lowerRoman"/>
      <w:start w:val="3"/>
    </w:lvl>
    <w:lvl w:ilvl="1">
      <w:lvlJc w:val="left"/>
      <w:lvlText w:val="%2"/>
      <w:numFmt w:val="decimal"/>
      <w:start w:val="1"/>
    </w:lvl>
  </w:abstractNum>
  <w:abstractNum w:abstractNumId="133">
    <w:nsid w:val="597B4D84"/>
    <w:multiLevelType w:val="hybridMultilevel"/>
    <w:lvl w:ilvl="0">
      <w:lvlJc w:val="left"/>
      <w:lvlText w:val="%1."/>
      <w:numFmt w:val="decimal"/>
      <w:start w:val="3"/>
    </w:lvl>
    <w:lvl w:ilvl="1">
      <w:lvlJc w:val="left"/>
      <w:lvlText w:val="(%2)"/>
      <w:numFmt w:val="lowerLetter"/>
      <w:start w:val="1"/>
    </w:lvl>
  </w:abstractNum>
  <w:abstractNum w:abstractNumId="134">
    <w:nsid w:val="F819E7F"/>
    <w:multiLevelType w:val="hybridMultilevel"/>
    <w:lvl w:ilvl="0">
      <w:lvlJc w:val="left"/>
      <w:lvlText w:val="(%1)"/>
      <w:numFmt w:val="lowerLetter"/>
      <w:start w:val="2"/>
    </w:lvl>
  </w:abstractNum>
  <w:abstractNum w:abstractNumId="135">
    <w:nsid w:val="57C7D42D"/>
    <w:multiLevelType w:val="hybridMultilevel"/>
    <w:lvl w:ilvl="0">
      <w:lvlJc w:val="left"/>
      <w:lvlText w:val="%1"/>
      <w:numFmt w:val="decimal"/>
      <w:start w:val="1"/>
    </w:lvl>
    <w:lvl w:ilvl="1">
      <w:lvlJc w:val="left"/>
      <w:lvlText w:val="(%2)"/>
      <w:numFmt w:val="lowerLetter"/>
      <w:start w:val="4"/>
    </w:lvl>
  </w:abstractNum>
  <w:abstractNum w:abstractNumId="136">
    <w:nsid w:val="312167AD"/>
    <w:multiLevelType w:val="hybridMultilevel"/>
    <w:lvl w:ilvl="0">
      <w:lvlJc w:val="left"/>
      <w:lvlText w:val="%1."/>
      <w:numFmt w:val="decimal"/>
      <w:start w:val="4"/>
    </w:lvl>
    <w:lvl w:ilvl="1">
      <w:lvlJc w:val="left"/>
      <w:lvlText w:val="%2"/>
      <w:numFmt w:val="lowerLetter"/>
      <w:start w:val="1"/>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lowerLetter"/>
      <w:start w:val="2"/>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1"/>
      <w:numFmt w:val="decimal"/>
      <w:start w:val="1"/>
    </w:lvl>
    <w:lvl w:ilvl="1">
      <w:lvlJc w:val="left"/>
      <w:lvlText w:val="(%2)"/>
      <w:numFmt w:val="lowerLetter"/>
      <w:start w:val="2"/>
    </w:lvl>
  </w:abstractNum>
  <w:abstractNum w:abstractNumId="141">
    <w:nsid w:val="1A0DDE32"/>
    <w:multiLevelType w:val="hybridMultilevel"/>
    <w:lvl w:ilvl="0">
      <w:lvlJc w:val="left"/>
      <w:lvlText w:val="%1."/>
      <w:numFmt w:val="decimal"/>
      <w:start w:val="2"/>
    </w:lvl>
    <w:lvl w:ilvl="1">
      <w:lvlJc w:val="left"/>
      <w:lvlText w:val="%2"/>
      <w:numFmt w:val="lowerLetter"/>
      <w:start w:val="1"/>
    </w:lvl>
  </w:abstractNum>
  <w:abstractNum w:abstractNumId="142">
    <w:nsid w:val="65968C1C"/>
    <w:multiLevelType w:val="hybridMultilevel"/>
    <w:lvl w:ilvl="0">
      <w:lvlJc w:val="left"/>
      <w:lvlText w:val="(%1)"/>
      <w:numFmt w:val="lowerLetter"/>
      <w:start w:val="2"/>
    </w:lvl>
  </w:abstractNum>
  <w:abstractNum w:abstractNumId="143">
    <w:nsid w:val="46263DEC"/>
    <w:multiLevelType w:val="hybridMultilevel"/>
    <w:lvl w:ilvl="0">
      <w:lvlJc w:val="left"/>
      <w:lvlText w:val="%1."/>
      <w:numFmt w:val="decimal"/>
    </w:lvl>
    <w:lvl w:ilvl="1">
      <w:lvlJc w:val="left"/>
      <w:lvlText w:val=","/>
      <w:numFmt w:val="bullet"/>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3"/>
    </w:lvl>
  </w:abstractNum>
  <w:abstractNum w:abstractNumId="146">
    <w:nsid w:val="746F2E30"/>
    <w:multiLevelType w:val="hybridMultilevel"/>
    <w:lvl w:ilvl="0">
      <w:lvlJc w:val="left"/>
      <w:lvlText w:val="%1."/>
      <w:numFmt w:val="decimal"/>
      <w:start w:val="2"/>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1"/>
    </w:lvl>
  </w:abstractNum>
  <w:abstractNum w:abstractNumId="149">
    <w:nsid w:val="49C0E823"/>
    <w:multiLevelType w:val="hybridMultilevel"/>
    <w:lvl w:ilvl="0">
      <w:lvlJc w:val="left"/>
      <w:lvlText w:val="%1"/>
      <w:numFmt w:val="upperLetter"/>
      <w:start w:val="1"/>
    </w:lvl>
    <w:lvl w:ilvl="1">
      <w:lvlJc w:val="left"/>
      <w:lvlText w:val="%2."/>
      <w:numFmt w:val="decimal"/>
      <w:start w:val="1"/>
    </w:lvl>
  </w:abstractNum>
  <w:abstractNum w:abstractNumId="150">
    <w:nsid w:val="14D53685"/>
    <w:multiLevelType w:val="hybridMultilevel"/>
    <w:lvl w:ilvl="0">
      <w:lvlJc w:val="left"/>
      <w:lvlText w:val="(%1)"/>
      <w:numFmt w:val="upperLetter"/>
      <w:start w:val="2"/>
    </w:lvl>
    <w:lvl w:ilvl="1">
      <w:lvlJc w:val="left"/>
      <w:lvlText w:val="%2"/>
      <w:numFmt w:val="decimal"/>
      <w:start w:val="1"/>
    </w:lvl>
  </w:abstractNum>
  <w:abstractNum w:abstractNumId="151">
    <w:nsid w:val="230F856C"/>
    <w:multiLevelType w:val="hybridMultilevel"/>
    <w:lvl w:ilvl="0">
      <w:lvlJc w:val="left"/>
      <w:lvlText w:val="(%1)"/>
      <w:numFmt w:val="upperLetter"/>
      <w:start w:val="4"/>
    </w:lvl>
    <w:lvl w:ilvl="1">
      <w:lvlJc w:val="left"/>
      <w:lvlText w:val="%2"/>
      <w:numFmt w:val="decimal"/>
      <w:start w:val="1"/>
    </w:lvl>
  </w:abstractNum>
  <w:abstractNum w:abstractNumId="152">
    <w:nsid w:val="6EAA85FB"/>
    <w:multiLevelType w:val="hybridMultilevel"/>
    <w:lvl w:ilvl="0">
      <w:lvlJc w:val="left"/>
      <w:lvlText w:val="%1."/>
      <w:numFmt w:val="decimal"/>
      <w:start w:val="3"/>
    </w:lvl>
  </w:abstractNum>
  <w:abstractNum w:abstractNumId="153">
    <w:nsid w:val="3F06ECB2"/>
    <w:multiLevelType w:val="hybridMultilevel"/>
    <w:lvl w:ilvl="0">
      <w:lvlJc w:val="left"/>
      <w:lvlText w:val="%1."/>
      <w:numFmt w:val="decimal"/>
      <w:start w:val="1"/>
    </w:lvl>
  </w:abstractNum>
  <w:abstractNum w:abstractNumId="154">
    <w:nsid w:val="3B594807"/>
    <w:multiLevelType w:val="hybridMultilevel"/>
    <w:lvl w:ilvl="0">
      <w:lvlJc w:val="left"/>
      <w:lvlText w:val="%1."/>
      <w:numFmt w:val="decimal"/>
      <w:start w:val="4"/>
    </w:lvl>
  </w:abstractNum>
  <w:abstractNum w:abstractNumId="155">
    <w:nsid w:val="6CAA230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2021-03-09T15:31:25Z</dcterms:created>
  <dcterms:modified xsi:type="dcterms:W3CDTF">2021-03-09T15:31:25Z</dcterms:modified>
</cp:coreProperties>
</file>