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13,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2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CWEN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January 13, 2026, Clearway Energy Operating LLC (“Clearway Operating”), a subsidiary of Clearway Energy, Inc., completed the sale of $600 million aggregate principal amount of 5.750% senior notes due 2034 (the “Senior Notes”) pursuant to the terms of the purchase agreement, dated January 8, 2026 (the “Purchase Agreement”), among Clearway Operating, the guarantors named therein and the initial purchasers named therein (the “Initial Purchasers”). The Senior Notes were issued under an Indenture, dated January 13, 2026 (the “Indenture”), among Clearway Operating, the guarantors named therein and CSC Delaware Trust Company (formerly known as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January 15 and July 15 of each year beginning on July 15, 2026 until their maturity date of January 15, 2034.</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At any time prior to January 15, 2029, Clearway Operating may redeem up to 40% of the Senior Notes at a redemption price of 105.750% of the principal amount of the Senior Notes redeemed, plus accrued and unpaid interest to the redemption date, in an amount equal to the net cash proceeds of one or more equity offerings, so long as the redemption occurs within 180 days of completing such equity offering and at least 50% of the aggregate principal amount of the Senior Notes remains outstanding after such redemption.</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at any time prior to January 15, 2029, Clearway Operating may redeem all or a portion of the Senior Notes for cash at a redemption price equal to 100% of the principal amount of the Senior Notes redeemed, plus an applicable make-whole premium and accrued and unpaid interest to the redemption date. On and after January 15, 2029, Clearway Operating may redeem all or a portion of the Senior Notes at redemption prices set forth in the Indenture, plus accrued and unpaid interest to the redemption date.</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30% in principal amount of the then outstanding series of Senior Notes may declare all the Senior Notes of such series to be due and payable immediately.</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Senior Notes were sold to the Initial Purchasers for resale to persons reasonably believed to be qualified institutional buyers under Rule 144A of the Securities Act of 1933, as amended (the “Securities Act”), and to persons outside the United States under Regulation S of the Securities Act. 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8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descriptions do not purport to be complete and are qualified by reference to the Indenture and the form of Senior Note, which are filed as Exhibits 4.1 and 4.2,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600" w:type="dxa"/>
            <w:vAlign w:val="bottom"/>
            <w:tcBorders>
              <w:bottom w:val="single" w:sz="8" w:color="auto"/>
            </w:tcBorders>
            <w:gridSpan w:val="3"/>
          </w:tcPr>
          <w:p>
            <w:pPr>
              <w:ind w:left="404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Indenture, dated January 13, 2026, among Clearway Energy Operating LLC, the guarantors named therein and CSC Delaware Trust Company,</w:t>
            </w:r>
          </w:p>
        </w:tc>
      </w:tr>
      <w:tr>
        <w:trPr>
          <w:trHeight w:val="196"/>
        </w:trPr>
        <w:tc>
          <w:tcPr>
            <w:tcW w:w="2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as trustee.</w:t>
            </w:r>
          </w:p>
        </w:tc>
        <w:tc>
          <w:tcPr>
            <w:tcW w:w="954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Form of 5.750% Senior Notes due 2034 (incorporated by reference to Exhibit 4.1 filed herewith).</w:t>
            </w:r>
          </w:p>
        </w:tc>
      </w:tr>
      <w:tr>
        <w:trPr>
          <w:trHeight w:val="20"/>
        </w:trPr>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8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AND EACH OF THE GUARANTORS PARTY HERETO</w:t>
      </w:r>
    </w:p>
    <w:p>
      <w:pPr>
        <w:spacing w:after="0" w:line="2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5.750%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January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445770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CSC Delaware Trust Company</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351790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831850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4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780" w:type="dxa"/>
            <w:vAlign w:val="bottom"/>
          </w:tcPr>
          <w:p>
            <w:pPr>
              <w:spacing w:after="0"/>
              <w:rPr>
                <w:sz w:val="20"/>
                <w:szCs w:val="20"/>
                <w:color w:val="auto"/>
              </w:rPr>
            </w:pPr>
          </w:p>
        </w:tc>
      </w:tr>
      <w:tr>
        <w:trPr>
          <w:trHeight w:val="432"/>
        </w:trPr>
        <w:tc>
          <w:tcPr>
            <w:tcW w:w="94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414"/>
        </w:trPr>
        <w:tc>
          <w:tcPr>
            <w:tcW w:w="94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8"/>
              </w:rPr>
              <w:t>ARTICLE 1</w:t>
            </w:r>
          </w:p>
        </w:tc>
        <w:tc>
          <w:tcPr>
            <w:tcW w:w="1780" w:type="dxa"/>
            <w:vAlign w:val="bottom"/>
          </w:tcPr>
          <w:p>
            <w:pPr>
              <w:spacing w:after="0"/>
              <w:rPr>
                <w:sz w:val="24"/>
                <w:szCs w:val="24"/>
                <w:color w:val="auto"/>
              </w:rPr>
            </w:pPr>
          </w:p>
        </w:tc>
      </w:tr>
      <w:tr>
        <w:trPr>
          <w:trHeight w:val="216"/>
        </w:trPr>
        <w:tc>
          <w:tcPr>
            <w:tcW w:w="94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9"/>
              </w:rPr>
              <w:t>DEFINITIONS AND INCORPORATION</w:t>
            </w:r>
          </w:p>
        </w:tc>
        <w:tc>
          <w:tcPr>
            <w:tcW w:w="1780" w:type="dxa"/>
            <w:vAlign w:val="bottom"/>
          </w:tcPr>
          <w:p>
            <w:pPr>
              <w:spacing w:after="0"/>
              <w:rPr>
                <w:sz w:val="18"/>
                <w:szCs w:val="18"/>
                <w:color w:val="auto"/>
              </w:rPr>
            </w:pPr>
          </w:p>
        </w:tc>
      </w:tr>
      <w:tr>
        <w:trPr>
          <w:trHeight w:val="234"/>
        </w:trPr>
        <w:tc>
          <w:tcPr>
            <w:tcW w:w="94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9"/>
              </w:rPr>
              <w:t>BY REFERENCE</w:t>
            </w:r>
          </w:p>
        </w:tc>
        <w:tc>
          <w:tcPr>
            <w:tcW w:w="1780" w:type="dxa"/>
            <w:vAlign w:val="bottom"/>
          </w:tcPr>
          <w:p>
            <w:pPr>
              <w:spacing w:after="0"/>
              <w:rPr>
                <w:sz w:val="20"/>
                <w:szCs w:val="20"/>
                <w:color w:val="auto"/>
              </w:rPr>
            </w:pPr>
          </w:p>
        </w:tc>
      </w:tr>
      <w:tr>
        <w:trPr>
          <w:trHeight w:val="41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1.01     Definitions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1.02     Other Definitions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1.03     Rules of Construction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w:t>
            </w:r>
          </w:p>
        </w:tc>
      </w:tr>
      <w:tr>
        <w:trPr>
          <w:trHeight w:val="414"/>
        </w:trPr>
        <w:tc>
          <w:tcPr>
            <w:tcW w:w="94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8"/>
              </w:rPr>
              <w:t>ARTICLE 2</w:t>
            </w:r>
          </w:p>
        </w:tc>
        <w:tc>
          <w:tcPr>
            <w:tcW w:w="1780" w:type="dxa"/>
            <w:vAlign w:val="bottom"/>
          </w:tcPr>
          <w:p>
            <w:pPr>
              <w:spacing w:after="0"/>
              <w:rPr>
                <w:sz w:val="24"/>
                <w:szCs w:val="24"/>
                <w:color w:val="auto"/>
              </w:rPr>
            </w:pPr>
          </w:p>
        </w:tc>
      </w:tr>
      <w:tr>
        <w:trPr>
          <w:trHeight w:val="234"/>
        </w:trPr>
        <w:tc>
          <w:tcPr>
            <w:tcW w:w="94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rPr>
              <w:t>THE ISSUANCE OF NOTES AND ADDITIONAL SECURITIES</w:t>
            </w:r>
          </w:p>
        </w:tc>
        <w:tc>
          <w:tcPr>
            <w:tcW w:w="1780" w:type="dxa"/>
            <w:vAlign w:val="bottom"/>
          </w:tcPr>
          <w:p>
            <w:pPr>
              <w:spacing w:after="0"/>
              <w:rPr>
                <w:sz w:val="20"/>
                <w:szCs w:val="20"/>
                <w:color w:val="auto"/>
              </w:rPr>
            </w:pPr>
          </w:p>
        </w:tc>
      </w:tr>
      <w:tr>
        <w:trPr>
          <w:trHeight w:val="41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2.01     Form and Dating of Notes; Creation of Additional Securities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2.02     Execution and Authentication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2.03     Registrar and Paying Agent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19</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2.04     Paying Agent to Hold Money in Trust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2.05     Holder Lists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19</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2.06     Transfer and Exchange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2.07     Issuance of Additional Notes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2.08     Replacement Securities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2.09     Outstanding Securities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2.10     Treasury Securities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2.11     Temporary Securities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32</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2.12     Cancellation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32</w:t>
            </w:r>
          </w:p>
        </w:tc>
      </w:t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2.13     Defaulted Interest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32</w:t>
            </w:r>
          </w:p>
        </w:tc>
      </w:tr>
      <w:tr>
        <w:trPr>
          <w:trHeight w:val="414"/>
        </w:trPr>
        <w:tc>
          <w:tcPr>
            <w:tcW w:w="94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8"/>
              </w:rPr>
              <w:t>ARTICLE 3</w:t>
            </w:r>
          </w:p>
        </w:tc>
        <w:tc>
          <w:tcPr>
            <w:tcW w:w="1780" w:type="dxa"/>
            <w:vAlign w:val="bottom"/>
          </w:tcPr>
          <w:p>
            <w:pPr>
              <w:spacing w:after="0"/>
              <w:rPr>
                <w:sz w:val="24"/>
                <w:szCs w:val="24"/>
                <w:color w:val="auto"/>
              </w:rPr>
            </w:pPr>
          </w:p>
        </w:tc>
      </w:tr>
      <w:tr>
        <w:trPr>
          <w:trHeight w:val="234"/>
        </w:trPr>
        <w:tc>
          <w:tcPr>
            <w:tcW w:w="94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8"/>
              </w:rPr>
              <w:t>REDEMPTION AND PREPAYMENT</w:t>
            </w:r>
          </w:p>
        </w:tc>
        <w:tc>
          <w:tcPr>
            <w:tcW w:w="1780" w:type="dxa"/>
            <w:vAlign w:val="bottom"/>
          </w:tcPr>
          <w:p>
            <w:pPr>
              <w:spacing w:after="0"/>
              <w:rPr>
                <w:sz w:val="20"/>
                <w:szCs w:val="20"/>
                <w:color w:val="auto"/>
              </w:rPr>
            </w:pPr>
          </w:p>
        </w:tc>
      </w:tr>
      <w:tr>
        <w:trPr>
          <w:trHeight w:val="41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3.01     Notices to Trustee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3.02     Selection of Notes to Be Redeemed or Purchased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33</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3.03     Notice of Redemption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33</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3.04     Effect of Notice of Redemption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3.05     Deposit of Redemption or Purchase Price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34</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3.06     Notes Redeemed or Purchased in Part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35</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3.07     Optional Redemption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35</w:t>
            </w:r>
          </w:p>
        </w:tc>
      </w:t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3.08     Mandatory Redemption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36</w:t>
            </w:r>
          </w:p>
        </w:tc>
      </w:tr>
      <w:tr>
        <w:trPr>
          <w:trHeight w:val="414"/>
        </w:trPr>
        <w:tc>
          <w:tcPr>
            <w:tcW w:w="94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8"/>
              </w:rPr>
              <w:t>ARTICLE 4</w:t>
            </w:r>
          </w:p>
        </w:tc>
        <w:tc>
          <w:tcPr>
            <w:tcW w:w="1780" w:type="dxa"/>
            <w:vAlign w:val="bottom"/>
          </w:tcPr>
          <w:p>
            <w:pPr>
              <w:spacing w:after="0"/>
              <w:rPr>
                <w:sz w:val="24"/>
                <w:szCs w:val="24"/>
                <w:color w:val="auto"/>
              </w:rPr>
            </w:pPr>
          </w:p>
        </w:tc>
      </w:tr>
      <w:tr>
        <w:trPr>
          <w:trHeight w:val="234"/>
        </w:trPr>
        <w:tc>
          <w:tcPr>
            <w:tcW w:w="94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9"/>
              </w:rPr>
              <w:t>COVENANTS</w:t>
            </w:r>
          </w:p>
        </w:tc>
        <w:tc>
          <w:tcPr>
            <w:tcW w:w="1780" w:type="dxa"/>
            <w:vAlign w:val="bottom"/>
          </w:tcPr>
          <w:p>
            <w:pPr>
              <w:spacing w:after="0"/>
              <w:rPr>
                <w:sz w:val="20"/>
                <w:szCs w:val="20"/>
                <w:color w:val="auto"/>
              </w:rPr>
            </w:pPr>
          </w:p>
        </w:tc>
      </w:tr>
      <w:tr>
        <w:trPr>
          <w:trHeight w:val="41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4.01     Payment of Notes.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36</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4.02     Maintenance of Office or Agency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37</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4.03     Reports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4.04     Compliance Certificate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39</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4.05     Taxes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4.06     Stay, Extension and Usury Laws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4.07     Liens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4.08     Company Existence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4.09     Offer to Repurchase Upon Change of Control Triggering Event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4.10     Additional Subsidiary Guarantees.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44</w:t>
            </w:r>
          </w:p>
        </w:tc>
      </w:t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Section 4.11     Holding Company Status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45</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6"/>
        </w:trPr>
        <w:tc>
          <w:tcPr>
            <w:tcW w:w="9520" w:type="dxa"/>
            <w:vAlign w:val="bottom"/>
            <w:vMerge w:val="restart"/>
          </w:tcPr>
          <w:p>
            <w:pPr>
              <w:jc w:val="center"/>
              <w:ind w:left="1630"/>
              <w:spacing w:after="0"/>
              <w:rPr>
                <w:sz w:val="20"/>
                <w:szCs w:val="20"/>
                <w:color w:val="auto"/>
              </w:rPr>
            </w:pPr>
            <w:r>
              <w:rPr>
                <w:rFonts w:ascii="Times New Roman" w:cs="Times New Roman" w:eastAsia="Times New Roman" w:hAnsi="Times New Roman"/>
                <w:sz w:val="18"/>
                <w:szCs w:val="18"/>
                <w:color w:val="auto"/>
                <w:w w:val="98"/>
              </w:rPr>
              <w:t>ARTICLE 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Page</w:t>
            </w:r>
          </w:p>
        </w:tc>
        <w:tc>
          <w:tcPr>
            <w:tcW w:w="0" w:type="dxa"/>
            <w:vAlign w:val="bottom"/>
          </w:tcPr>
          <w:p>
            <w:pPr>
              <w:spacing w:after="0"/>
              <w:rPr>
                <w:sz w:val="1"/>
                <w:szCs w:val="1"/>
                <w:color w:val="auto"/>
              </w:rPr>
            </w:pPr>
          </w:p>
        </w:tc>
      </w:tr>
      <w:tr>
        <w:trPr>
          <w:trHeight w:val="198"/>
        </w:trPr>
        <w:tc>
          <w:tcPr>
            <w:tcW w:w="952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52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SUCCESSORS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5.01     Merger, Consolidation or Sale of Assets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45</w:t>
            </w:r>
          </w:p>
        </w:tc>
        <w:tc>
          <w:tcPr>
            <w:tcW w:w="0" w:type="dxa"/>
            <w:vAlign w:val="bottom"/>
          </w:tcPr>
          <w:p>
            <w:pPr>
              <w:spacing w:after="0"/>
              <w:rPr>
                <w:sz w:val="1"/>
                <w:szCs w:val="1"/>
                <w:color w:val="auto"/>
              </w:rPr>
            </w:pPr>
          </w:p>
        </w:tc>
      </w:tr>
      <w:tr>
        <w:trPr>
          <w:trHeight w:val="23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5.02     Successor Entity Substituted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4"/>
        </w:trPr>
        <w:tc>
          <w:tcPr>
            <w:tcW w:w="952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ARTICLE 6</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52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DEFAULTS AND REMEDIES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6.01     Events of Default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47</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6.02     Acceleration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6.03     Other Remedies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6.04     Waiver of Past Defaults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49</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6.05     Control by Majority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49</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6.06     Limitation on Suits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49</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6.07     Rights of Holders of Notes to Receive Payment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6.08     Collection Suit by Trustee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50</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6.09     Trustee May File Proofs of Claim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50</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6.10     Priorities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0" w:type="dxa"/>
            <w:vAlign w:val="bottom"/>
          </w:tcPr>
          <w:p>
            <w:pPr>
              <w:spacing w:after="0"/>
              <w:rPr>
                <w:sz w:val="1"/>
                <w:szCs w:val="1"/>
                <w:color w:val="auto"/>
              </w:rPr>
            </w:pPr>
          </w:p>
        </w:tc>
      </w:tr>
      <w:tr>
        <w:trPr>
          <w:trHeight w:val="23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6.11     Undertaking for Costs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4"/>
        </w:trPr>
        <w:tc>
          <w:tcPr>
            <w:tcW w:w="952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ARTICLE 7</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52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TRUSTEE</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7.01     Duties of Trustee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7.02     Rights of Trustee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52</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7.03     Individual Rights of Trustee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7.04     Trustee’s Disclaimer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7.05     Notice of Defaults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54</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7.06     [Reserved]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7.07     Compensation and Indemnity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54</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7.08     Replacement of Trustee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7.09     Successor Trustee by Merger, etc.</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w:t>
            </w:r>
          </w:p>
        </w:tc>
        <w:tc>
          <w:tcPr>
            <w:tcW w:w="0" w:type="dxa"/>
            <w:vAlign w:val="bottom"/>
          </w:tcPr>
          <w:p>
            <w:pPr>
              <w:spacing w:after="0"/>
              <w:rPr>
                <w:sz w:val="1"/>
                <w:szCs w:val="1"/>
                <w:color w:val="auto"/>
              </w:rPr>
            </w:pPr>
          </w:p>
        </w:tc>
      </w:tr>
      <w:tr>
        <w:trPr>
          <w:trHeight w:val="23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7.10     Eligibility; Disqualification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w:t>
            </w:r>
          </w:p>
        </w:tc>
        <w:tc>
          <w:tcPr>
            <w:tcW w:w="0" w:type="dxa"/>
            <w:vAlign w:val="bottom"/>
          </w:tcPr>
          <w:p>
            <w:pPr>
              <w:spacing w:after="0"/>
              <w:rPr>
                <w:sz w:val="1"/>
                <w:szCs w:val="1"/>
                <w:color w:val="auto"/>
              </w:rPr>
            </w:pPr>
          </w:p>
        </w:tc>
      </w:tr>
      <w:tr>
        <w:trPr>
          <w:trHeight w:val="414"/>
        </w:trPr>
        <w:tc>
          <w:tcPr>
            <w:tcW w:w="952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ARTICLE 8</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52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LEGAL DEFEASANCE AND COVENANT DEFEASANCE</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8.01     Option to Effect Legal Defeasance or Covenant Defeasance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8.02     Legal Defeasance and Discharge.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8.03     Covenant Defeasance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8.04     Conditions to Legal or Covenant Defeasance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8.05     Deposited Money and Government Securities to be Held in Trust; Other Miscellaneous Provisions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58</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8.06     Repayment to Company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59</w:t>
            </w:r>
          </w:p>
        </w:tc>
        <w:tc>
          <w:tcPr>
            <w:tcW w:w="0" w:type="dxa"/>
            <w:vAlign w:val="bottom"/>
          </w:tcPr>
          <w:p>
            <w:pPr>
              <w:spacing w:after="0"/>
              <w:rPr>
                <w:sz w:val="1"/>
                <w:szCs w:val="1"/>
                <w:color w:val="auto"/>
              </w:rPr>
            </w:pPr>
          </w:p>
        </w:tc>
      </w:tr>
      <w:tr>
        <w:trPr>
          <w:trHeight w:val="23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Section 8.07     Reinstatement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6"/>
        </w:trPr>
        <w:tc>
          <w:tcPr>
            <w:tcW w:w="914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414"/>
        </w:trPr>
        <w:tc>
          <w:tcPr>
            <w:tcW w:w="91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8"/>
              </w:rPr>
              <w:t>ARTICLE 9</w:t>
            </w:r>
          </w:p>
        </w:tc>
        <w:tc>
          <w:tcPr>
            <w:tcW w:w="2100" w:type="dxa"/>
            <w:vAlign w:val="bottom"/>
          </w:tcPr>
          <w:p>
            <w:pPr>
              <w:spacing w:after="0"/>
              <w:rPr>
                <w:sz w:val="24"/>
                <w:szCs w:val="24"/>
                <w:color w:val="auto"/>
              </w:rPr>
            </w:pPr>
          </w:p>
        </w:tc>
      </w:tr>
      <w:tr>
        <w:trPr>
          <w:trHeight w:val="234"/>
        </w:trPr>
        <w:tc>
          <w:tcPr>
            <w:tcW w:w="914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8"/>
              </w:rPr>
              <w:t>AMENDMENT, SUPPLEMENT AND WAIVER</w:t>
            </w:r>
          </w:p>
        </w:tc>
        <w:tc>
          <w:tcPr>
            <w:tcW w:w="2100" w:type="dxa"/>
            <w:vAlign w:val="bottom"/>
          </w:tcPr>
          <w:p>
            <w:pPr>
              <w:spacing w:after="0"/>
              <w:rPr>
                <w:sz w:val="20"/>
                <w:szCs w:val="20"/>
                <w:color w:val="auto"/>
              </w:rPr>
            </w:pPr>
          </w:p>
        </w:tc>
      </w:tr>
      <w:tr>
        <w:trPr>
          <w:trHeight w:val="41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9.01     Without Consent of Holders of Notes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59</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9.02     With Consent of Holders of Notes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60</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9.03     [Reserved]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62</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9.04     Revocation and Effect of Consents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62</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9.05     Notation on or Exchange of Securities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62</w:t>
            </w:r>
          </w:p>
        </w:tc>
      </w:t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9.06     Trustee to Sign Amendments, etc.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4"/>
        </w:trPr>
        <w:tc>
          <w:tcPr>
            <w:tcW w:w="914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ARTICLE 10</w:t>
            </w:r>
          </w:p>
        </w:tc>
        <w:tc>
          <w:tcPr>
            <w:tcW w:w="2100" w:type="dxa"/>
            <w:vAlign w:val="bottom"/>
          </w:tcPr>
          <w:p>
            <w:pPr>
              <w:spacing w:after="0"/>
              <w:rPr>
                <w:sz w:val="24"/>
                <w:szCs w:val="24"/>
                <w:color w:val="auto"/>
              </w:rPr>
            </w:pPr>
          </w:p>
        </w:tc>
      </w:tr>
      <w:tr>
        <w:trPr>
          <w:trHeight w:val="234"/>
        </w:trPr>
        <w:tc>
          <w:tcPr>
            <w:tcW w:w="91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9"/>
              </w:rPr>
              <w:t>GUARANTEES</w:t>
            </w:r>
          </w:p>
        </w:tc>
        <w:tc>
          <w:tcPr>
            <w:tcW w:w="2100" w:type="dxa"/>
            <w:vAlign w:val="bottom"/>
          </w:tcPr>
          <w:p>
            <w:pPr>
              <w:spacing w:after="0"/>
              <w:rPr>
                <w:sz w:val="20"/>
                <w:szCs w:val="20"/>
                <w:color w:val="auto"/>
              </w:rPr>
            </w:pPr>
          </w:p>
        </w:tc>
      </w:tr>
      <w:tr>
        <w:trPr>
          <w:trHeight w:val="41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10.01     Guarantee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10.02     Limitation on Guarantor Liability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10.03     Execution and Delivery of Guarantee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64</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10.04     [Reserved]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64</w:t>
            </w:r>
          </w:p>
        </w:tc>
      </w:t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10.05     Releases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64</w:t>
            </w:r>
          </w:p>
        </w:tc>
      </w:tr>
      <w:tr>
        <w:trPr>
          <w:trHeight w:val="414"/>
        </w:trPr>
        <w:tc>
          <w:tcPr>
            <w:tcW w:w="91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7"/>
              </w:rPr>
              <w:t>ARTICLE 11</w:t>
            </w:r>
          </w:p>
        </w:tc>
        <w:tc>
          <w:tcPr>
            <w:tcW w:w="2100" w:type="dxa"/>
            <w:vAlign w:val="bottom"/>
          </w:tcPr>
          <w:p>
            <w:pPr>
              <w:spacing w:after="0"/>
              <w:rPr>
                <w:sz w:val="24"/>
                <w:szCs w:val="24"/>
                <w:color w:val="auto"/>
              </w:rPr>
            </w:pPr>
          </w:p>
        </w:tc>
      </w:tr>
      <w:tr>
        <w:trPr>
          <w:trHeight w:val="234"/>
        </w:trPr>
        <w:tc>
          <w:tcPr>
            <w:tcW w:w="91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2100" w:type="dxa"/>
            <w:vAlign w:val="bottom"/>
          </w:tcPr>
          <w:p>
            <w:pPr>
              <w:spacing w:after="0"/>
              <w:rPr>
                <w:sz w:val="20"/>
                <w:szCs w:val="20"/>
                <w:color w:val="auto"/>
              </w:rPr>
            </w:pPr>
          </w:p>
        </w:tc>
      </w:tr>
      <w:tr>
        <w:trPr>
          <w:trHeight w:val="41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11.01     Satisfaction and Discharge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65</w:t>
            </w:r>
          </w:p>
        </w:tc>
      </w:t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11.02     Application of Trust Money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66</w:t>
            </w:r>
          </w:p>
        </w:tc>
      </w:tr>
      <w:tr>
        <w:trPr>
          <w:trHeight w:val="414"/>
        </w:trPr>
        <w:tc>
          <w:tcPr>
            <w:tcW w:w="914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ARTICLE 12</w:t>
            </w:r>
          </w:p>
        </w:tc>
        <w:tc>
          <w:tcPr>
            <w:tcW w:w="2100" w:type="dxa"/>
            <w:vAlign w:val="bottom"/>
          </w:tcPr>
          <w:p>
            <w:pPr>
              <w:spacing w:after="0"/>
              <w:rPr>
                <w:sz w:val="24"/>
                <w:szCs w:val="24"/>
                <w:color w:val="auto"/>
              </w:rPr>
            </w:pPr>
          </w:p>
        </w:tc>
      </w:tr>
      <w:tr>
        <w:trPr>
          <w:trHeight w:val="234"/>
        </w:trPr>
        <w:tc>
          <w:tcPr>
            <w:tcW w:w="914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MISCELLANEOUS</w:t>
            </w:r>
          </w:p>
        </w:tc>
        <w:tc>
          <w:tcPr>
            <w:tcW w:w="2100" w:type="dxa"/>
            <w:vAlign w:val="bottom"/>
          </w:tcPr>
          <w:p>
            <w:pPr>
              <w:spacing w:after="0"/>
              <w:rPr>
                <w:sz w:val="20"/>
                <w:szCs w:val="20"/>
                <w:color w:val="auto"/>
              </w:rPr>
            </w:pPr>
          </w:p>
        </w:tc>
      </w:tr>
      <w:tr>
        <w:trPr>
          <w:trHeight w:val="41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12.01     [Reserved]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12.02     Notices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67</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12.03     [Reserved]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68</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12.04     Certificate and Opinion as to Conditions Precedent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12.05     Statements Required in Certificate or Opinion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68</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12.06     Rules by Trustee and Agents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68</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12.07     No Personal Liability of Directors, Officers, Employees and Stockholders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12.08     Governing Law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69</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12.09     No Adverse Interpretation of Other Agreements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69</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12.10     Successors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69</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12.11     Severability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69</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12.12     Counterpart Originals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69</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12.13     Table of Contents, Headings, etc.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12.14     Compliance with Applicable Anti-Terrorism and Anti-Money Laundering Regulations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69</w:t>
            </w:r>
          </w:p>
        </w:tc>
      </w:t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Section 12.15     Electronic Signatures.   </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FORM OF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FORM OF CERTIFICATE OF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FORM OF CERTIFICATE OF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FORM OF CERTIFICATE OF ACQUIRING INSTITUTIONAL ACCREDITED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FORM OF SUPPLEMENTAL INDENTURE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8" w:name="page9"/>
    <w:bookmarkEnd w:id="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INDENTURE dated as of January 13, 2026, among Clearway Energy Operating LLC, a Delaware limited liability company, the Guarantors (as defined herein) and CSC Delaware Trust Company,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the Guarantors and the Trustee agree as follows for the benefit of each other and for the equal and ratable benefit of the Holders (as defined herein) of the 5.750% Senior Notes due 2034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and any other Additional Securities issued pursuant to this Indenture after the date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“144A Global Note” </w:t>
      </w:r>
      <w:r>
        <w:rPr>
          <w:rFonts w:ascii="Times New Roman" w:cs="Times New Roman" w:eastAsia="Times New Roman" w:hAnsi="Times New Roman"/>
          <w:sz w:val="18"/>
          <w:szCs w:val="18"/>
          <w:color w:val="auto"/>
        </w:rPr>
        <w:t>means a Global Note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bearing the Global Legend and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“144A Global Security” </w:t>
      </w:r>
      <w:r>
        <w:rPr>
          <w:rFonts w:ascii="Times New Roman" w:cs="Times New Roman" w:eastAsia="Times New Roman" w:hAnsi="Times New Roman"/>
          <w:sz w:val="18"/>
          <w:szCs w:val="18"/>
          <w:color w:val="auto"/>
        </w:rPr>
        <w:t>means a Global Security, in the form specified in the applicable Supplemental Indenture pursuant to which such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Notes” </w:t>
      </w:r>
      <w:r>
        <w:rPr>
          <w:rFonts w:ascii="Times New Roman" w:cs="Times New Roman" w:eastAsia="Times New Roman" w:hAnsi="Times New Roman"/>
          <w:sz w:val="18"/>
          <w:szCs w:val="18"/>
          <w:color w:val="auto"/>
        </w:rPr>
        <w:t>means additional Notes (other than the Initial Notes) issued from time to time under this Indenture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2.02 hereof, as part of the same series as the Initial Notes.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Securities” </w:t>
      </w:r>
      <w:r>
        <w:rPr>
          <w:rFonts w:ascii="Times New Roman" w:cs="Times New Roman" w:eastAsia="Times New Roman" w:hAnsi="Times New Roman"/>
          <w:sz w:val="18"/>
          <w:szCs w:val="18"/>
          <w:color w:val="auto"/>
        </w:rPr>
        <w:t>means any debentures, notes and other debt instruments of the Company of any Series, other than the Notes, authenticated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under this Indenture.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LTM CAFD” </w:t>
      </w:r>
      <w:r>
        <w:rPr>
          <w:rFonts w:ascii="Times New Roman" w:cs="Times New Roman" w:eastAsia="Times New Roman" w:hAnsi="Times New Roman"/>
          <w:sz w:val="18"/>
          <w:szCs w:val="18"/>
          <w:color w:val="auto"/>
        </w:rPr>
        <w:t>means, as of any date of determination (for purposes of this definition, the</w:t>
      </w:r>
      <w:r>
        <w:rPr>
          <w:rFonts w:ascii="Times New Roman" w:cs="Times New Roman" w:eastAsia="Times New Roman" w:hAnsi="Times New Roman"/>
          <w:sz w:val="18"/>
          <w:szCs w:val="18"/>
          <w:i w:val="1"/>
          <w:iCs w:val="1"/>
          <w:color w:val="auto"/>
        </w:rPr>
        <w:t xml:space="preserve"> “Calculation Date”</w:t>
      </w:r>
      <w:r>
        <w:rPr>
          <w:rFonts w:ascii="Times New Roman" w:cs="Times New Roman" w:eastAsia="Times New Roman" w:hAnsi="Times New Roman"/>
          <w:sz w:val="18"/>
          <w:szCs w:val="18"/>
          <w:color w:val="auto"/>
        </w:rPr>
        <w:t>), the net income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plus interest expense, to the extent deducted in calculating net income during such four-quarter period;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plus income tax expense, net of income tax benefit, to the extent deducted in calculating net income during such four-quarter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plus depreciation and amortization, to the extent deducted in calculating net income during such four-quarter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8"/>
          <w:szCs w:val="18"/>
          <w:color w:val="auto"/>
        </w:rPr>
        <w:t>(4)            minus equity in earnings of unconsolidated affiliates to the extent included in net income during such four-quarter period;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            plus cash distributions and return of investments from unconsolidated affiliates, to the extent not included in net income during such four-quarter period;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            plus cash distributions from noncontrolling interests, to the extent not included in net income during such four-quarter period;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(7)            minus cash distributions to noncontrolling interests, to the extent not deducted in calculating net income during such four-quarter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            minus cash interest payments made by Subsidiaries of the Company that were added back to net income pursuant to clause (1) above;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(9)            minus cash income tax payments made by the Company and its Subsidiaries that were added back to net income pursuant to clause (2) above;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          minus principal payments and repayments of Indebtedness made by the Company’s Subsidiaries, to the extent not deducted in calculating net income during such four-quarter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plus any decrease or minus any increase in amounts attributable to contract amortization and any recurring changes in other assets, including changes in prepaid and accrued capacity payments;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          minus maintenance capital expenditures, to the extent not deducted in calculating net income during such four-quarter period;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          plus any non-cash equity compensation expenses, to the extent deducted in calculating net income during such four-quarter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          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(15)          plus any professional and underwriting fees related to any equity offering, investment, acquisition, recapitalization or Indebtedness permitted to be incurred under this Indenture, to the extent deducted in calculating net income during such four-quarter period;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(16)          plus non-cash mark-to-market losses on economic hedges, to the extent deducted in calculating net income during such four-quarter period;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(17)          minus non-cash mark-to-market gains on economic hedges, to the extent included in net income during such four-quarter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          plus development expenses, to the extent deducted in calculating net income during such four-quarter period.</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For purposes of making the computation referred to above:</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(1)            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(2)            the Adjusted LTM CAFD attributable to discontinued operations, as determined in accordance with GAAP, and operations or businesses (and ownership interests therein) disposed of prior to the Calculation Date, will be excluded;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(3)            any Person that is a Subsidiary on the Calculation Date will be deemed to have been a Subsidiary at all times during such four-quarter period; and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            any Person that is not a Subsidiary on the Calculation Date will be deemed not to have been a Subsidiary at any time during such four-quarter period.</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of any specified Person means any other Person directly or indirectly controlling or controlled by or under direct or indirect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“Agent” </w:t>
      </w:r>
      <w:r>
        <w:rPr>
          <w:rFonts w:ascii="Times New Roman" w:cs="Times New Roman" w:eastAsia="Times New Roman" w:hAnsi="Times New Roman"/>
          <w:sz w:val="18"/>
          <w:szCs w:val="18"/>
          <w:color w:val="auto"/>
        </w:rPr>
        <w:t>means any Registrar, co-registrar, Paying Agent or additional paying agent.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“Applicable Laws” </w:t>
      </w:r>
      <w:r>
        <w:rPr>
          <w:rFonts w:ascii="Times New Roman" w:cs="Times New Roman" w:eastAsia="Times New Roman" w:hAnsi="Times New Roman"/>
          <w:sz w:val="18"/>
          <w:szCs w:val="18"/>
          <w:color w:val="auto"/>
        </w:rPr>
        <w:t>means, as to any Person, any law, rule, regulation, ordinance or treaty, or any determination, ruling or other directive by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“Applicable Premium” </w:t>
      </w:r>
      <w:r>
        <w:rPr>
          <w:rFonts w:ascii="Times New Roman" w:cs="Times New Roman" w:eastAsia="Times New Roman" w:hAnsi="Times New Roman"/>
          <w:sz w:val="18"/>
          <w:szCs w:val="18"/>
          <w:color w:val="auto"/>
        </w:rPr>
        <w:t>means, with respect to any Note on any redemption date, the greater of:</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1.0% of the principal amount of such Note;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excess (if any) of:</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the present value at such redemption date of (i) the redemption price of such Note at January 15, 2029 (such redemption price being set forth in the table appearing in Section 3.07(d) 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all required interest payments due on the Note through January 15, 2029 (excluding accrued but unpaid interest to the redemption date), computed using a discount rate equal to the Treasury Rate as of such redemption date plus 50 basis points; over</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then outstanding principal amount of the Note.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“Applicable Procedures” </w:t>
      </w:r>
      <w:r>
        <w:rPr>
          <w:rFonts w:ascii="Times New Roman" w:cs="Times New Roman" w:eastAsia="Times New Roman" w:hAnsi="Times New Roman"/>
          <w:sz w:val="18"/>
          <w:szCs w:val="18"/>
          <w:color w:val="auto"/>
        </w:rPr>
        <w:t>means, with respect to any transfer or exchange of or for beneficial interests in any Global Note, the rules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of the Depositary, Euroclear and Clearstream that apply to such transfer or exchange.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“Bankruptcy Law” </w:t>
      </w:r>
      <w:r>
        <w:rPr>
          <w:rFonts w:ascii="Times New Roman" w:cs="Times New Roman" w:eastAsia="Times New Roman" w:hAnsi="Times New Roman"/>
          <w:sz w:val="18"/>
          <w:szCs w:val="18"/>
          <w:color w:val="auto"/>
        </w:rPr>
        <w:t>means Title 11, U.S. Code or any similar federal or state law for the relief of debtors.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“Beneficial Owner” </w:t>
      </w:r>
      <w:r>
        <w:rPr>
          <w:rFonts w:ascii="Times New Roman" w:cs="Times New Roman" w:eastAsia="Times New Roman" w:hAnsi="Times New Roman"/>
          <w:sz w:val="18"/>
          <w:szCs w:val="18"/>
          <w:color w:val="auto"/>
        </w:rPr>
        <w:t>has the meaning assigned to such term in Rule 13d-3 and Rule 13d-5 under the Exchange Act. The terms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and “Beneficially Owned” have a corresponding meaning.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means:</w:t>
      </w:r>
    </w:p>
    <w:p>
      <w:pPr>
        <w:spacing w:after="0" w:line="22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with respect to a corporation, the board of directors of the corporation or any committee thereof duly authorized to act on behalf of such board;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with respect to a partnership, the Board of Directors of the general partner of the partnership;</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(3)            with respect to a limited liability company, the managing member or members or any controlling committee of managing members thereof;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with respect to any other Person, the board or committee of such Person serving a similar function.</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“Board Resolution” </w:t>
      </w:r>
      <w:r>
        <w:rPr>
          <w:rFonts w:ascii="Times New Roman" w:cs="Times New Roman" w:eastAsia="Times New Roman" w:hAnsi="Times New Roman"/>
          <w:sz w:val="18"/>
          <w:szCs w:val="18"/>
          <w:color w:val="auto"/>
        </w:rPr>
        <w:t>means a copy of a resolution certified by the Secretary or an Assistant Secretary of the Company to have been adopted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any day other than a Legal Holiday.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Lease Obligation” </w:t>
      </w:r>
      <w:r>
        <w:rPr>
          <w:rFonts w:ascii="Times New Roman" w:cs="Times New Roman" w:eastAsia="Times New Roman" w:hAnsi="Times New Roman"/>
          <w:sz w:val="18"/>
          <w:szCs w:val="18"/>
          <w:color w:val="auto"/>
        </w:rPr>
        <w:t>means, at the time any determination is to be made, the amount of the liability in respect of a capital lease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“Capital Stock” </w:t>
      </w:r>
      <w:r>
        <w:rPr>
          <w:rFonts w:ascii="Times New Roman" w:cs="Times New Roman" w:eastAsia="Times New Roman" w:hAnsi="Times New Roman"/>
          <w:sz w:val="18"/>
          <w:szCs w:val="18"/>
          <w:color w:val="auto"/>
        </w:rPr>
        <w:t>means: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in the case of a corporation, corporate stock;</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(2)            in the case of an association or business entity, any and all shares, interests, participations, rights or other equivalents (however designated) of corporate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(3)            in the case of a partnership or limited liability company, partnership interests (whether general or limited) or membership interests;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means the occurrence of any of the following:</w:t>
      </w:r>
    </w:p>
    <w:p>
      <w:pPr>
        <w:spacing w:after="0" w:line="22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adoption of a plan relating to the liquidation or dissolution of Clearway Inc., the Parent Guarantor or the Company;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(3)            the consummation of any transaction (including, without limitation, any merger or consolidation) the result of which is that any “person” (as defined above), other than (i) the Sponsor or (ii) a corporation owned directly or indirectly by the stockholders of Clearway Inc. in substantially the same proportion as their ownership of stock of Clearway Inc. prior to such transaction, becomes the Beneficial Owner, directly or indirectly, of more than 50% of the Voting Stock of Clearway Inc., measured by voting power rather than number of shares; or</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            the first day on which either (i) Clearway Inc. ceases to be the sole managing member of the Parent Guarantor or (ii) the Company ceases to be a Wholly Owned Subsidiary of the Parent Guarantor.</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xml:space="preserve">” means (1) a Change of Control has occurred and (2) the Notes are downgraded by both S&amp;P and Moody’s on any date within the 60-day period after the earlier of (a) the occurrence of a Change of Control and (b) public disclosure by the Company of the occurrence of a Change of Control or the Company’s intention to effect a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the Company’s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Change of Control Triggering Event shall occur if following such downgrade, (x) the Notes are rated Investment Grade by both S&amp;P and Moody’s or (y) the ratings of the Notes by both S&amp;P and Moody’s are equal to or better than their respective ratings on the Issue 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“Clearstream” </w:t>
      </w:r>
      <w:r>
        <w:rPr>
          <w:rFonts w:ascii="Times New Roman" w:cs="Times New Roman" w:eastAsia="Times New Roman" w:hAnsi="Times New Roman"/>
          <w:sz w:val="18"/>
          <w:szCs w:val="18"/>
          <w:color w:val="auto"/>
        </w:rPr>
        <w:t>means Clearstream Banking, 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“Clearway Inc.” </w:t>
      </w:r>
      <w:r>
        <w:rPr>
          <w:rFonts w:ascii="Times New Roman" w:cs="Times New Roman" w:eastAsia="Times New Roman" w:hAnsi="Times New Roman"/>
          <w:sz w:val="18"/>
          <w:szCs w:val="18"/>
          <w:color w:val="auto"/>
        </w:rPr>
        <w:t>means Clearway Energy,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“Company” </w:t>
      </w:r>
      <w:r>
        <w:rPr>
          <w:rFonts w:ascii="Times New Roman" w:cs="Times New Roman" w:eastAsia="Times New Roman" w:hAnsi="Times New Roman"/>
          <w:sz w:val="18"/>
          <w:szCs w:val="18"/>
          <w:color w:val="auto"/>
        </w:rPr>
        <w:t>means Clearway Energy Operating LLC, and any and all successors thereto.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 xml:space="preserve">“continuing” </w:t>
      </w:r>
      <w:r>
        <w:rPr>
          <w:rFonts w:ascii="Times New Roman" w:cs="Times New Roman" w:eastAsia="Times New Roman" w:hAnsi="Times New Roman"/>
          <w:sz w:val="18"/>
          <w:szCs w:val="18"/>
          <w:color w:val="auto"/>
        </w:rPr>
        <w:t>means, with respect to any Default or Event of Default, that such Default or Event of Default has not been cured or waived.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Trust Office of the Trustee” </w:t>
      </w:r>
      <w:r>
        <w:rPr>
          <w:rFonts w:ascii="Times New Roman" w:cs="Times New Roman" w:eastAsia="Times New Roman" w:hAnsi="Times New Roman"/>
          <w:sz w:val="18"/>
          <w:szCs w:val="18"/>
          <w:color w:val="auto"/>
        </w:rPr>
        <w:t>means the address of the Trustee specified in Section 12.02 hereof or such other address as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may give notice to the Company.</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Agreement” </w:t>
      </w:r>
      <w:r>
        <w:rPr>
          <w:rFonts w:ascii="Times New Roman" w:cs="Times New Roman" w:eastAsia="Times New Roman" w:hAnsi="Times New Roman"/>
          <w:sz w:val="18"/>
          <w:szCs w:val="18"/>
          <w:color w:val="auto"/>
        </w:rPr>
        <w:t>means the Amended and Restated Credit Agreement, dated April 25, 2014, among the Company, the Parent Guarantor,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guarantor from time to time party thereto, each lender and letter of credit issuer from time to time party thereto and JPMorgan Chase Bank, N.A., as the administrative agent, as the same may be amended, restated, modified, renewed, refunded, replaced or refinanced from time to time.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means (i) one or more debt facilities (including, without limitation, the Credit Agreement) or commercial paper facilities,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“Custodian” </w:t>
      </w:r>
      <w:r>
        <w:rPr>
          <w:rFonts w:ascii="Times New Roman" w:cs="Times New Roman" w:eastAsia="Times New Roman" w:hAnsi="Times New Roman"/>
          <w:sz w:val="18"/>
          <w:szCs w:val="18"/>
          <w:color w:val="auto"/>
        </w:rPr>
        <w:t>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“Definitive Note” </w:t>
      </w:r>
      <w:r>
        <w:rPr>
          <w:rFonts w:ascii="Times New Roman" w:cs="Times New Roman" w:eastAsia="Times New Roman" w:hAnsi="Times New Roman"/>
          <w:sz w:val="18"/>
          <w:szCs w:val="18"/>
          <w:color w:val="auto"/>
        </w:rPr>
        <w:t>means a certificated Note registered in the name of the Holder thereof and issued in accordance with Section 2.06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Definitive Notes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Legend and shall not have the “Schedule of Exchanges of Interests in the Global Note” attached thereto.</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“Definitive Security” </w:t>
      </w:r>
      <w:r>
        <w:rPr>
          <w:rFonts w:ascii="Times New Roman" w:cs="Times New Roman" w:eastAsia="Times New Roman" w:hAnsi="Times New Roman"/>
          <w:sz w:val="18"/>
          <w:szCs w:val="18"/>
          <w:color w:val="auto"/>
        </w:rPr>
        <w:t>means a certificated Security registered in the name of the Holder thereof and issued in accordance with Section 2.06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Securities with respect to all other Series of Securities will be in the form specified in the Supplemental Indenture pursuant to which such Series of Securities is created.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“Depositary” </w:t>
      </w:r>
      <w:r>
        <w:rPr>
          <w:rFonts w:ascii="Times New Roman" w:cs="Times New Roman" w:eastAsia="Times New Roman" w:hAnsi="Times New Roman"/>
          <w:sz w:val="18"/>
          <w:szCs w:val="18"/>
          <w:color w:val="auto"/>
        </w:rPr>
        <w:t>means, with respect to the Notes issuable or issued in whole or in part in global form, the Person specified in Section 2.03 hereof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with respect to the Notes, and any and all successors thereto appointed as depositary hereunder and having become such pursuant to the applicable provision of this Indenture.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CapEx Debt” </w:t>
      </w:r>
      <w:r>
        <w:rPr>
          <w:rFonts w:ascii="Times New Roman" w:cs="Times New Roman" w:eastAsia="Times New Roman" w:hAnsi="Times New Roman"/>
          <w:sz w:val="18"/>
          <w:szCs w:val="18"/>
          <w:color w:val="auto"/>
        </w:rPr>
        <w:t>means Indebtedness of the Company or any of its Subsidiaries incurred for the purpose of financing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to the extent deemed reasonably necessary, as determined by the Company or any of its Subsidiaries, as applicable, in good faith and pursuant to prudent judgment, to comply with applicable Environmental Laws.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“Environmental Laws” </w:t>
      </w:r>
      <w:r>
        <w:rPr>
          <w:rFonts w:ascii="Times New Roman" w:cs="Times New Roman" w:eastAsia="Times New Roman" w:hAnsi="Times New Roman"/>
          <w:sz w:val="18"/>
          <w:szCs w:val="18"/>
          <w:color w:val="auto"/>
        </w:rPr>
        <w:t>means all former, current and future federal, state, local and foreign laws (including common law), treaties,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Interests” </w:t>
      </w:r>
      <w:r>
        <w:rPr>
          <w:rFonts w:ascii="Times New Roman" w:cs="Times New Roman" w:eastAsia="Times New Roman" w:hAnsi="Times New Roman"/>
          <w:sz w:val="18"/>
          <w:szCs w:val="18"/>
          <w:color w:val="auto"/>
        </w:rPr>
        <w:t>means Capital Stock and all warrants, options or other rights to acquire Capital Stock (but excluding any debt security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or exchangeable for, Capital Stock).</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Offerings” </w:t>
      </w:r>
      <w:r>
        <w:rPr>
          <w:rFonts w:ascii="Times New Roman" w:cs="Times New Roman" w:eastAsia="Times New Roman" w:hAnsi="Times New Roman"/>
          <w:sz w:val="18"/>
          <w:szCs w:val="18"/>
          <w:color w:val="auto"/>
        </w:rPr>
        <w:t>means any public or private sale after the Issue Date of Capital Stock of the Parent Guarantor or Clearway Inc.,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have been contributed to the Company as common equity, other than: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public offerings with respect to Clearway Inc.’s common stock registered on Form S-4 or Form S-8;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issuances to any Subsidiary of Clearway Inc.</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“Euroclear” </w:t>
      </w:r>
      <w:r>
        <w:rPr>
          <w:rFonts w:ascii="Times New Roman" w:cs="Times New Roman" w:eastAsia="Times New Roman" w:hAnsi="Times New Roman"/>
          <w:sz w:val="18"/>
          <w:szCs w:val="18"/>
          <w:color w:val="auto"/>
        </w:rPr>
        <w:t>means Euroclear Bank, S.A./N.V., as operator of the Euroclear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“Exchange Agreement” </w:t>
      </w:r>
      <w:r>
        <w:rPr>
          <w:rFonts w:ascii="Times New Roman" w:cs="Times New Roman" w:eastAsia="Times New Roman" w:hAnsi="Times New Roman"/>
          <w:sz w:val="18"/>
          <w:szCs w:val="18"/>
          <w:color w:val="auto"/>
        </w:rPr>
        <w:t>means the Second Amended and Restated Exchange Agreement, dated as of October 28, 2024, by and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Clearway Inc., the Parent Guarantor, Clearway Energy Group LLC and each of the other parties thereto from time to time, as amended, supplemented or otherwise modified from time to time.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“Existing Liens” </w:t>
      </w:r>
      <w:r>
        <w:rPr>
          <w:rFonts w:ascii="Times New Roman" w:cs="Times New Roman" w:eastAsia="Times New Roman" w:hAnsi="Times New Roman"/>
          <w:sz w:val="18"/>
          <w:szCs w:val="18"/>
          <w:color w:val="auto"/>
        </w:rPr>
        <w:t>means Liens on the property or assets of the Company and/or any of its Subsidiaries existing on the date of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securing Indebtedness of the Company or any of its Subsidiaries (other than Liens incurred pursuant to clause (1) of Section 4.07 hereof).</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“Facility Debt” </w:t>
      </w:r>
      <w:r>
        <w:rPr>
          <w:rFonts w:ascii="Times New Roman" w:cs="Times New Roman" w:eastAsia="Times New Roman" w:hAnsi="Times New Roman"/>
          <w:sz w:val="18"/>
          <w:szCs w:val="18"/>
          <w:color w:val="auto"/>
        </w:rPr>
        <w:t>means Indebtedness of one or more Facility Subsidiaries incurred for the purpose of holding, leasing, developing, constructing,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investing in or acquiring energy generating, transmission, storage or distribution assets, or assets related thereto, or any other power or energy facility or any assets related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liable with respect to such Indebtedness except to the extent of a non-recourse pledge of equity interests in one or more Facility Subsidiaries.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“Facility Subsidiary” </w:t>
      </w:r>
      <w:r>
        <w:rPr>
          <w:rFonts w:ascii="Times New Roman" w:cs="Times New Roman" w:eastAsia="Times New Roman" w:hAnsi="Times New Roman"/>
          <w:sz w:val="18"/>
          <w:szCs w:val="18"/>
          <w:color w:val="auto"/>
        </w:rPr>
        <w:t>means any Subsidiary of the Company held for the purpose of holding, leasing, developing, constructing, investing 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acquiring energy generating, transmission, storage or distribution assets, or assets related thereto, or any other power or energy facility or any assets related thereto, and any Subsidiary of the Company whose assets consist primarily of equity interests in one or more other Facility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Subsidiary will cease to be a Facility Subsidiary if it Guarantees any Indebtedness of the Company other than obligations of the Company related to Facility Debt of one or more Facility Subsidiaries.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set forth in the opinions and pronouncements of the Accounting Principles Board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lease that would not be considered a capital lease pursuant to GAAP prior to the effectiveness of Accounting Standards Codification 842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or not such lease was in effect on such date) shall be treated as an operating lease for all purposes under this Indenture and shall not be deemed to constitute a capitalized lease or Indebtedness hereunder.</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“Global Legend” </w:t>
      </w:r>
      <w:r>
        <w:rPr>
          <w:rFonts w:ascii="Times New Roman" w:cs="Times New Roman" w:eastAsia="Times New Roman" w:hAnsi="Times New Roman"/>
          <w:sz w:val="18"/>
          <w:szCs w:val="18"/>
          <w:color w:val="auto"/>
        </w:rPr>
        <w:t>means the legend set forth in Section 2.06(g)(2) hereof, which is required to be placed on all Global Securities issued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“Global Notes” </w:t>
      </w:r>
      <w:r>
        <w:rPr>
          <w:rFonts w:ascii="Times New Roman" w:cs="Times New Roman" w:eastAsia="Times New Roman" w:hAnsi="Times New Roman"/>
          <w:sz w:val="18"/>
          <w:szCs w:val="18"/>
          <w:color w:val="auto"/>
        </w:rPr>
        <w:t>means, individually and collectively, each Restricted Global Note and each Unrestricted Global Note deposited with or on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and registered in the name of the Depositary or its nominee that bears the Global Legend and that has the “Schedule of Exchanges of Interests in the Global Note” attached thereto, issued in accordance with Section 2.01, 2.06(b)(3), 2.06(b)(4), 2.06(d)(1), 2.06(d)(2), 2.06(d)(3) or 2.06(f) hereof.</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“Global Securities” </w:t>
      </w:r>
      <w:r>
        <w:rPr>
          <w:rFonts w:ascii="Times New Roman" w:cs="Times New Roman" w:eastAsia="Times New Roman" w:hAnsi="Times New Roman"/>
          <w:sz w:val="18"/>
          <w:szCs w:val="18"/>
          <w:color w:val="auto"/>
        </w:rPr>
        <w:t>means, individually and collectively, each Restricted Global Security and each Unrestricted Global Security deposited with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behalf of and registered in the name of the Depositary or its nominee that bears the Global Legend and that has the “Schedule of Exchanges of Interests in the Global Securities” attached thereto, issued in accordance with Section 2.01, 2.06(b)(3), 2.06(b)(4), 2.06(d)(1), 2.06(d)(2), 2.06(d)(3) or 2.06(f) hereof. The Global Security in respect of the Notes will be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“Government Securities” </w:t>
      </w:r>
      <w:r>
        <w:rPr>
          <w:rFonts w:ascii="Times New Roman" w:cs="Times New Roman" w:eastAsia="Times New Roman" w:hAnsi="Times New Roman"/>
          <w:sz w:val="18"/>
          <w:szCs w:val="18"/>
          <w:color w:val="auto"/>
        </w:rPr>
        <w:t>means direct obligations of, or obligations guaranteed by, the United States of America (including any agency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instrumentality thereof) for the payment of which obligations or guarantees the full faith and credit of the United States of America is pledged and which are not callable or redeemable at the issuer’s option.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“Guarantee” </w:t>
      </w:r>
      <w:r>
        <w:rPr>
          <w:rFonts w:ascii="Times New Roman" w:cs="Times New Roman" w:eastAsia="Times New Roman" w:hAnsi="Times New Roman"/>
          <w:sz w:val="18"/>
          <w:szCs w:val="18"/>
          <w:color w:val="auto"/>
        </w:rPr>
        <w:t>means a guarantee other than by endorsement of negotiable instruments for collection in the ordinary course of business, direct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standard contractual indemnities which do not relate to Indebtedness shall not be considered a Guarantee.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“Guarantors” </w:t>
      </w:r>
      <w:r>
        <w:rPr>
          <w:rFonts w:ascii="Times New Roman" w:cs="Times New Roman" w:eastAsia="Times New Roman" w:hAnsi="Times New Roman"/>
          <w:sz w:val="18"/>
          <w:szCs w:val="18"/>
          <w:color w:val="auto"/>
        </w:rPr>
        <w:t>means each of:</w:t>
      </w:r>
    </w:p>
    <w:p>
      <w:pPr>
        <w:spacing w:after="0" w:line="227" w:lineRule="exact"/>
        <w:rPr>
          <w:sz w:val="20"/>
          <w:szCs w:val="20"/>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Guarantors, until such time as they are released pursuant to Section 10.05 hereof.</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“Hedging Obligations” </w:t>
      </w:r>
      <w:r>
        <w:rPr>
          <w:rFonts w:ascii="Times New Roman" w:cs="Times New Roman" w:eastAsia="Times New Roman" w:hAnsi="Times New Roman"/>
          <w:sz w:val="18"/>
          <w:szCs w:val="18"/>
          <w:color w:val="auto"/>
        </w:rPr>
        <w:t>means, with respect to any specified Person, the obligations of such Person under:</w:t>
      </w:r>
    </w:p>
    <w:p>
      <w:pPr>
        <w:spacing w:after="0" w:line="22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(1)            currency exchange, interest rate or commodity swap agreements, currency exchange, interest rate or commodity cap agreements and currency exchange, interest rate or commodity collar agreements; and</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(2)            (i)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means a Person in whose name a Security is registered.</w:t>
      </w:r>
    </w:p>
    <w:p>
      <w:pPr>
        <w:spacing w:after="0" w:line="22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“IAI Global Note” </w:t>
      </w:r>
      <w:r>
        <w:rPr>
          <w:rFonts w:ascii="Times New Roman" w:cs="Times New Roman" w:eastAsia="Times New Roman" w:hAnsi="Times New Roman"/>
          <w:sz w:val="18"/>
          <w:szCs w:val="18"/>
          <w:color w:val="auto"/>
        </w:rPr>
        <w:t>means a Global Note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bearing the Global Legend and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Legend and deposited with or on behalf of, and registered in the name of, the Depositary or its nominee that will be issued in a denomination equal to the outstanding principal amount of the Notes resold to Institutional Accredited Investors.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“IAI Global Security” </w:t>
      </w:r>
      <w:r>
        <w:rPr>
          <w:rFonts w:ascii="Times New Roman" w:cs="Times New Roman" w:eastAsia="Times New Roman" w:hAnsi="Times New Roman"/>
          <w:sz w:val="18"/>
          <w:szCs w:val="18"/>
          <w:color w:val="auto"/>
        </w:rPr>
        <w:t>means a Global Security, in the form specified in the applicable Supplemental Indenture pursuant to which such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with respect to any specified Person, any indebtedness of such Person (excluding accrued expenses and trade payables,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clause (5) below, and surety bonds), whether or not contingent: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in respect of borrowed money;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            evidenced by bonds, notes, debentures or similar instruments or letters of credit (or reimbursement agreements in respect thereof);</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in respect of banker’s acceptances;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representing Capital Lease Obligations in respect of sale and leaseback transactions;</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(5)            representing the balance of deferred and unpaid purchase price of any property or services with a scheduled due date more than six months after such property is acquired or such services are completed; or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(6)            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Indebtedness shall be deemed not to exceed the lesser of the amount secured by such Lien and the value of the Person’s property securing such Lien.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“Indirect Participant” </w:t>
      </w:r>
      <w:r>
        <w:rPr>
          <w:rFonts w:ascii="Times New Roman" w:cs="Times New Roman" w:eastAsia="Times New Roman" w:hAnsi="Times New Roman"/>
          <w:sz w:val="18"/>
          <w:szCs w:val="18"/>
          <w:color w:val="auto"/>
        </w:rPr>
        <w:t>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Notes” </w:t>
      </w:r>
      <w:r>
        <w:rPr>
          <w:rFonts w:ascii="Times New Roman" w:cs="Times New Roman" w:eastAsia="Times New Roman" w:hAnsi="Times New Roman"/>
          <w:sz w:val="18"/>
          <w:szCs w:val="18"/>
          <w:color w:val="auto"/>
        </w:rPr>
        <w:t>means the first $600,000,000 in aggregate principal amount of Notes issued under this Indenture on the date 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“Initial Purchasers” </w:t>
      </w:r>
      <w:r>
        <w:rPr>
          <w:rFonts w:ascii="Times New Roman" w:cs="Times New Roman" w:eastAsia="Times New Roman" w:hAnsi="Times New Roman"/>
          <w:sz w:val="18"/>
          <w:szCs w:val="18"/>
          <w:color w:val="auto"/>
        </w:rPr>
        <w:t>means Wells Fargo Securities, LLC, MUFG Securities Americas Inc., Citigroup Global Markets Inc., Morgan Stanley &amp;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TD Securities (USA) LLC, Truist Securities, Inc., BNP Paribas Securities Corp., BofA Securities, Inc., J.P. Morgan Securities LLC, KeyBanc Capital Markets Inc. and RBC Capital Markets, LLC and shall include any other entity designated as such in any Supplemental Indenture with respect to any Series of Securities issued after the date of this Indenture.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“Institutional Accredited Investor” </w:t>
      </w:r>
      <w:r>
        <w:rPr>
          <w:rFonts w:ascii="Times New Roman" w:cs="Times New Roman" w:eastAsia="Times New Roman" w:hAnsi="Times New Roman"/>
          <w:sz w:val="18"/>
          <w:szCs w:val="18"/>
          <w:color w:val="auto"/>
        </w:rPr>
        <w:t>means an institution that is an “accredited investor” as defined in Rule 501(a)(1), (2), (3) or (7)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who are not also QIBs.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Grade” </w:t>
      </w:r>
      <w:r>
        <w:rPr>
          <w:rFonts w:ascii="Times New Roman" w:cs="Times New Roman" w:eastAsia="Times New Roman" w:hAnsi="Times New Roman"/>
          <w:sz w:val="18"/>
          <w:szCs w:val="18"/>
          <w:color w:val="auto"/>
        </w:rPr>
        <w:t>in respect of the Notes means a rating of (i) Baa3 or better by Moody’s, (ii) BBB- or better by S&amp;P, or (iii) the equivalent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rating by such organization.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“Issue Date” </w:t>
      </w:r>
      <w:r>
        <w:rPr>
          <w:rFonts w:ascii="Times New Roman" w:cs="Times New Roman" w:eastAsia="Times New Roman" w:hAnsi="Times New Roman"/>
          <w:sz w:val="18"/>
          <w:szCs w:val="18"/>
          <w:color w:val="auto"/>
        </w:rPr>
        <w:t>means January 13, 2026.</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“Legal Holiday” </w:t>
      </w:r>
      <w:r>
        <w:rPr>
          <w:rFonts w:ascii="Times New Roman" w:cs="Times New Roman" w:eastAsia="Times New Roman" w:hAnsi="Times New Roman"/>
          <w:sz w:val="18"/>
          <w:szCs w:val="18"/>
          <w:color w:val="auto"/>
        </w:rPr>
        <w:t>means a Saturday, a Sunday or a day on which banking institutions in the City of New York or at a place of payment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“Lien” </w:t>
      </w:r>
      <w:r>
        <w:rPr>
          <w:rFonts w:ascii="Times New Roman" w:cs="Times New Roman" w:eastAsia="Times New Roman" w:hAnsi="Times New Roman"/>
          <w:sz w:val="18"/>
          <w:szCs w:val="18"/>
          <w:color w:val="auto"/>
        </w:rPr>
        <w:t>means, with respect to any asset:</w:t>
      </w:r>
    </w:p>
    <w:p>
      <w:pPr>
        <w:spacing w:after="0" w:line="227"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(1)            any mortgage, deed of trust, deed to secure debt, lien (statutory or otherwise), pledge, hypothecation, encumbrance, restriction, collateral assignment, charge or security interest in, on or of such asset;</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(2)            the interest of a vendor or a lessor under any conditional sale agreement, capital lease or title retention agreement (or any financing lease having substantially the same economic effect as any of the foregoing) relating to such asset;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(3)            in the case of Equity Interests or debt securities, any purchase option, call or similar right of a third party with respect to such Equity Interests or debt securities.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 Indebtedness” </w:t>
      </w:r>
      <w:r>
        <w:rPr>
          <w:rFonts w:ascii="Times New Roman" w:cs="Times New Roman" w:eastAsia="Times New Roman" w:hAnsi="Times New Roman"/>
          <w:sz w:val="18"/>
          <w:szCs w:val="18"/>
          <w:color w:val="auto"/>
        </w:rPr>
        <w:t>means, as of any date, any series of Indebtedness with an aggregate principal amount outstanding in excess of the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 1.5% of Total Assets, as of such date, and (ii) $150.0 million.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“Moody’s” </w:t>
      </w:r>
      <w:r>
        <w:rPr>
          <w:rFonts w:ascii="Times New Roman" w:cs="Times New Roman" w:eastAsia="Times New Roman" w:hAnsi="Times New Roman"/>
          <w:sz w:val="18"/>
          <w:szCs w:val="18"/>
          <w:color w:val="auto"/>
        </w:rPr>
        <w:t>means Moody’s Investors Service, Inc. or any successor entity.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“Necessary CapEx Debt” </w:t>
      </w:r>
      <w:r>
        <w:rPr>
          <w:rFonts w:ascii="Times New Roman" w:cs="Times New Roman" w:eastAsia="Times New Roman" w:hAnsi="Times New Roman"/>
          <w:sz w:val="18"/>
          <w:szCs w:val="18"/>
          <w:color w:val="auto"/>
        </w:rPr>
        <w:t>means Indebtedness of the Company or any of its Subsidiaries incurred for the purpose of financing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“Non-U.S. Person” </w:t>
      </w:r>
      <w:r>
        <w:rPr>
          <w:rFonts w:ascii="Times New Roman" w:cs="Times New Roman" w:eastAsia="Times New Roman" w:hAnsi="Times New Roman"/>
          <w:sz w:val="18"/>
          <w:szCs w:val="18"/>
          <w:color w:val="auto"/>
        </w:rPr>
        <w:t>means a Person who is not a U.S. Person.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“Notes” </w:t>
      </w:r>
      <w:r>
        <w:rPr>
          <w:rFonts w:ascii="Times New Roman" w:cs="Times New Roman" w:eastAsia="Times New Roman" w:hAnsi="Times New Roman"/>
          <w:sz w:val="18"/>
          <w:szCs w:val="18"/>
          <w:color w:val="auto"/>
        </w:rPr>
        <w:t>has the meaning assigned to it in the preamble to this Indenture. The Initial Notes and the Additional Notes shall be treated as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for all purposes under this Indenture, and unless the context otherwise requires, all references to the Notes shall include the Initial Notes and any Additional Notes.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means any principal, interest, penalties, fees, indemnifications, reimbursements, damages and other liabilities payable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documentation governing any Indebtedness.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“Offering Memorandum” </w:t>
      </w:r>
      <w:r>
        <w:rPr>
          <w:rFonts w:ascii="Times New Roman" w:cs="Times New Roman" w:eastAsia="Times New Roman" w:hAnsi="Times New Roman"/>
          <w:sz w:val="18"/>
          <w:szCs w:val="18"/>
          <w:color w:val="auto"/>
        </w:rPr>
        <w:t>means the offering memorandum dated January 8, 2026 in connection with the offering of the Notes by the Company.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“Officer” </w:t>
      </w:r>
      <w:r>
        <w:rPr>
          <w:rFonts w:ascii="Times New Roman" w:cs="Times New Roman" w:eastAsia="Times New Roman" w:hAnsi="Times New Roman"/>
          <w:sz w:val="18"/>
          <w:szCs w:val="18"/>
          <w:color w:val="auto"/>
        </w:rPr>
        <w:t>means, with respect to any Person, the Chairman of the Board of Directors, the Chief Executive Officer, the President,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Officer, the Chief Financial Officer, the Chief Accounting Officer, the Treasurer, any Assistant Treasurer, the Secretary, the Controller, Assistant Secretary or any Vice President of such Person.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means a certificate signed on behalf of the Company by two Officers of the Company, one of whom must be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the principal financial officer, the treasurer or the principal accounting officer of the Company, that meets the requirements of Section 12.05 hereof.</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“Opinion of Counsel” </w:t>
      </w:r>
      <w:r>
        <w:rPr>
          <w:rFonts w:ascii="Times New Roman" w:cs="Times New Roman" w:eastAsia="Times New Roman" w:hAnsi="Times New Roman"/>
          <w:sz w:val="18"/>
          <w:szCs w:val="18"/>
          <w:color w:val="auto"/>
        </w:rPr>
        <w:t>means an opinion from legal counsel who is reasonably acceptable to the Trustee, that meets the requirements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12.05 hereof. The counsel may be an employee of or counsel to the Company, any Subsidiary of the Company or the Trustee.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“Original Issue Discount Legend” </w:t>
      </w:r>
      <w:r>
        <w:rPr>
          <w:rFonts w:ascii="Times New Roman" w:cs="Times New Roman" w:eastAsia="Times New Roman" w:hAnsi="Times New Roman"/>
          <w:sz w:val="18"/>
          <w:szCs w:val="18"/>
          <w:color w:val="auto"/>
        </w:rPr>
        <w:t>means the legend set forth in Section 2.06(g)(3) hereof to be placed on all Securities issued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if applicable.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“Parent Guarantee” </w:t>
      </w:r>
      <w:r>
        <w:rPr>
          <w:rFonts w:ascii="Times New Roman" w:cs="Times New Roman" w:eastAsia="Times New Roman" w:hAnsi="Times New Roman"/>
          <w:sz w:val="18"/>
          <w:szCs w:val="18"/>
          <w:color w:val="auto"/>
        </w:rPr>
        <w:t>means the Guarantee by the Parent Guarantor of the Company’s obligations under this Indenture and on the Notes,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provisions of this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“Parent Guarantor” </w:t>
      </w:r>
      <w:r>
        <w:rPr>
          <w:rFonts w:ascii="Times New Roman" w:cs="Times New Roman" w:eastAsia="Times New Roman" w:hAnsi="Times New Roman"/>
          <w:sz w:val="18"/>
          <w:szCs w:val="18"/>
          <w:color w:val="auto"/>
        </w:rPr>
        <w:t>means Clearway Energy LLC and its successors and assigns.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“Participant” </w:t>
      </w:r>
      <w:r>
        <w:rPr>
          <w:rFonts w:ascii="Times New Roman" w:cs="Times New Roman" w:eastAsia="Times New Roman" w:hAnsi="Times New Roman"/>
          <w:sz w:val="18"/>
          <w:szCs w:val="18"/>
          <w:color w:val="auto"/>
        </w:rPr>
        <w:t>means, with respect to the Depositary, Euroclear or Clearstream, a Person who has an account with the Depositary, Euroclear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Clearstream, respectively (and, with respect to DTC, shall include Euroclear and Clearstream).</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any individual, corporation, partnership, joint venture, association, joint-stock company, trust, unincorporated 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liability company or government or other entity.</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building, structure or other facility, and all related property, plant or equipment or other long-term assets used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reasonable opinion of the Company is not of material importance to the business conducted by the Company and its consolidated Subsidiaries, taken as a whole.</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“Private Placement Legend” </w:t>
      </w:r>
      <w:r>
        <w:rPr>
          <w:rFonts w:ascii="Times New Roman" w:cs="Times New Roman" w:eastAsia="Times New Roman" w:hAnsi="Times New Roman"/>
          <w:sz w:val="18"/>
          <w:szCs w:val="18"/>
          <w:color w:val="auto"/>
        </w:rPr>
        <w:t>means the legend set forth in Section 2.06(g)(1) hereof to be placed on all Notes issued under this Indenture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otherwise permitted by the provisions of this Indenture.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 Forma Cost Savings” </w:t>
      </w:r>
      <w:r>
        <w:rPr>
          <w:rFonts w:ascii="Times New Roman" w:cs="Times New Roman" w:eastAsia="Times New Roman" w:hAnsi="Times New Roman"/>
          <w:sz w:val="18"/>
          <w:szCs w:val="18"/>
          <w:color w:val="auto"/>
        </w:rPr>
        <w:t>means, without duplication, with respect to any period, reductions in costs and related adjustments that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“QIB” </w:t>
      </w:r>
      <w:r>
        <w:rPr>
          <w:rFonts w:ascii="Times New Roman" w:cs="Times New Roman" w:eastAsia="Times New Roman" w:hAnsi="Times New Roman"/>
          <w:sz w:val="18"/>
          <w:szCs w:val="18"/>
          <w:color w:val="auto"/>
        </w:rPr>
        <w:t>means a “qualified institutional buyer” as defined in Rule 144A.</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“Refinancing Liens” </w:t>
      </w:r>
      <w:r>
        <w:rPr>
          <w:rFonts w:ascii="Times New Roman" w:cs="Times New Roman" w:eastAsia="Times New Roman" w:hAnsi="Times New Roman"/>
          <w:sz w:val="18"/>
          <w:szCs w:val="18"/>
          <w:color w:val="auto"/>
        </w:rPr>
        <w:t>means Liens granted in connection with amending, extending, modifying, renewing, replacing, refunding or refinancing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whole or in part any Indebtedness secured by Liens described in clauses (2) through (13) of Section 4.07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Refinancing Liens do not</w:t>
      </w:r>
    </w:p>
    <w:p>
      <w:pPr>
        <w:jc w:val="both"/>
        <w:ind w:firstLine="8"/>
        <w:spacing w:after="0" w:line="255" w:lineRule="auto"/>
        <w:tabs>
          <w:tab w:leader="none" w:pos="2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“Regulation S” </w:t>
      </w:r>
      <w:r>
        <w:rPr>
          <w:rFonts w:ascii="Times New Roman" w:cs="Times New Roman" w:eastAsia="Times New Roman" w:hAnsi="Times New Roman"/>
          <w:sz w:val="18"/>
          <w:szCs w:val="18"/>
          <w:color w:val="auto"/>
        </w:rPr>
        <w:t>means Regulation 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“Regulation S-K” </w:t>
      </w:r>
      <w:r>
        <w:rPr>
          <w:rFonts w:ascii="Times New Roman" w:cs="Times New Roman" w:eastAsia="Times New Roman" w:hAnsi="Times New Roman"/>
          <w:sz w:val="18"/>
          <w:szCs w:val="18"/>
          <w:color w:val="auto"/>
        </w:rPr>
        <w:t>means Regulation S-K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“Regulation S-X” </w:t>
      </w:r>
      <w:r>
        <w:rPr>
          <w:rFonts w:ascii="Times New Roman" w:cs="Times New Roman" w:eastAsia="Times New Roman" w:hAnsi="Times New Roman"/>
          <w:sz w:val="18"/>
          <w:szCs w:val="18"/>
          <w:color w:val="auto"/>
        </w:rPr>
        <w:t>means Regulation S-X promulgated under the Securities Act.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“Regulation S Global Note” </w:t>
      </w:r>
      <w:r>
        <w:rPr>
          <w:rFonts w:ascii="Times New Roman" w:cs="Times New Roman" w:eastAsia="Times New Roman" w:hAnsi="Times New Roman"/>
          <w:sz w:val="18"/>
          <w:szCs w:val="18"/>
          <w:color w:val="auto"/>
        </w:rPr>
        <w:t>means a Global Note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bearing the Global Legend and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Legend and deposited with or on behalf of and registered in the name of the Depositary or its nominee, issued in a denomination equal to the outstanding principal amount of the Notes sold in reliance on Rule 903 of Regulation 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“Regulation S Global Security” </w:t>
      </w:r>
      <w:r>
        <w:rPr>
          <w:rFonts w:ascii="Times New Roman" w:cs="Times New Roman" w:eastAsia="Times New Roman" w:hAnsi="Times New Roman"/>
          <w:sz w:val="18"/>
          <w:szCs w:val="18"/>
          <w:color w:val="auto"/>
        </w:rPr>
        <w:t>means a Global Security, in the form specified in the applicable Supplemental Indenture pursuant to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“Responsible Officer” </w:t>
      </w:r>
      <w:r>
        <w:rPr>
          <w:rFonts w:ascii="Times New Roman" w:cs="Times New Roman" w:eastAsia="Times New Roman" w:hAnsi="Times New Roman"/>
          <w:sz w:val="18"/>
          <w:szCs w:val="18"/>
          <w:color w:val="auto"/>
        </w:rPr>
        <w:t>means, when used with respect to the Trustee, any officer within the Corporate Trust Administration of the Trustee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Definitive Note” </w:t>
      </w:r>
      <w:r>
        <w:rPr>
          <w:rFonts w:ascii="Times New Roman" w:cs="Times New Roman" w:eastAsia="Times New Roman" w:hAnsi="Times New Roman"/>
          <w:sz w:val="18"/>
          <w:szCs w:val="18"/>
          <w:color w:val="auto"/>
        </w:rPr>
        <w:t>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Definitive Security” </w:t>
      </w:r>
      <w:r>
        <w:rPr>
          <w:rFonts w:ascii="Times New Roman" w:cs="Times New Roman" w:eastAsia="Times New Roman" w:hAnsi="Times New Roman"/>
          <w:sz w:val="18"/>
          <w:szCs w:val="18"/>
          <w:color w:val="auto"/>
        </w:rPr>
        <w:t>means a Definitive Security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Global Note” </w:t>
      </w:r>
      <w:r>
        <w:rPr>
          <w:rFonts w:ascii="Times New Roman" w:cs="Times New Roman" w:eastAsia="Times New Roman" w:hAnsi="Times New Roman"/>
          <w:sz w:val="18"/>
          <w:szCs w:val="18"/>
          <w:color w:val="auto"/>
        </w:rPr>
        <w:t>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Global Security” </w:t>
      </w:r>
      <w:r>
        <w:rPr>
          <w:rFonts w:ascii="Times New Roman" w:cs="Times New Roman" w:eastAsia="Times New Roman" w:hAnsi="Times New Roman"/>
          <w:sz w:val="18"/>
          <w:szCs w:val="18"/>
          <w:color w:val="auto"/>
        </w:rPr>
        <w:t>means a Global Security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Period” </w:t>
      </w:r>
      <w:r>
        <w:rPr>
          <w:rFonts w:ascii="Times New Roman" w:cs="Times New Roman" w:eastAsia="Times New Roman" w:hAnsi="Times New Roman"/>
          <w:sz w:val="18"/>
          <w:szCs w:val="18"/>
          <w:color w:val="auto"/>
        </w:rPr>
        <w:t>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144” </w:t>
      </w:r>
      <w:r>
        <w:rPr>
          <w:rFonts w:ascii="Times New Roman" w:cs="Times New Roman" w:eastAsia="Times New Roman" w:hAnsi="Times New Roman"/>
          <w:sz w:val="18"/>
          <w:szCs w:val="18"/>
          <w:color w:val="auto"/>
        </w:rPr>
        <w:t>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144A” </w:t>
      </w:r>
      <w:r>
        <w:rPr>
          <w:rFonts w:ascii="Times New Roman" w:cs="Times New Roman" w:eastAsia="Times New Roman" w:hAnsi="Times New Roman"/>
          <w:sz w:val="18"/>
          <w:szCs w:val="18"/>
          <w:color w:val="auto"/>
        </w:rPr>
        <w:t>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903” </w:t>
      </w:r>
      <w:r>
        <w:rPr>
          <w:rFonts w:ascii="Times New Roman" w:cs="Times New Roman" w:eastAsia="Times New Roman" w:hAnsi="Times New Roman"/>
          <w:sz w:val="18"/>
          <w:szCs w:val="18"/>
          <w:color w:val="auto"/>
        </w:rPr>
        <w:t>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904” </w:t>
      </w:r>
      <w:r>
        <w:rPr>
          <w:rFonts w:ascii="Times New Roman" w:cs="Times New Roman" w:eastAsia="Times New Roman" w:hAnsi="Times New Roman"/>
          <w:sz w:val="18"/>
          <w:szCs w:val="18"/>
          <w:color w:val="auto"/>
        </w:rPr>
        <w:t>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S&amp;P Global Ratings, a division of S&amp;P Global Inc., or any successor entity.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U.S. Securities and Exchange Commission or any successor thereto.</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means all debentures, notes and other debt instruments of the Company of any Series authenticated and delivered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including all Notes and Additional Securities.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“Series of Securities” </w:t>
      </w:r>
      <w:r>
        <w:rPr>
          <w:rFonts w:ascii="Times New Roman" w:cs="Times New Roman" w:eastAsia="Times New Roman" w:hAnsi="Times New Roman"/>
          <w:sz w:val="18"/>
          <w:szCs w:val="18"/>
          <w:color w:val="auto"/>
        </w:rPr>
        <w:t>means each series of Securities created pursuant to Section 2.01 hereof (for the avoidance of doubt,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Series of Securities).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“Significant Subsidiary” </w:t>
      </w:r>
      <w:r>
        <w:rPr>
          <w:rFonts w:ascii="Times New Roman" w:cs="Times New Roman" w:eastAsia="Times New Roman" w:hAnsi="Times New Roman"/>
          <w:sz w:val="18"/>
          <w:szCs w:val="18"/>
          <w:color w:val="auto"/>
        </w:rPr>
        <w:t>means any Subsidiary that would be a “significant subsidiary” as defined in Article 1, Rule 1-02 of Regulation S-X,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pursuant to the Securities Act, as such Regulation is in effect on the date of this Indenture.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“Sponsor” </w:t>
      </w:r>
      <w:r>
        <w:rPr>
          <w:rFonts w:ascii="Times New Roman" w:cs="Times New Roman" w:eastAsia="Times New Roman" w:hAnsi="Times New Roman"/>
          <w:sz w:val="18"/>
          <w:szCs w:val="18"/>
          <w:color w:val="auto"/>
        </w:rPr>
        <w:t>means any of (i) BlackRock, Inc., (ii) Global Infrastructure Management, LLC, (iii) TotalEnergies SE, (iv) one or more Sponsor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and (v) any funds or partnerships or co-investment vehicles managed or advised or controlled by any of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“Sponsor Affiliate” </w:t>
      </w:r>
      <w:r>
        <w:rPr>
          <w:rFonts w:ascii="Times New Roman" w:cs="Times New Roman" w:eastAsia="Times New Roman" w:hAnsi="Times New Roman"/>
          <w:sz w:val="18"/>
          <w:szCs w:val="18"/>
          <w:color w:val="auto"/>
        </w:rPr>
        <w:t>means any Affiliate of the Sponsor that is not a portfolio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“Stated Maturity” </w:t>
      </w:r>
      <w:r>
        <w:rPr>
          <w:rFonts w:ascii="Times New Roman" w:cs="Times New Roman" w:eastAsia="Times New Roman" w:hAnsi="Times New Roman"/>
          <w:sz w:val="18"/>
          <w:szCs w:val="18"/>
          <w:color w:val="auto"/>
        </w:rPr>
        <w:t>means, with respect to any installment of interest or principal on any series of Indebtedness, the date on which the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specified Person:</w:t>
      </w:r>
    </w:p>
    <w:p>
      <w:pPr>
        <w:spacing w:after="0" w:line="22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(1)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(2)            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Guarantee” </w:t>
      </w:r>
      <w:r>
        <w:rPr>
          <w:rFonts w:ascii="Times New Roman" w:cs="Times New Roman" w:eastAsia="Times New Roman" w:hAnsi="Times New Roman"/>
          <w:sz w:val="18"/>
          <w:szCs w:val="18"/>
          <w:color w:val="auto"/>
        </w:rPr>
        <w:t>means the Guarantee by each Subsidiary Guarantor of the Company’s obligations under this Indenture and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pursuant to the provisions of this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“Subsidiary Guarantors” </w:t>
      </w:r>
      <w:r>
        <w:rPr>
          <w:rFonts w:ascii="Times New Roman" w:cs="Times New Roman" w:eastAsia="Times New Roman" w:hAnsi="Times New Roman"/>
          <w:sz w:val="18"/>
          <w:szCs w:val="18"/>
          <w:color w:val="auto"/>
        </w:rPr>
        <w:t>means:</w:t>
      </w:r>
    </w:p>
    <w:p>
      <w:pPr>
        <w:spacing w:after="0" w:line="22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each of the Company’s Wholly Owned Subsidiaries that Guarantee the Notes on the date of this Indenture, until such time as they are released pursuant to Section 10.05 of this Indenture;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(2)            any other Subsidiary that executes a Subsidiary Guarantee in accordance with the provisions of this Indenture, and their respective successors and assigns.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means any supplemental indenture entered into pursuant to Section 2.01 hereof to evidence the issuance of any Additional Securities after the date of this Indenture.</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“Tax Equity Financing” </w:t>
      </w:r>
      <w:r>
        <w:rPr>
          <w:rFonts w:ascii="Times New Roman" w:cs="Times New Roman" w:eastAsia="Times New Roman" w:hAnsi="Times New Roman"/>
          <w:sz w:val="18"/>
          <w:szCs w:val="18"/>
          <w:color w:val="auto"/>
        </w:rPr>
        <w:t>means a tax equity financing entered into solely in connection with the acquisition, expansion, upgrade or refurbishment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refinancing of any of the foregoing or of any Indebtedness incurred in connection therewith) of or by a Facility Subsidiary (and/or another Subsidiary that is a direct or indirect parent company of such Facility Subsidiary) of energy generating, transmission, storage or distribution assets, or of any other energy or power facility or any assets related to any of the foregoing that are eligible for green energy tax credits available under the Code, on an arm’s length basis.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Assets” </w:t>
      </w:r>
      <w:r>
        <w:rPr>
          <w:rFonts w:ascii="Times New Roman" w:cs="Times New Roman" w:eastAsia="Times New Roman" w:hAnsi="Times New Roman"/>
          <w:sz w:val="18"/>
          <w:szCs w:val="18"/>
          <w:color w:val="auto"/>
        </w:rPr>
        <w:t>means, as of any date of determination, the total consolidated assets of the Company and its Subsidiaries, determined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basis in accordance with GAAP, as shown on the most recent publicly available balance sheet of the Company as of such date.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“Treasury Rate” </w:t>
      </w:r>
      <w:r>
        <w:rPr>
          <w:rFonts w:ascii="Times New Roman" w:cs="Times New Roman" w:eastAsia="Times New Roman" w:hAnsi="Times New Roman"/>
          <w:sz w:val="18"/>
          <w:szCs w:val="18"/>
          <w:color w:val="auto"/>
        </w:rPr>
        <w:t>means, as of any redemption date, the yield to maturity as of such redemption date of United States Treasury securities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January 15, 2029;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period from the redemption date to January 15, 2029 is less than one year, the weekly average yield on actually traded United States Treasury securities adjusted to a constant maturity of one year will be used.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Definitive Note” </w:t>
      </w:r>
      <w:r>
        <w:rPr>
          <w:rFonts w:ascii="Times New Roman" w:cs="Times New Roman" w:eastAsia="Times New Roman" w:hAnsi="Times New Roman"/>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Definitive Security” </w:t>
      </w:r>
      <w:r>
        <w:rPr>
          <w:rFonts w:ascii="Times New Roman" w:cs="Times New Roman" w:eastAsia="Times New Roman" w:hAnsi="Times New Roman"/>
          <w:sz w:val="18"/>
          <w:szCs w:val="18"/>
          <w:color w:val="auto"/>
        </w:rPr>
        <w:t>means a Definitive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Global Note” </w:t>
      </w:r>
      <w:r>
        <w:rPr>
          <w:rFonts w:ascii="Times New Roman" w:cs="Times New Roman" w:eastAsia="Times New Roman" w:hAnsi="Times New Roman"/>
          <w:sz w:val="18"/>
          <w:szCs w:val="18"/>
          <w:color w:val="auto"/>
        </w:rPr>
        <w:t>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Global Security” </w:t>
      </w:r>
      <w:r>
        <w:rPr>
          <w:rFonts w:ascii="Times New Roman" w:cs="Times New Roman" w:eastAsia="Times New Roman" w:hAnsi="Times New Roman"/>
          <w:sz w:val="18"/>
          <w:szCs w:val="18"/>
          <w:color w:val="auto"/>
        </w:rPr>
        <w:t>means a Global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“U.S. Person” </w:t>
      </w:r>
      <w:r>
        <w:rPr>
          <w:rFonts w:ascii="Times New Roman" w:cs="Times New Roman" w:eastAsia="Times New Roman" w:hAnsi="Times New Roman"/>
          <w:sz w:val="18"/>
          <w:szCs w:val="18"/>
          <w:color w:val="auto"/>
        </w:rPr>
        <w:t>means a U.S. Person as defined in Rule 902(k) promulgated under the Securities Act.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Stock” </w:t>
      </w:r>
      <w:r>
        <w:rPr>
          <w:rFonts w:ascii="Times New Roman" w:cs="Times New Roman" w:eastAsia="Times New Roman" w:hAnsi="Times New Roman"/>
          <w:sz w:val="18"/>
          <w:szCs w:val="18"/>
          <w:color w:val="auto"/>
        </w:rPr>
        <w:t>of any Person as of any date means the Capital Stock of such Person that is at the time entitled to vote in the election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of such Person.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“Wholly Owned Subsidiary” </w:t>
      </w:r>
      <w:r>
        <w:rPr>
          <w:rFonts w:ascii="Times New Roman" w:cs="Times New Roman" w:eastAsia="Times New Roman" w:hAnsi="Times New Roman"/>
          <w:sz w:val="18"/>
          <w:szCs w:val="18"/>
          <w:color w:val="auto"/>
        </w:rPr>
        <w:t>means, with respect to any specified Person, a direct or indirect Subsidiary of such Person, 100%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Stock or other ownership interests of which is at the time owned by such Person or by one or more Wholly Owned Subsidiaries of such Person.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i w:val="1"/>
          <w:iCs w:val="1"/>
          <w:color w:val="auto"/>
        </w:rPr>
        <w:t>Other Definitions.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Defined in</w:t>
            </w: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Section</w:t>
            </w:r>
          </w:p>
        </w:tc>
      </w:tr>
      <w:tr>
        <w:trPr>
          <w:trHeight w:val="209"/>
        </w:trPr>
        <w:tc>
          <w:tcPr>
            <w:tcW w:w="7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“Authentication Order”     </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 of Control Offer”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 of Control Payment”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 of Control Payment Date”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“Covenant Defeasance”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“DTC”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“Event of Default”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“Legal Defeasance”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“Paying Agent”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“Payment Default”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“Registrar”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i w:val="1"/>
          <w:iCs w:val="1"/>
          <w:color w:val="auto"/>
        </w:rPr>
        <w:t>Rules of Construction.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a term has the meaning assigned to it;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an accounting term not otherwise defined has the meaning assigned to it in accordance with GAAP;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“or” is not exclusive;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“including” is not limiting;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words in the singular include the plural, and in the plural include the singular;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“will” shall be interpreted to express a command;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provisions apply to successive events and transactions; and</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(8)            references to sections of or rules under the Securities Act will be deemed to include substitute, replacement or successor sections or rules adopted by the SEC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terms and provisions contained in this Indenture will apply to any Additional Securities issued from time to time pursuant to this Indenture, except as may be otherwise provided in the Supplemental Indenture with respect to such Additional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ISSUANCE OF NOTES AND ADDITIONAL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i w:val="1"/>
          <w:iCs w:val="1"/>
          <w:color w:val="auto"/>
        </w:rPr>
        <w:t>Form and Dating of Notes; Creation of Additional Securities.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Securities to be Issued in Series</w:t>
      </w:r>
      <w:r>
        <w:rPr>
          <w:rFonts w:ascii="Times New Roman" w:cs="Times New Roman" w:eastAsia="Times New Roman" w:hAnsi="Times New Roman"/>
          <w:sz w:val="18"/>
          <w:szCs w:val="18"/>
          <w:color w:val="auto"/>
        </w:rPr>
        <w:t>. The aggregate amount of Securities that may be authenticated and delivered under this Indenture is 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title of the Series (which shall distinguish the Securities of that particular Series from the Securities of any other Series);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            the price or prices (expressed as a percentage of the principal amount thereof) at which the Securities of the Series will be issued;</w:t>
      </w:r>
    </w:p>
    <w:p>
      <w:pPr>
        <w:spacing w:after="0" w:line="23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date or dates on which the principal of the Securities of the Series is payable;</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58"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(7)            if applicable, the period or periods within which the price or prices at which and the terms and conditions upon which the Securities of the Series may be redeemed, in whole or in part, at the option of the Company;</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(9)            the dates, if any, on which and the price or prices at which the Securities of the Series will be repurchased by the Company at the option of the Holders thereof and other detailed terms and provisions of such repurchase obligations;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            if other than denominations of $2,000 and any integral multiples of $1,000 in excess thereof, the denominations in which the Securities of the Series shall be issuable;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the forms of the Securities of the Series in bearer or fully registered form (and, if in fully registered form, whether the Securities will be issuable as Global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(12)            if other than the principal amount thereof, the portion of the principal amount of the Securities of the Series that shall be payable upon declaration of acceleration of the maturity thereof pursuant to Section 6.02;</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            the currency of denomination of the Securities of the Series, which may be U.S. dollars or any other currency, and if such currency of denomination is a composite currency, the agency or organization, if any, responsible for overseeing such composite currency;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            the designation of the currency, currencies or currency units in which payment of the principal of and interest, if any, on the Securities of the Series will be made;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(17)            the provisions, if any, relating to any security or guarantee provided for the Securities of the Series, and any subordination in right of payment, if any, of the Securities of the Series;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            any addition to or change in or deletion of any of the covenants set forth in Articles 4 or 5 which applies to Securities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(19)            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(20)            any addition to or change in or deletion of any of the provisions and terms set forth in Articles 7 and 9 which applies to Securities of the Series;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            any other terms of the Securities of the Series (which may modify or delete any provision of this Indenture insofar as it applies to such Series and/or add additional provisions);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            any depositories, interest rate calculation agents, exchange rate calculation agents or other agents with respect to Securities of such Series if other than those appointed herein.</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The Notes</w:t>
      </w:r>
      <w:r>
        <w:rPr>
          <w:rFonts w:ascii="Times New Roman" w:cs="Times New Roman" w:eastAsia="Times New Roman" w:hAnsi="Times New Roman"/>
          <w:sz w:val="18"/>
          <w:szCs w:val="18"/>
          <w:color w:val="auto"/>
        </w:rPr>
        <w:t xml:space="preserve">. The Notes shall be issued in registered global form without interest coupons. The Notes and the Trustee’s certificate of authentication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Notes may have notations, legends or endorsements required by law, stock exchange rule or usage. The Company shall furnish any such notations, legends or endorsements to the Trustee in writing. Each Note shall be dated the date of its authentication. The Notes shall be in minimum denominations of $2,000 and integral multiples of $1,000.</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 extent any provision of the Note conflicts with the express provisions of this Indenture, the provisions of this Indenture shall govern and be controlling.</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xml:space="preserve">. Notes issued in global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(including the Global Legend thereon and the “Schedule of Exchanges of Interests in the Global Note” attached thereto). Notes issued in definitive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Euroclear and Clearstream Procedures Applicable.</w:t>
      </w:r>
      <w:r>
        <w:rPr>
          <w:rFonts w:ascii="Times New Roman" w:cs="Times New Roman" w:eastAsia="Times New Roman" w:hAnsi="Times New Roman"/>
          <w:sz w:val="18"/>
          <w:szCs w:val="18"/>
          <w:color w:val="auto"/>
        </w:rPr>
        <w:t xml:space="preserve"> The provisions of the “Operating Procedures of the Euroclear System” and “Terms and 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i w:val="1"/>
          <w:iCs w:val="1"/>
          <w:color w:val="auto"/>
        </w:rPr>
        <w:t>Execution and 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Officer must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a Security is authenticated, the Security will nevertheless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Security will not be valid until authenticated by the manual signature of the Trustee. The signature will be conclusive evidence that the Security has been authenticated under this Indenture.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Trustee shall, upon receipt of a written order of the Company signed by at least one Officer (an </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i w:val="1"/>
          <w:iCs w:val="1"/>
          <w:color w:val="auto"/>
        </w:rPr>
        <w:t>Registrar and Paying Agent.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will maintain an office or agency with respect to each Series of Securities issued pursuant to this Indenture, where such securities may be presented for registration of transfer or for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an office or agency where such Securities may be presented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The Registrar will keep a register of all such Securities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initially appoints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initially appoints the Trustee to act as the Registrar and Paying Agent and to act as Custodian with respect to the Global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i w:val="1"/>
          <w:iCs w:val="1"/>
          <w:color w:val="auto"/>
        </w:rPr>
        <w:t>Paying Agent to Hold Money in Trust.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i w:val="1"/>
          <w:iCs w:val="1"/>
          <w:color w:val="auto"/>
        </w:rPr>
        <w:t>Holder Lists.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all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i w:val="1"/>
          <w:iCs w:val="1"/>
          <w:color w:val="auto"/>
        </w:rPr>
        <w:t>Transfer and Exchange.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Transfer and Exchange of Global Securities</w:t>
      </w:r>
      <w:r>
        <w:rPr>
          <w:rFonts w:ascii="Times New Roman" w:cs="Times New Roman" w:eastAsia="Times New Roman" w:hAnsi="Times New Roman"/>
          <w:sz w:val="18"/>
          <w:szCs w:val="18"/>
          <w:color w:val="auto"/>
        </w:rPr>
        <w:t>. A Global Security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spacing w:after="0" w:line="17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(2)            the Company in its sole discretion determines that the Global Securities (in whole but not in part) should be exchanged for Definitive Securities and delivers a written notice to such effect to the Trustee;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there has occurred and is continuing a Default or Event of Default with respect to the Notes.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Transfer and Exchange of Beneficial Interests in the Global Securities</w:t>
      </w:r>
      <w:r>
        <w:rPr>
          <w:rFonts w:ascii="Times New Roman" w:cs="Times New Roman" w:eastAsia="Times New Roman" w:hAnsi="Times New Roman"/>
          <w:sz w:val="18"/>
          <w:szCs w:val="18"/>
          <w:color w:val="auto"/>
        </w:rPr>
        <w:t>. The transfer and exchange of beneficial interests in the Global 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Transfer of Beneficial Interests in the Same Global Security</w:t>
      </w:r>
      <w:r>
        <w:rPr>
          <w:rFonts w:ascii="Times New Roman" w:cs="Times New Roman" w:eastAsia="Times New Roman" w:hAnsi="Times New Roman"/>
          <w:sz w:val="18"/>
          <w:szCs w:val="18"/>
          <w:color w:val="auto"/>
        </w:rPr>
        <w:t xml:space="preserve">. Beneficial interests in any Restricted Global Security may be transferred to Persons who take delivery thereof in the form of a beneficial interest in the same Restricted Global Security in accordance with the transfer restrictions set forth in the Private Placement Legend;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ind w:firstLine="648"/>
        <w:spacing w:after="0" w:line="28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All Other Transfers and Exchanges of Beneficial Interests in Global Securities.</w:t>
      </w:r>
      <w:r>
        <w:rPr>
          <w:rFonts w:ascii="Times New Roman" w:cs="Times New Roman" w:eastAsia="Times New Roman" w:hAnsi="Times New Roman"/>
          <w:sz w:val="18"/>
          <w:szCs w:val="18"/>
          <w:color w:val="auto"/>
        </w:rPr>
        <w:t xml:space="preserve"> In connection with all transfers and exchanges of beneficial interests that are not subject to Section 2.06(b)(1) above, the transferor of such beneficial interest must deliver to the Registrar either:</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both:</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176"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            instructions given in accordance with the Applicable Procedures containing information regarding the Participant account to be credited with such increase;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both:</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instructions given by the Depositary to the Registrar containing information regarding the Person in whose name such Definitive Security shall be registered to effect the transfer or exchange referred to in (i) above.</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Transfer of Beneficial Interests to Another Restricted Global Security.</w:t>
      </w:r>
      <w:r>
        <w:rPr>
          <w:rFonts w:ascii="Times New Roman" w:cs="Times New Roman" w:eastAsia="Times New Roman" w:hAnsi="Times New Roman"/>
          <w:sz w:val="18"/>
          <w:szCs w:val="18"/>
          <w:color w:val="auto"/>
        </w:rPr>
        <w:t xml:space="preserve"> A beneficial interest in any Restricted Global Security may be transferred to a Person who takes delivery thereof in the form of a beneficial interest in another Restricted Global Security if the transfer complies with the requirements of Section 2.06(b)(2) above and the Registrar receives the following:</w:t>
      </w:r>
    </w:p>
    <w:p>
      <w:pPr>
        <w:spacing w:after="0" w:line="175"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if the transferee will take delivery in the form of a beneficial interest in the 144A Global Security,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2" w:lineRule="exact"/>
        <w:rPr>
          <w:sz w:val="20"/>
          <w:szCs w:val="20"/>
          <w:color w:val="auto"/>
        </w:rPr>
      </w:pPr>
    </w:p>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if the transferee will take delivery in the form of a beneficial interest in the Regulation S Global Security,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and</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if the transferee will take delivery in the form of a beneficial interest in the IAI Global Security,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Transfer and Exchange of Beneficial Interests in a Restricted Global Security for Beneficial Interests in an Unrestricted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A beneficial interest in any Restricted Global Security may be exchanged by any holder thereof for a beneficial interest in an Unrestricted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Security or transferred to a Person who takes delivery thereof in the form of a beneficial interest in an Unrestricted Global Security if the exchange or transfer complies with the requirements of Section 2.06(b)(2) above and the Registrar receives the following:</w:t>
      </w:r>
    </w:p>
    <w:p>
      <w:pPr>
        <w:spacing w:after="0" w:line="18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if the holder of such beneficial interest in a Restricted Global Note proposes to exchange such beneficial interest for a beneficial interest in an Unrestricted Global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(1)(a) thereof; or</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9" w:name="page30"/>
    <w:bookmarkEnd w:id="29"/>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in each such case of this Section 2.06(b)(4),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If any such transfer is effected pursuant to this Section 2.06(b)(4)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this Section 2.06(b)(4).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Transfer or Exchange of Beneficial Interests in Global Securities for Definitive Securities.</w:t>
      </w:r>
      <w:r>
        <w:rPr>
          <w:rFonts w:ascii="Times New Roman" w:cs="Times New Roman" w:eastAsia="Times New Roman" w:hAnsi="Times New Roman"/>
          <w:sz w:val="18"/>
          <w:szCs w:val="18"/>
          <w:color w:val="auto"/>
        </w:rPr>
        <w:t xml:space="preserve"> Transfers or exchanges of beneficial interests in Global Securities for Definitive Securities shall in each case be subject to the satisfaction of any applicable conditions set forth in Section 2.06(b)(2) hereof, and to the requirements set forth below in this Section 2.06(c).</w:t>
      </w:r>
    </w:p>
    <w:p>
      <w:pPr>
        <w:spacing w:after="0" w:line="17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Beneficial Interests in Restricted Global Securities to Restricted Definitive Securities.</w:t>
      </w:r>
      <w:r>
        <w:rPr>
          <w:rFonts w:ascii="Times New Roman" w:cs="Times New Roman" w:eastAsia="Times New Roman" w:hAnsi="Times New Roman"/>
          <w:sz w:val="18"/>
          <w:szCs w:val="18"/>
          <w:color w:val="auto"/>
        </w:rPr>
        <w:t xml:space="preserve"> If any holder of a beneficial interest in a Restricted Global Security proposes to exchange such beneficial interest for a Restricted Definitive Security or to transfer such beneficial interest to a Person who takes delivery thereof in the form of a Restricted Definitive Security, then, upon receipt by the Registrar of the following documentation:</w:t>
      </w:r>
    </w:p>
    <w:p>
      <w:pPr>
        <w:spacing w:after="0" w:line="18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if the holder of such beneficial interest in a Restricted Global Security proposes to exchange such beneficial interest for a Restricted Definitive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 (a) thereof;</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if such beneficial interest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if such beneficial interest is being transferred to a Non-U.S. Person in an offshore transaction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 (a) thereof;</w:t>
      </w:r>
    </w:p>
    <w:p>
      <w:pPr>
        <w:spacing w:after="0" w:line="176" w:lineRule="exact"/>
        <w:rPr>
          <w:sz w:val="20"/>
          <w:szCs w:val="20"/>
          <w:color w:val="auto"/>
        </w:rPr>
      </w:pPr>
    </w:p>
    <w:p>
      <w:pPr>
        <w:jc w:val="both"/>
        <w:ind w:left="1300" w:firstLine="648"/>
        <w:spacing w:after="0" w:line="289" w:lineRule="auto"/>
        <w:rPr>
          <w:sz w:val="20"/>
          <w:szCs w:val="20"/>
          <w:color w:val="auto"/>
        </w:rPr>
      </w:pPr>
      <w:r>
        <w:rPr>
          <w:rFonts w:ascii="Times New Roman" w:cs="Times New Roman" w:eastAsia="Times New Roman" w:hAnsi="Times New Roman"/>
          <w:sz w:val="17"/>
          <w:szCs w:val="17"/>
          <w:color w:val="auto"/>
        </w:rPr>
        <w:t xml:space="preserve">(E)            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including the certifications, certificates and Opinion of Counsel required by item (3) thereof, if applicable;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44"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if such beneficial interest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162" w:lineRule="exact"/>
        <w:rPr>
          <w:sz w:val="20"/>
          <w:szCs w:val="20"/>
          <w:color w:val="auto"/>
        </w:rPr>
      </w:pPr>
    </w:p>
    <w:p>
      <w:pPr>
        <w:ind w:left="644"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162"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the Trustee shall cause the aggregate principal amount of the applicable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spacing w:after="0" w:line="190" w:lineRule="exact"/>
        <w:rPr>
          <w:sz w:val="20"/>
          <w:szCs w:val="20"/>
          <w:color w:val="auto"/>
        </w:rPr>
      </w:pPr>
    </w:p>
    <w:p>
      <w:pPr>
        <w:jc w:val="both"/>
        <w:ind w:left="4" w:firstLine="648"/>
        <w:spacing w:after="0" w:line="267"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Beneficial Interests in Restricted Global Securities to Unrestricted Definitive Securities.</w:t>
      </w:r>
      <w:r>
        <w:rPr>
          <w:rFonts w:ascii="Times New Roman" w:cs="Times New Roman" w:eastAsia="Times New Roman" w:hAnsi="Times New Roman"/>
          <w:sz w:val="18"/>
          <w:szCs w:val="18"/>
          <w:color w:val="auto"/>
        </w:rPr>
        <w:t xml:space="preserve"> A holder of a beneficial interest in a Restricted Global Security may exchange such beneficial interest for an Unrestricted Definitive Security or may transfer such beneficial interest to a Person who takes delivery thereof in the form of an Unrestricted Definitive Security only if the Registrar receives the following:</w:t>
      </w:r>
    </w:p>
    <w:p>
      <w:pPr>
        <w:spacing w:after="0" w:line="175" w:lineRule="exact"/>
        <w:rPr>
          <w:sz w:val="20"/>
          <w:szCs w:val="20"/>
          <w:color w:val="auto"/>
        </w:rPr>
      </w:pPr>
    </w:p>
    <w:p>
      <w:pPr>
        <w:jc w:val="both"/>
        <w:ind w:left="644"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if the holder of such beneficial interest in a Restricted Global Security proposes to exchange such beneficial interest for an Unrestricted Definitive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 (b) thereof; or</w:t>
      </w:r>
    </w:p>
    <w:p>
      <w:pPr>
        <w:spacing w:after="0" w:line="176" w:lineRule="exact"/>
        <w:rPr>
          <w:sz w:val="20"/>
          <w:szCs w:val="20"/>
          <w:color w:val="auto"/>
        </w:rPr>
      </w:pPr>
    </w:p>
    <w:p>
      <w:pPr>
        <w:jc w:val="both"/>
        <w:ind w:left="644"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and, in each such case of this Section 2.06(c)(2),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8"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Beneficial Interests in Unrestricted Global Securities to Unrestricted Definitive Securities.</w:t>
      </w:r>
      <w:r>
        <w:rPr>
          <w:rFonts w:ascii="Times New Roman" w:cs="Times New Roman" w:eastAsia="Times New Roman" w:hAnsi="Times New Roman"/>
          <w:sz w:val="18"/>
          <w:szCs w:val="18"/>
          <w:color w:val="auto"/>
        </w:rPr>
        <w:t xml:space="preserve"> If any holder of a beneficial interest in an Unrestricted Global Security proposes to exchange such beneficial interest for a Definitive Security or to transfer such beneficial interest to a Person who takes delivery thereof in the form of a Definitive Security, then, upon satisfaction of the conditions set forth in Section 2.06(b)</w:t>
      </w:r>
    </w:p>
    <w:p>
      <w:pPr>
        <w:spacing w:after="0" w:line="1" w:lineRule="exact"/>
        <w:rPr>
          <w:sz w:val="20"/>
          <w:szCs w:val="20"/>
          <w:color w:val="auto"/>
        </w:rPr>
      </w:pPr>
    </w:p>
    <w:p>
      <w:pPr>
        <w:jc w:val="both"/>
        <w:ind w:left="4" w:hanging="4"/>
        <w:spacing w:after="0" w:line="252" w:lineRule="auto"/>
        <w:tabs>
          <w:tab w:leader="none" w:pos="2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Securities to the Persons in whose names such Securities are so registered. Any Definitive Security issued in exchange for a beneficial interest pursuant to this Section 2.06(c)(3) will not bear the Private Placement Legend.</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Transfer and Exchange of Definitive Securities for Beneficial Interests.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Restricted Definitive Securities to Beneficial Interests in Restricted Global Securities.</w:t>
      </w:r>
      <w:r>
        <w:rPr>
          <w:rFonts w:ascii="Times New Roman" w:cs="Times New Roman" w:eastAsia="Times New Roman" w:hAnsi="Times New Roman"/>
          <w:sz w:val="18"/>
          <w:szCs w:val="18"/>
          <w:color w:val="auto"/>
        </w:rPr>
        <w:t xml:space="preserve"> If any Holder of a Restricted Definitive 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if the Holder of such Restricted Definitive Security proposes to exchange such Security for a beneficial interest in a Restricted Global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 (b) thereof;</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if such Restricted Definitive Security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if such Restricted Definitive Security is being transferred to a Non-U.S. Person in an offshore transaction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if such Restricted Definitive Security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(3)(a) thereof;</w:t>
      </w:r>
    </w:p>
    <w:p>
      <w:pPr>
        <w:spacing w:after="0" w:line="176"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if such Restricted Definitive Security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if such Restricted Definitive Security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if such Restricted Definitive Security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the Trustee will cancel the Restricted Definitive Security, increase or cause to be increased the aggregate principal amount of, in the case of clause</w:t>
      </w:r>
    </w:p>
    <w:p>
      <w:pPr>
        <w:spacing w:after="0" w:line="27" w:lineRule="exact"/>
        <w:rPr>
          <w:sz w:val="20"/>
          <w:szCs w:val="20"/>
          <w:color w:val="auto"/>
        </w:rPr>
      </w:pPr>
    </w:p>
    <w:p>
      <w:pPr>
        <w:ind w:left="660" w:hanging="4"/>
        <w:spacing w:after="0" w:line="260" w:lineRule="auto"/>
        <w:tabs>
          <w:tab w:leader="none" w:pos="9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appropriate Restricted Global Security, in the case of clause (B) above, the 144A Global Security, in the case of clause (C) above, the Regulation S Global Security, and in all other cases, the IAI Global Security.</w:t>
      </w:r>
    </w:p>
    <w:p>
      <w:pPr>
        <w:spacing w:after="0" w:line="17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Restricted Definitive Securities to Beneficial Interests in Unrestricted Global Securities.</w:t>
      </w:r>
      <w:r>
        <w:rPr>
          <w:rFonts w:ascii="Times New Roman" w:cs="Times New Roman" w:eastAsia="Times New Roman" w:hAnsi="Times New Roman"/>
          <w:sz w:val="18"/>
          <w:szCs w:val="18"/>
          <w:color w:val="auto"/>
        </w:rPr>
        <w:t xml:space="preserve"> A Holder of a Restricted Definitive Security may exchange such Security for a beneficial interest in an Unrestricted Global Security or transfer such Restricted Definitive Security to a Person who takes delivery thereof in the form of a beneficial interest in an Unrestricted Global Security only if the Registrar receives the following:</w:t>
      </w:r>
    </w:p>
    <w:p>
      <w:pPr>
        <w:spacing w:after="0" w:line="18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if the Holder of such Restricted Definitive Securities proposes to exchange such Notes for a beneficial interest in the Unrestricted Global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 (c) thereof; or</w:t>
      </w:r>
    </w:p>
    <w:p>
      <w:pPr>
        <w:spacing w:after="0" w:line="176"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Section 2.06(d)(2),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Upon satisfaction of the conditions of this Section 2.06(d)(2), the Trustee will cancel the Restricted Definitive Securities and increase or cause to be increased the aggregate principal amount of the Unrestricted Global Security.</w:t>
      </w:r>
    </w:p>
    <w:p>
      <w:pPr>
        <w:spacing w:after="0" w:line="16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Unrestricted Definitive Securities to Beneficial Interests in Unrestricted Global Securities.</w:t>
      </w:r>
      <w:r>
        <w:rPr>
          <w:rFonts w:ascii="Times New Roman" w:cs="Times New Roman" w:eastAsia="Times New Roman" w:hAnsi="Times New Roman"/>
          <w:sz w:val="18"/>
          <w:szCs w:val="18"/>
          <w:color w:val="auto"/>
        </w:rPr>
        <w:t xml:space="preserve"> A Holder of an Unrestricted Definitive 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Transfer and Exchange of Definitive Securities for Definitive Securities.</w:t>
      </w:r>
      <w:r>
        <w:rPr>
          <w:rFonts w:ascii="Times New Roman" w:cs="Times New Roman" w:eastAsia="Times New Roman" w:hAnsi="Times New Roman"/>
          <w:sz w:val="18"/>
          <w:szCs w:val="18"/>
          <w:color w:val="auto"/>
        </w:rPr>
        <w:t xml:space="preserve"> Upon request by a Holder of Definitive Securities and such 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Restricted Definitive Securities to Restricted Definitive Securities.</w:t>
      </w:r>
      <w:r>
        <w:rPr>
          <w:rFonts w:ascii="Times New Roman" w:cs="Times New Roman" w:eastAsia="Times New Roman" w:hAnsi="Times New Roman"/>
          <w:sz w:val="18"/>
          <w:szCs w:val="18"/>
          <w:color w:val="auto"/>
        </w:rPr>
        <w:t xml:space="preserve"> Any Restricted Definitive Security may be transferred to and registered in the name of Persons who take delivery thereof in the form of a Restricted Definitive Security if the Registrar receives the following:</w:t>
      </w:r>
    </w:p>
    <w:p>
      <w:pPr>
        <w:spacing w:after="0" w:line="16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if the transfer will be made pursuant to Rule 144A,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and</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74"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Restricted Definitive Securities to Unrestricted Definitive Securities.</w:t>
      </w:r>
      <w:r>
        <w:rPr>
          <w:rFonts w:ascii="Times New Roman" w:cs="Times New Roman" w:eastAsia="Times New Roman" w:hAnsi="Times New Roman"/>
          <w:sz w:val="18"/>
          <w:szCs w:val="18"/>
          <w:color w:val="auto"/>
        </w:rPr>
        <w:t xml:space="preserve"> Any Restricted Definitive Security may be exchanged by the Holder thereof for an Unrestricted Definitive Security or transferred to a Person or Persons who take delivery thereof in the form of an Unrestricted Definitive Security if the Registrar receives the following:</w:t>
      </w:r>
    </w:p>
    <w:p>
      <w:pPr>
        <w:spacing w:after="0" w:line="17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if the Holder of such Restricted Definitive Securities proposes to exchange such Securities for an Unrestricted Definitive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(1)(d) thereof; or</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if the Holder of such Restricted Definitive Securities proposes to transfer such Securities to a Person who shall take delivery thereof in the form of an Unrestricted Definitive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Section 2.06(e)(2),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8"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Unrestricted Definitive Securities to Unrestricted Definitive Securities.</w:t>
      </w:r>
      <w:r>
        <w:rPr>
          <w:rFonts w:ascii="Times New Roman" w:cs="Times New Roman" w:eastAsia="Times New Roman" w:hAnsi="Times New Roman"/>
          <w:sz w:val="18"/>
          <w:szCs w:val="18"/>
          <w:color w:val="auto"/>
        </w:rPr>
        <w:t xml:space="preserve"> A Holder of Unrestricted Definitive Securities may transfer 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[Reserved]</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xml:space="preserve"> The following legends will appear on the face of all Global Notes and Definitive Notes issued under this Indenture unless specifically stated otherwise in the applicable provisions of this Indenture. Additional Securities will bear the legends, if any, provided for in the Supplemental Indenture pursuant to which such Series of Additional Securities is created.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(A)           Except as permitted by subparagraph (B) below, each Global Note and each Definitive Note (and all Notes issued in exchange therefor or substitution thereof) shall bear the legend in substantially the following form:</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 NOTES: ONE YEAR OR SUCH SHORTER PERIOD UNDER APPLICABLE LAW]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 (C) 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w:t>
      </w:r>
    </w:p>
    <w:p>
      <w:pPr>
        <w:spacing w:after="0" w:line="11" w:lineRule="exact"/>
        <w:rPr>
          <w:sz w:val="20"/>
          <w:szCs w:val="20"/>
          <w:color w:val="auto"/>
        </w:rPr>
      </w:pPr>
    </w:p>
    <w:p>
      <w:pPr>
        <w:jc w:val="both"/>
        <w:ind w:firstLine="8"/>
        <w:spacing w:after="0" w:line="255" w:lineRule="auto"/>
        <w:tabs>
          <w:tab w:leader="none" w:pos="2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186"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(B)            Notwithstanding the foregoing, any Global Note or Definitive Note issued pursuant to subparagraphs (b)(4), (c)(2), (c) (3), (d)(2), (d)(3), (e)(2), (e)(3) or (f) of this Section 2.06 (and all Notes issued in exchange therefor or substitution thereof) will not bear the Private Placement Legend.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jc w:val="both"/>
        <w:ind w:left="1300" w:firstLine="648"/>
        <w:spacing w:after="0" w:line="251" w:lineRule="auto"/>
        <w:rPr>
          <w:sz w:val="20"/>
          <w:szCs w:val="20"/>
          <w:color w:val="auto"/>
        </w:rPr>
      </w:pPr>
      <w:r>
        <w:rPr>
          <w:rFonts w:ascii="Times New Roman" w:cs="Times New Roman" w:eastAsia="Times New Roman" w:hAnsi="Times New Roman"/>
          <w:sz w:val="18"/>
          <w:szCs w:val="18"/>
          <w:color w:val="auto"/>
        </w:rPr>
        <w:t>(C)            In the event any Global Note or Definitive Note (or any Note issued in exchange therefor or substitution thereof) (i) is a Note as to which the transfer restrictions set forth in the Private Placement Legend have expired in accordance with their terms, (ii) is transferred pursuant to a registration statement that has become effective or been declared effective under the Securities Act and that continues to be effective at the time of such transfer or (iii) has been sold pursuant to the exemption from registration provided by Rule 144 or any similar provision then in force under the Securities Act, the Private Placement Legend specified in Section 2.06(g)(i) and affixed on such Global Note or Definitive Note will be deemed to be removed therefrom upon the Company’s delivery to the Trustee and the Custodian of an Officers’ Certificate to the effect that one or more of the conditions set forth in clauses (i) through (iii) of this sentence have been satisfied. At such time, such Note will be deemed, pursuant to this Section 2.06(g)(1)(C) and the footnotes to the CUSIP and ISIN numbers set forth on the face of the certificate representing such Note, to thereafter bear the “unrestricted” CUSIP numbers identified in such footnotes; provided, however, that if the Depositary of any Global Note requires a mandatory exchange or other process to cause such Global Note to be identified by an unrestricted CUSIP number in the facilities of such Depositary, then (y) the Company will effect such exchange or procedure as soon as reasonably practicable; and (z) such Global Note will not be deemed to be identified by an “unrestricted” CUSIP number until such time as such exchange or procedure is effected. Without limiting the generality of any other provision of this Indenture, the Trustee will be entitled to receive an instruction letter, together with the documents contemplated under Section 12.04 hereof, from the Company before taking any action with respect to effecting any such mandatory exchange or other process. The Company and the Trustee each reserves the right to require the delivery of such legal opinions, certifications or other evidence as may reasonably be required in order to determine that any proposed transfer of any Note is being made in compliance with the Securities Act and applicable state securities laws. The Company shall be entitled to instruct the Custodian in writing to surrender any Global Note as to which any of the conditions set forth in clauses (i) through (iii) of the first sentence of this Section 2.06(g)(1)(C) have been satisfied, and, upon such instruction, the Custodian shall so surrender such Global Note to the Company for exchange, and any new Global Note so exchanged therefor shall not bear the Private Placement Legend specified in Section 2.06(g)</w:t>
      </w:r>
    </w:p>
    <w:p>
      <w:pPr>
        <w:spacing w:after="0" w:line="8" w:lineRule="exact"/>
        <w:rPr>
          <w:sz w:val="20"/>
          <w:szCs w:val="20"/>
          <w:color w:val="auto"/>
        </w:rPr>
      </w:pPr>
    </w:p>
    <w:p>
      <w:pPr>
        <w:jc w:val="both"/>
        <w:ind w:left="1300" w:firstLine="4"/>
        <w:spacing w:after="0" w:line="253" w:lineRule="auto"/>
        <w:tabs>
          <w:tab w:leader="none" w:pos="15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shall not be assigned (or deemed assigned) a restricted CUSIP number. The Company shall promptly notify the Trustee in writing upon the occurrence of the date that is the later of (1) the date that is one year after the last date of original issuance of the Notes, or such shorter period of time as permitted by Rule 144 or any successor provision thereto, and (2) such later date, if any, as may be required by applicable law and promptly after a registration statement, if any, with respect to the Notes has become effective or been declared effective under the Securities Act.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Global Legend</w:t>
      </w:r>
      <w:r>
        <w:rPr>
          <w:rFonts w:ascii="Times New Roman" w:cs="Times New Roman" w:eastAsia="Times New Roman" w:hAnsi="Times New Roman"/>
          <w:sz w:val="18"/>
          <w:szCs w:val="18"/>
          <w:color w:val="auto"/>
        </w:rPr>
        <w:t>. Each Global Security will bear a legend in substantially the following form:</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CLEARWAY ENERGY OPERATING LLC.</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Original Issue Discount Legend</w:t>
      </w:r>
      <w:r>
        <w:rPr>
          <w:rFonts w:ascii="Times New Roman" w:cs="Times New Roman" w:eastAsia="Times New Roman" w:hAnsi="Times New Roman"/>
          <w:sz w:val="18"/>
          <w:szCs w:val="18"/>
          <w:color w:val="auto"/>
        </w:rPr>
        <w:t>. Each Note issued with original issue discount, if any, will bear a legend in substantially the following form:</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PURPOSES OF SECTIONS 1272, 1273 AND 1275 OF THE INTERNAL REVENUE CODE OF 1986, AS AMENDED, THIS SECURITY IS BEING ISSUED WITH ORIGINAL ISSUE DISCOUNT; FOR EACH $1,000 IN AGGREGATE PRINCIPAL AMOUNT OF THIS SECURITY, THE ISSUE PRICE IS $[          ], THE AMOUNT OF ORIGINAL ISSUE DISCOUNT IS $[         ], THE ISSUE DATE IS [            ], 20[  ] AND THE YIELD TO MATURITY IS [      ]% PER ANNUM.”</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Cancellation and/or Adjustment of Global Securities.</w:t>
      </w:r>
      <w:r>
        <w:rPr>
          <w:rFonts w:ascii="Times New Roman" w:cs="Times New Roman" w:eastAsia="Times New Roman" w:hAnsi="Times New Roman"/>
          <w:sz w:val="18"/>
          <w:szCs w:val="18"/>
          <w:color w:val="auto"/>
        </w:rPr>
        <w:t xml:space="preserve"> At such time as all beneficial interests in a particular Global Security have been 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General Provisions Relating to Transfers and Exchanges.</w:t>
      </w:r>
    </w:p>
    <w:p>
      <w:pPr>
        <w:spacing w:after="0" w:line="22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(1)            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(2)            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(3)            The Registrar shall not be required to register the transfer of or exchange of any Security selected for redemption in whole or in part, except the unredeemed portion of any Note being redeemed in part.</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(4)            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8"/>
          <w:szCs w:val="18"/>
          <w:color w:val="auto"/>
        </w:rPr>
        <w:t>(5)            The Company shall not be required:</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(A)           to issue, to register the transfer of or to exchange any Securities during a period beginning at the opening of business 10 days before the day of any selection of Securities for redemption and ending at the close of business on the day of selection;</w:t>
      </w:r>
    </w:p>
    <w:p>
      <w:pPr>
        <w:spacing w:after="0" w:line="162"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(B)            to register the transfer of or to exchange any Security selected for redemption in whole or in part, except the unredeemed portion of any Security being redeemed in part;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to register the transfer of or to exchange a Security between a record date and the next succeeding interest payment date.</w:t>
      </w:r>
    </w:p>
    <w:p>
      <w:pPr>
        <w:spacing w:after="0" w:line="23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(6)            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(7)            The Trustee shall authenticate Global Securities and Definitive Securities in accordance with the provisions of Section 2.02 hereof.</w:t>
      </w:r>
    </w:p>
    <w:p>
      <w:pPr>
        <w:spacing w:after="0" w:line="23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(8)            All orders, certifications, certificates and Opinions of Counsel required to be submitted to the Registrar pursuant to this Section 2.06 to effect a registration of transfer or exchange may be submitted by facsimile or electronic format (e.g. “pdf” or “tif”).</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(9)            The Trustee shall have no obligation or duty to monitor, determine or inquire as to compliance with any restrictions on transfer imposed under this Indenture or under applicable law (including any state or federal securities laws (including the Securities Act)) with respect to</w:t>
      </w:r>
    </w:p>
    <w:p>
      <w:pPr>
        <w:jc w:val="both"/>
        <w:ind w:left="660" w:hanging="4"/>
        <w:spacing w:after="0" w:line="255" w:lineRule="auto"/>
        <w:tabs>
          <w:tab w:leader="none" w:pos="8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or deemed removal, of any Private Placement Legend, or (ii) any transfer of any interest in any Note (including any transfers between or among Depository participants, members or beneficial owners in any Global Note) other than to accept delivery of such certificates and other documentation or evidence as are expressly required by, and to do so if and when expressly required by, the terms of this Indenture.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i w:val="1"/>
          <w:iCs w:val="1"/>
          <w:color w:val="auto"/>
        </w:rPr>
        <w:t>Issuance of Additional Notes.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Additional Notes that are not fungible with the Initial Notes for United States federal income tax purposes will be issued with a different CUSIP number than the CUSIP number issued with respect to the Initial Notes.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any Additional Notes, the Company shall set forth in a Board Resolution and an Officers’ Certificate, a copy of each which shall be delivered to the Trustee, the following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aggregate principal amount of such Additional Notes to be authenticated and delivered pursuant to this Indenture;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issue price, the issue date and the CUSIP number of such Additional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i w:val="1"/>
          <w:iCs w:val="1"/>
          <w:color w:val="auto"/>
        </w:rPr>
        <w:t>Replacement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Every replacement Security is an additional obligation of the Company and will be entitled to all of the benefits of this Indenture equally and proportionately with all other Securities duly issued 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i w:val="1"/>
          <w:iCs w:val="1"/>
          <w:color w:val="auto"/>
        </w:rPr>
        <w:t>Outstanding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2.08 hereof, it ceases to be outstanding unless the Trustee receives proof satisfactory to it that the replaced Security is held by a protected purchaser.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principal amount of any Security is considered paid under Section 4.01 hereof, it ceases to be outstanding and interest on it ceases to accrue.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i w:val="1"/>
          <w:iCs w:val="1"/>
          <w:color w:val="auto"/>
        </w:rPr>
        <w:t>Treasury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i w:val="1"/>
          <w:iCs w:val="1"/>
          <w:color w:val="auto"/>
        </w:rPr>
        <w:t>Temporary Securities.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 Company considers appropriate for temporary Securities and as may be reasonably acceptable to the Trustee. Without unreasonable delay, the Company will prepare and the Trustee will authenticate Definitive Securities in exchange for temporary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temporary Notes will be entitled to all of the benefits of this Indenture.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i w:val="1"/>
          <w:iCs w:val="1"/>
          <w:color w:val="auto"/>
        </w:rPr>
        <w:t>Cancellation.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Paying Agent will forward to the Trustee any Securities surrendered to them for registration of 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2.13          </w:t>
      </w:r>
      <w:r>
        <w:rPr>
          <w:rFonts w:ascii="Times New Roman" w:cs="Times New Roman" w:eastAsia="Times New Roman" w:hAnsi="Times New Roman"/>
          <w:sz w:val="18"/>
          <w:szCs w:val="18"/>
          <w:i w:val="1"/>
          <w:iCs w:val="1"/>
          <w:color w:val="auto"/>
        </w:rPr>
        <w:t>Defaulted Interest.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or delivered electronically to Holders a notice that states the special record date, the related payment date and the amount of such interest to be paid.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Default interest will be payable with respect to Additional Securities on the terms provided in the Supplemental Indenture pursuant to which such Series of Additional Securities is created.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i w:val="1"/>
          <w:iCs w:val="1"/>
          <w:color w:val="auto"/>
        </w:rPr>
        <w:t>Notices to Trustee.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Company elects to redeem Notes pursuant to the optional redemption provisions of Section 3.07 hereof, it must furnish to the Trustee, at least 10 days but not more than 60 days before a redemption date, an Officers’ Certificate setting forth: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clause of this Indenture pursuant to which the redemption shall occur;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redemption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the principal amount of Notes to be redeemed;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redemption price or, where the redemption price cannot be calculated at the time of such notice, the method of calculation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i w:val="1"/>
          <w:iCs w:val="1"/>
          <w:color w:val="auto"/>
        </w:rPr>
        <w:t>Selection of Notes to Be Redeemed or Purchased.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the Trustee shall select Notes for redemption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partial redemption by lot, the particular Notes to be redeemed or purchased shall be selected, unless otherwise provided herein, not less than 10 nor more than 60 days prior to the redemption by the Trustee from the outstanding Notes not previously called for redemption.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Notes of $2,000 or less shall be redeemed in part. Notices of redemption shall be mailed by first class mail or delivered electronically at least 10 but not more than 60 days before the redemption date to each Holder of Notes to be redeemed at its registered address, except that redemption notices may be mailed or delivered electronically more than 60 days prior to a redemption date if the notice is issued in connection with a defeasance of the Notes or a satisfaction and discharge of this Indenture.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subject to the Company’s right to delay or rescind a redemption date as provided in Section 3.03 hereof.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i w:val="1"/>
          <w:iCs w:val="1"/>
          <w:color w:val="auto"/>
        </w:rPr>
        <w:t>Notice of Redemption.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least 10 days but not more than 60 days before a redemption date, the Company shall mail or cause to be mailed, by first class mail or delivered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this Indenture pursuant to Articles 8 or 11 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The notice will identify the Notes to be redeemed and will state: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redemption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redemption price or, where the redemption price cannot be calculated at the time of such notice, the method of calculation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(3)            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name and address of the Paying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that Notes called for redemption must be surrendered to the Paying Agent to collect the redemption price;</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            that, unless the Company defaults in making such redemption payment, interest on Notes called for redemption ceases to accrue on and after the redemption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(7)            the paragraph of the Notes and/or Section of this Indenture pursuant to which the Notes called for redemption are being redeemed;</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(8)            that no representation is made as to the correctness or accuracy of the CUSIP number, if any, listed in such notice or printed on the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At the Company’s request, the Trustee shall give the notice of redemption in the Company’s name and at its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has delivered to the Trustee, at least four (4) Business Days prior to the date such notice of redemption is to be distributed to the Holders (or such shorter period as the Trustee in its sole discretion may allow), an Officers’ Certificate requesting that the Trustee give such notice and setting forth the information to be stated in such notice as provided in the preceding paragraph.</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i w:val="1"/>
          <w:iCs w:val="1"/>
          <w:color w:val="auto"/>
        </w:rPr>
        <w:t>Effect of Notice of Redemption.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Once notice of redemption is mailed or delivered in accordance with Section 3.03 hereof, Notes called for redemption become, subject to any conditions precedent set forth in the notice of redemption, irrevocably due and payable on the redemption date at the redemption price.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i w:val="1"/>
          <w:iCs w:val="1"/>
          <w:color w:val="auto"/>
        </w:rPr>
        <w:t>Deposit of Redemption or Purchase Price.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later than 10:00 a.m. Eastern time on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i w:val="1"/>
          <w:iCs w:val="1"/>
          <w:color w:val="auto"/>
        </w:rPr>
        <w:t>Notes Redeemed or Purchased in Part.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At any time prior to January 15, 2029, the Company may on any one or more occasions redeem up to 40% of the aggregate principal amount of the Notes, upon not less than 10 nor more than 60 days’ prior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3"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redemption occurs within 180 days of the date of the closing of such equity offering.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At any time prior to January 15, 2029,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redemption date, subject to the rights of Holders on the relevant record date to receive interest due on the relevant interest payment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Except pursuant to the preceding paragraphs, the Notes will not be redeemable at the Company’s option prior to January 15, 2029.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On or after January 15, 2029,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12-month period beginning on January 15 of the years indicated below, subject to the rights of Holders on the relevant record date to receive interest on the relevant interest payment date:</w:t>
      </w:r>
    </w:p>
    <w:p>
      <w:pPr>
        <w:spacing w:after="0" w:line="193"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w:t>
            </w:r>
          </w:p>
        </w:tc>
        <w:tc>
          <w:tcPr>
            <w:tcW w:w="18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and thereafter     </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Any redemption pursuant to this Section 3.07 shall be made pursuant to the provisions of Sections 3.01 through 3.06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The provisions of this Article 3 do not prohibit the Company or its Affiliates from acquiring the Notes in market transactions by means other than a redemption, whether pursuant to a tender offer or otherwise.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            Notwithstanding anything to the contrary in this Article 3, in connection with any tender offer for, or other offer to purchase, the Notes, including a Change of Control Offer, if Holders of not less than 90.0% in aggregate principal amount of the outstanding Notes validly tender and do not withdraw such Notes in such tender offer (or other offer to purchase) and the Company, or any third party making such a tender offer (or other offer to purchase) in lieu of the Company, purchases all of the Notes validly tendered and not withdrawn by such Holders, the Company will have the right, upon not less than 10 nor more than 60 days’ prior notice, given not more than 30 days following such tender offer expiration date (or purchase date pursuant to such other offer), to redeem all Notes that remain outstanding following such purchase at a redemption price in cash equal to the price paid to each other Holder (excluding any early tender, incentive or similar fee) in such tender offer (or other offer to purchase), plus, to the extent not included in the tender offer payment (or payment pursuant to another offer to purchase),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i w:val="1"/>
          <w:iCs w:val="1"/>
          <w:color w:val="auto"/>
        </w:rPr>
        <w:t>Mandatory 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not required to make mandatory redemption or sinking fund payments with respect to the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i w:val="1"/>
          <w:iCs w:val="1"/>
          <w:color w:val="auto"/>
        </w:rPr>
        <w:t>Payment of Notes.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i w:val="1"/>
          <w:iCs w:val="1"/>
          <w:color w:val="auto"/>
        </w:rPr>
        <w:t>Maintenance of Office or Agency.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designates the Corporate Trust Office of the Trustee as one such office or agency of the Company in accordance with Section 2.03 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i w:val="1"/>
          <w:iCs w:val="1"/>
          <w:color w:val="auto"/>
        </w:rPr>
        <w:t>Reports.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Whether or not required by the SEC’s rules and regulations, so long as any Notes are outstanding, the Company shall furnish or cause to be furnished to Holders: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            within the time period (including any extensions thereof) specified in the SEC’s rules and regulations that would apply with respect to the filing of an annual report on Form 10-K, all financial information that would be required to be contained in an annual report on Form 10-K, or any successor or comparable form, filed with the SEC, including a “Management’s Discussion and Analysis of Financial Condition and Results of Operations” and a report on the annual financial statements by the Company’s independent registered public accounting firm;</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            within the time period (including any extensions thereof) specified in the SEC’s rules and regulations that would apply with respect to the filing of a quarterly report on Form 10-Q, all financial information that would be required to be contained in a quarterly report on Form 10-Q, or any successor or comparable form, filed with the SEC; and</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(3)            within ten Business Days after the occurrence of any of the following events, a report that contains a brief summary of the material terms, facts and/or circumstances involved (to the extent not otherwise publicly disclosed): (i) entry by the Company or a Subsidiary of the Company into an agreement outside the ordinary course of business that is material to the Company and its Subsidiaries, taken as a whole, including any material amendment thereto or termination of any such agreement other than in accordance with its terms (excluding, for the avoidance of doubt, employee compensatory or benefit agreements or plans), (ii) completion of a merger of the Company with or into another Person or a material acquisition or disposition of assets by the Company or a Subsidiary of the Company outside the ordinary course of business,</w:t>
      </w:r>
    </w:p>
    <w:p>
      <w:pPr>
        <w:spacing w:after="0" w:line="5" w:lineRule="exact"/>
        <w:rPr>
          <w:sz w:val="20"/>
          <w:szCs w:val="20"/>
          <w:color w:val="auto"/>
        </w:rPr>
      </w:pPr>
    </w:p>
    <w:p>
      <w:pPr>
        <w:jc w:val="both"/>
        <w:ind w:left="660" w:hanging="4"/>
        <w:spacing w:after="0" w:line="251" w:lineRule="auto"/>
        <w:tabs>
          <w:tab w:leader="none" w:pos="10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of, or material development under, bankruptcy proceedings under Bankruptcy Law with respect to the Company or a Significant Subsidiary, (iv) the Company incurring Indebtedness outside the ordinary course of business that is material to the Company (other than under a Credit Facility or other arrangement which has been described in the Offering Memorandum or borrowings under a Credit Facility that has otherwise been disclosed previously), or a triggering event that causes the increase or acceleration of any such obligation and, in any such case, the consequences thereof that are material to the Company or a Subsidiary of the Company, (v) a change in the certifying independent auditor, (vi) the appointment or departure of directors or executive officers (with respect to the principal executive officer, president, principal financial officer, principal accounting officer and principal operating officer only), and (vii) non-reliance on previously issued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provided, however,</w:t>
      </w:r>
    </w:p>
    <w:p>
      <w:pPr>
        <w:spacing w:after="0" w:line="227" w:lineRule="exact"/>
        <w:rPr>
          <w:sz w:val="20"/>
          <w:szCs w:val="20"/>
          <w:color w:val="auto"/>
        </w:rPr>
      </w:pPr>
    </w:p>
    <w:p>
      <w:pPr>
        <w:jc w:val="both"/>
        <w:ind w:left="320" w:firstLine="648"/>
        <w:spacing w:after="0" w:line="266" w:lineRule="auto"/>
        <w:rPr>
          <w:sz w:val="20"/>
          <w:szCs w:val="20"/>
          <w:color w:val="auto"/>
        </w:rPr>
      </w:pPr>
      <w:r>
        <w:rPr>
          <w:rFonts w:ascii="Times New Roman" w:cs="Times New Roman" w:eastAsia="Times New Roman" w:hAnsi="Times New Roman"/>
          <w:sz w:val="18"/>
          <w:szCs w:val="18"/>
          <w:color w:val="auto"/>
        </w:rPr>
        <w:t>(a)            in no event will the Company be required to furnish any information, document or report referred to in clause (3) above if (i) such information, document or report would not be required to be filed on a current report on Form 8-K if the Company was required to file such form or (ii) such information, document or report is included in a current report on Form 8-K of a parent entity of the Company;</w:t>
      </w:r>
    </w:p>
    <w:p>
      <w:pPr>
        <w:spacing w:after="0" w:line="176" w:lineRule="exact"/>
        <w:rPr>
          <w:sz w:val="20"/>
          <w:szCs w:val="20"/>
          <w:color w:val="auto"/>
        </w:rPr>
      </w:pPr>
    </w:p>
    <w:p>
      <w:pPr>
        <w:jc w:val="both"/>
        <w:ind w:left="320" w:firstLine="648"/>
        <w:spacing w:after="0" w:line="282" w:lineRule="auto"/>
        <w:rPr>
          <w:sz w:val="20"/>
          <w:szCs w:val="20"/>
          <w:color w:val="auto"/>
        </w:rPr>
      </w:pPr>
      <w:r>
        <w:rPr>
          <w:rFonts w:ascii="Times New Roman" w:cs="Times New Roman" w:eastAsia="Times New Roman" w:hAnsi="Times New Roman"/>
          <w:sz w:val="18"/>
          <w:szCs w:val="18"/>
          <w:color w:val="auto"/>
        </w:rPr>
        <w:t>(b)            in no event will such reports be required to comply with Section 302, Section 404 or Section 906 of the Sarbanes-Oxley Act of 2002, or related Items 307 and 308 of Regulation S-K promulgated by the SEC;</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            in no event will such reports be required to comply with Item 302 of Regulation S-K promulgated by the SEC;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            in no event will such reports be required to include any schedules required by Regulation S-X;</w:t>
      </w:r>
    </w:p>
    <w:p>
      <w:pPr>
        <w:spacing w:after="0" w:line="225" w:lineRule="exact"/>
        <w:rPr>
          <w:sz w:val="20"/>
          <w:szCs w:val="20"/>
          <w:color w:val="auto"/>
        </w:rPr>
      </w:pPr>
    </w:p>
    <w:p>
      <w:pPr>
        <w:jc w:val="both"/>
        <w:ind w:left="320" w:firstLine="648"/>
        <w:spacing w:after="0" w:line="261" w:lineRule="auto"/>
        <w:rPr>
          <w:sz w:val="20"/>
          <w:szCs w:val="20"/>
          <w:color w:val="auto"/>
        </w:rPr>
      </w:pPr>
      <w:r>
        <w:rPr>
          <w:rFonts w:ascii="Times New Roman" w:cs="Times New Roman" w:eastAsia="Times New Roman" w:hAnsi="Times New Roman"/>
          <w:sz w:val="18"/>
          <w:szCs w:val="18"/>
          <w:color w:val="auto"/>
        </w:rPr>
        <w:t>(e)            in no event will such reports be required to comply with Rule 3-10 of Regulation S-X promulgated by the SEC or contain separate financial statements for the Company, the Guarantors or other Subsidiaries the Capital Stock of which may be pledged to secure the Notes or any Guarantee that would be required under (A) Rule 3-09 of Regulation S-X or (B) Rule 3-16 of Regulation S-X, respectively, promulgated by the SEC;</w:t>
      </w:r>
    </w:p>
    <w:p>
      <w:pPr>
        <w:spacing w:after="0" w:line="180" w:lineRule="exact"/>
        <w:rPr>
          <w:sz w:val="20"/>
          <w:szCs w:val="20"/>
          <w:color w:val="auto"/>
        </w:rPr>
      </w:pPr>
    </w:p>
    <w:p>
      <w:pPr>
        <w:jc w:val="both"/>
        <w:ind w:left="320" w:firstLine="648"/>
        <w:spacing w:after="0" w:line="261" w:lineRule="auto"/>
        <w:rPr>
          <w:sz w:val="20"/>
          <w:szCs w:val="20"/>
          <w:color w:val="auto"/>
        </w:rPr>
      </w:pPr>
      <w:r>
        <w:rPr>
          <w:rFonts w:ascii="Times New Roman" w:cs="Times New Roman" w:eastAsia="Times New Roman" w:hAnsi="Times New Roman"/>
          <w:sz w:val="18"/>
          <w:szCs w:val="18"/>
          <w:color w:val="auto"/>
        </w:rPr>
        <w:t>(f)            in no event will such reports be required to include separate financial statements or other information contemplated by Rule 3-05 of Regulation S-X or Article 11 thereof (except that, to the extent that pro forma financial information is required to be provided by the Company, the Company may provide only pro forma revenues, net income, consolidated EBITDA, senior secured debt, total debt and capital expenditures (or equivalent financial information) in lieu thereof);</w:t>
      </w:r>
    </w:p>
    <w:p>
      <w:pPr>
        <w:spacing w:after="0" w:line="180" w:lineRule="exact"/>
        <w:rPr>
          <w:sz w:val="20"/>
          <w:szCs w:val="20"/>
          <w:color w:val="auto"/>
        </w:rPr>
      </w:pPr>
    </w:p>
    <w:p>
      <w:pPr>
        <w:jc w:val="both"/>
        <w:ind w:left="320" w:firstLine="648"/>
        <w:spacing w:after="0" w:line="282" w:lineRule="auto"/>
        <w:rPr>
          <w:sz w:val="20"/>
          <w:szCs w:val="20"/>
          <w:color w:val="auto"/>
        </w:rPr>
      </w:pPr>
      <w:r>
        <w:rPr>
          <w:rFonts w:ascii="Times New Roman" w:cs="Times New Roman" w:eastAsia="Times New Roman" w:hAnsi="Times New Roman"/>
          <w:sz w:val="18"/>
          <w:szCs w:val="18"/>
          <w:color w:val="auto"/>
        </w:rPr>
        <w:t>(g)            in no event will such reports be required to comply with Regulation G under the Exchange Act or Item 10(e) of Regulation S-K promulgated by the SEC with respect to any non-GAAP financial measures contained therein;</w:t>
      </w:r>
    </w:p>
    <w:p>
      <w:pPr>
        <w:spacing w:after="0" w:line="162" w:lineRule="exact"/>
        <w:rPr>
          <w:sz w:val="20"/>
          <w:szCs w:val="20"/>
          <w:color w:val="auto"/>
        </w:rPr>
      </w:pPr>
    </w:p>
    <w:p>
      <w:pPr>
        <w:jc w:val="both"/>
        <w:ind w:left="320" w:firstLine="648"/>
        <w:spacing w:after="0" w:line="266" w:lineRule="auto"/>
        <w:rPr>
          <w:sz w:val="20"/>
          <w:szCs w:val="20"/>
          <w:color w:val="auto"/>
        </w:rPr>
      </w:pPr>
      <w:r>
        <w:rPr>
          <w:rFonts w:ascii="Times New Roman" w:cs="Times New Roman" w:eastAsia="Times New Roman" w:hAnsi="Times New Roman"/>
          <w:sz w:val="18"/>
          <w:szCs w:val="18"/>
          <w:color w:val="auto"/>
        </w:rPr>
        <w:t>(h)            no such reports referenced under clause (3) above will be required to be furnished if the Company determines in its good faith judgment that such event is not material to the Holders of Notes or the business, assets, operations or financial position of the Company and its Subsidiaries, taken as a whole;</w:t>
      </w:r>
    </w:p>
    <w:p>
      <w:pPr>
        <w:spacing w:after="0" w:line="176" w:lineRule="exact"/>
        <w:rPr>
          <w:sz w:val="20"/>
          <w:szCs w:val="20"/>
          <w:color w:val="auto"/>
        </w:rPr>
      </w:pPr>
    </w:p>
    <w:p>
      <w:pPr>
        <w:jc w:val="both"/>
        <w:ind w:left="320" w:firstLine="648"/>
        <w:spacing w:after="0" w:line="266" w:lineRule="auto"/>
        <w:rPr>
          <w:sz w:val="20"/>
          <w:szCs w:val="20"/>
          <w:color w:val="auto"/>
        </w:rPr>
      </w:pPr>
      <w:r>
        <w:rPr>
          <w:rFonts w:ascii="Times New Roman" w:cs="Times New Roman" w:eastAsia="Times New Roman" w:hAnsi="Times New Roman"/>
          <w:sz w:val="18"/>
          <w:szCs w:val="18"/>
          <w:color w:val="auto"/>
        </w:rPr>
        <w:t>(i)            in no event will such reports be required to comply with Item 601 of Regulation S-K promulgated by the SEC (with respect to exhibits) or, with respect to reports referenced in clause (3) above, to include as an exhibit copies of any agreements, financial statements or other items that would be required to be filed as exhibits to a current report on Form 8-K;</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(j)            such information will not be required to contain any “segment reporting;” and</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(k)            in no event will such reports contain compensation or beneficial ownership information.</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 the extent the information referred to in clauses (1), (2) and (3) above is filed with the SEC for public availability, the information will be deemed to be furnished to the Trustee and Holders of Notes.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comply with its obligations to provide the above information to the Holders of the Notes and the Trustee if the Company</w:t>
      </w:r>
    </w:p>
    <w:p>
      <w:pPr>
        <w:spacing w:after="0" w:line="27" w:lineRule="exact"/>
        <w:rPr>
          <w:sz w:val="20"/>
          <w:szCs w:val="20"/>
          <w:color w:val="auto"/>
        </w:rPr>
      </w:pPr>
    </w:p>
    <w:p>
      <w:pPr>
        <w:jc w:val="both"/>
        <w:ind w:firstLine="8"/>
        <w:spacing w:after="0" w:line="250" w:lineRule="auto"/>
        <w:tabs>
          <w:tab w:leader="none" w:pos="2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files such information publicly via the SEC’s EDGAR filing system (or any successor system), (ii) makes such information publicly available on the commercial website of the Company or any parent entity thereof and provides reasonably prompt written notice thereof to the Trustee and each Holder of the Notes (which may be by email) of the availability of the information, and/or (iii) posts copies of such information on a website (which may be nonpublic, may require a confidentiality acknowledgement and may be maintained by the Company or a third party) to which access will be given to Holders of the Notes, bona fide prospective investors in the Notes (which prospective investors shall be limited to “qualified institutional buyers” within the meaning of Rule 144A of the Securities Act or non-U.S. persons (as defined in Regulation S under the Securities Act) that certify their status as such to the reasonable satisfaction of the Company), and securities analysts (to the extent providing analysis of an investment in the Notes) and market making financial institutions that are reasonably satisfactory to the Company who agree to treat such information and reports as confidential;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deny access to any competitively-sensitive information and reports otherwise to be provided pursuant to this paragraph to any Holder, bona fide prospective investor, security analyst or market maker that is a competitor of the Company and its Subsidiaries to the extent that the Company determines in good faith that the provision of such information and reports to such Person would be competitively harmful to the Company and its Subsidiaries or any parent entity thereof;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each person with valid access to such website will receive an email notification (sent to the email address used by such person to obtain access to such website) when any information is posted to such website. The Company may condition the delivery of any such information or reports to such Holders of the Notes, prospective investors in the Notes and securities analysts and market making financial institutions on the agreement of such Persons to (i) treat all such information and reports (and the information contained therein) as confidential,</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such information and reports (and the information contained therein) for any purpose other than their investment or potential investment in the Notes and (iii) not publicly disclose any such information and reports (and the information contained therein). So long as the Parent Guarantor continues to own, directly or indirectly, all of the Equity Interests of the Company, the Parent Guarantor may elect to prepare, file and furnish, as applicable, the quarterly, annual and current reports and consolidated financial statements referred to above in respect of the Parent Guarantor and such reports and consolidated financial statements will be deemed to satisfy the obligations of the Company under this reporting covenant.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and the Guarantors agree that, for so long as any Notes remain outstanding, to the extent not satisfied by the preceding paragraphs, they shall furnish to the Holders and to securities analysts and prospective investors, upon their request, the information required to be delivered pursuant to Rule 144A(d)(4) under the Securities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i w:val="1"/>
          <w:iCs w:val="1"/>
          <w:color w:val="auto"/>
        </w:rPr>
        <w:t>Compliance Certificate.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The Company shall deliver to the Trustee, within 90 days after the end of each fiscal year, beginning with the fiscal year ending December 31, 2026,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whether or not to the best of his or her knowledge the Company is in default in the performance and observance of any of the terms, provisions and conditions of this Indenture, and if the Company shall be in default, specifying all such Defaults or Events of Default and the nature and status thereof of which they may have knowledge and what action the Company is taking or proposes to take with respect thereto.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So long as any of the Notes are outstanding, the Company shall deliver to the Trustee, promptly after any Officer becoming aware of any Default or Event of Default, an Officers’ Certificate specifying such Default or Event of Default and what action the Company is taking or proposes to take with respect thereto.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i w:val="1"/>
          <w:iCs w:val="1"/>
          <w:color w:val="auto"/>
        </w:rPr>
        <w:t>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i w:val="1"/>
          <w:iCs w:val="1"/>
          <w:color w:val="auto"/>
        </w:rPr>
        <w:t>Stay, Extension and Usury Laws.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i w:val="1"/>
          <w:iCs w:val="1"/>
          <w:color w:val="auto"/>
        </w:rPr>
        <w:t>Liens.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that directly or indirectly owns Principal Property to secure 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restriction will not apply to, or prevent the creation or existence of:</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(1)            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$1.7 billion and (c) 2.5 times Adjusted LTM CAFD;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Existing Liens;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Liens securing Indebtedness of any Person that (a) is acquired by the Company or any of its Subsidiaries after the date hereof,</w:t>
      </w:r>
    </w:p>
    <w:p>
      <w:pPr>
        <w:spacing w:after="0" w:line="27" w:lineRule="exact"/>
        <w:rPr>
          <w:sz w:val="20"/>
          <w:szCs w:val="20"/>
          <w:color w:val="auto"/>
        </w:rPr>
      </w:pPr>
    </w:p>
    <w:p>
      <w:pPr>
        <w:jc w:val="both"/>
        <w:ind w:left="660" w:hanging="4"/>
        <w:spacing w:after="0" w:line="253" w:lineRule="auto"/>
        <w:tabs>
          <w:tab w:leader="none" w:pos="9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merged or amalgamated with or into the Company or any of its Subsidiaries after the date hereof or (c) becomes consolidated in the financial statements of the Company or any of its Subsidiaries after the date hereof in accordance with GAAP;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left="660" w:firstLine="648"/>
        <w:spacing w:after="0" w:line="277" w:lineRule="auto"/>
        <w:rPr>
          <w:sz w:val="20"/>
          <w:szCs w:val="20"/>
          <w:color w:val="auto"/>
        </w:rPr>
      </w:pPr>
      <w:r>
        <w:rPr>
          <w:rFonts w:ascii="Times New Roman" w:cs="Times New Roman" w:eastAsia="Times New Roman" w:hAnsi="Times New Roman"/>
          <w:sz w:val="17"/>
          <w:szCs w:val="17"/>
          <w:color w:val="auto"/>
        </w:rPr>
        <w:t xml:space="preserve">(4)            Liens securing Indebtedness of the Company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Liens in favor of the Company or any of its Subsidiaries;</w:t>
      </w:r>
    </w:p>
    <w:p>
      <w:pPr>
        <w:spacing w:after="0" w:line="22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(6)            Liens securing Hedging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agreements were not entered into for speculative purposes (as determined by the Company in its reasonable discretion acting in good faith);</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Liens relating to current or future escrow arrangements securing Indebtedness of the Company or any Guarantor;</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(8)            Liens to secure Environmental CapEx Debt or Necessary CapEx Debt that encumber only the assets purchased, installed or otherwise acquired with the proceeds of such Environmental CapEx Debt or Necessary CapEx Debt;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(9)            Liens encumbering deposits made to secure obligations arising from statutory, regulatory, contractual or warranty requirements of the Company or any Guarantor, including rights of offset and set-off;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         Refinancing Liens;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(11)          Liens on the stock or assets of Facility Subsidiaries securing Facility Debt or Tax Equity Financing of one or more Facility Subsidiaries;</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          Liens on cash and cash equivalents securing Indebtedness incurred to finance an acquisition of assets or a business or multiple businesses;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within 180 days from the date the related Indebtedness was incurred, such cash or cash equivalents are used to (a) fund the acquisition (or a similar transaction), including any related fees and expenses, and the related Indebtedness is (1) secured by Liens otherwise permitted under this Section 4.07 or (2) unsecured; or (b) retire or repay the Indebtedness that it secures and to pay any related fees and expenses; and</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(13)          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$200.0 million.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(a) will be permitted to (i) classify such Lien on the date of its incurrence, or later reclassify all or a portion of such Lien, in any manner that complies with this Section 4.07 and (ii) divide and redivide the amount of such Lien arising among more than one of such clauses and (b) will only be required to include such Lien in one of any such clauses.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or any Subsidiary Guarantor proposes to create or permit to exist any Lien upon any Principal Property owned by the Company or any Subsidiary Guarantor or upon any Equity Interests or Indebtedness of any direct or indirect Subsidiary of the Company that directly or indirectly owns Principal Property to secure any Indebtedness, other than as permitted by clauses (1) through (13) of the previous paragraph, the Company will give prior written notice thereof to the Trustee, who will give notice to the Holders of the Notes, and the Company will further agree, prior to or simultaneously with the creation of such Lien, effectively to secure all the Notes equally and ratably with (or prior to) such other Indebtedness, for so long as such other Indebtedness is so secured.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4.08          </w:t>
      </w:r>
      <w:r>
        <w:rPr>
          <w:rFonts w:ascii="Times New Roman" w:cs="Times New Roman" w:eastAsia="Times New Roman" w:hAnsi="Times New Roman"/>
          <w:sz w:val="18"/>
          <w:szCs w:val="18"/>
          <w:i w:val="1"/>
          <w:iCs w:val="1"/>
          <w:color w:val="auto"/>
        </w:rPr>
        <w:t>Company Existence.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Article 5 hereof, the Company shall do or cause to be done all things necessary to preserve and keep in full force and effect: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(1)            its organizational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spacing w:after="0" w:line="174"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            the rights (charter and statutory), licenses and franchises of the Company, the Parent Guarantor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preserve any such right, license or franchise, or the corporate, partnership or other existence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material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          </w:t>
      </w:r>
      <w:r>
        <w:rPr>
          <w:rFonts w:ascii="Times New Roman" w:cs="Times New Roman" w:eastAsia="Times New Roman" w:hAnsi="Times New Roman"/>
          <w:sz w:val="18"/>
          <w:szCs w:val="18"/>
          <w:i w:val="1"/>
          <w:iCs w:val="1"/>
          <w:color w:val="auto"/>
        </w:rPr>
        <w:t>Offer to Repurchase Upon Change of Control Triggering Event.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            Upon the occurrence of a Change of Control Triggering Event, the Company will make an offer (a </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xml:space="preserve">)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Control Payment”</w:t>
      </w:r>
      <w:r>
        <w:rPr>
          <w:rFonts w:ascii="Times New Roman" w:cs="Times New Roman" w:eastAsia="Times New Roman" w:hAnsi="Times New Roman"/>
          <w:sz w:val="18"/>
          <w:szCs w:val="18"/>
          <w:color w:val="auto"/>
        </w:rPr>
        <w:t>). Within 30 days following any Change of Control Triggering Event, the Company will mail (or deliver electronically) a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describing the transaction or transactions that constitute the Change of Control and stating:</w:t>
      </w:r>
    </w:p>
    <w:p>
      <w:pPr>
        <w:spacing w:after="0" w:line="184"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that the Change of Control Offer is being made pursuant to this Section 4.09 and that all Notes tendered will be accepted for payment;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the purchase price and the purchase date, which shall be no earlier than 10 days (or such longer period required by applicable securities laws and regulations) and no later than 60 days from the date such notice is mailed or delivered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that any Note not tendered will continue to accrue interest;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            that, unless the Company defaults in the payment of the Change of Control Payment, all Notes accepted for payment pursuant to the Change of Control Offer will cease to accrue interest after the Change of Control Payment Date;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(5)            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(6)            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(7)            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On the Change of Control Payment Date, the Company shall, to the extent lawful: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accept for payment all Notes or portions of Notes properly tendered pursuant to the Change of Control Offer;</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(2)            deposit with the Paying Agent an amount equal to the Change of Control Payment in respect of all Notes or portions of Notes properly tendered; and</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(3)            deliver or cause to be delivered to the Trustee the Notes properly accepted together with an Officers’ Certificate stating the aggregate principal amount of Notes or portions of Notes being purchased by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shall be in a principal amount of $2,000 or an integral multiple of $1,000 in excess thereof. The Company shall publicly announce the results of the Change of Control Offer on or as soon as practicable after the Change of Control Payment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            The provisions described in Sections 4.09(a) and (b) shall apply whether or not any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If Holders of not less than 90.0% in aggregate principal amount of the outstanding Notes validly tender and not withdraw such Notes in a Change of Control Offer and the Company, or any third party making a Change of Control Offer in lieu of the Company as described above, purchases all of the Notes validly tendered and not withdrawn by such Holders, all of the Holders of the Notes will be deemed to have validly tendered their notes and not withdrawn and, accordingly, the Company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i w:val="1"/>
          <w:iCs w:val="1"/>
          <w:color w:val="auto"/>
        </w:rPr>
        <w:t>Additional Subsidiary Guarantees.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(1)            the Company or any of its Subsidiaries acquires or creates another Wholly Owned Subsidiary after the Issue Date and such Wholly Owned Subsidiary Guarantees any Obligations of the Company under the Credit Agreement, 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(2)            any Wholly Owned Subsidiary that does not Guarantee any Obligations of the Company under the Credit Agreement as of the date of the Indenture subsequently Guarantees any Obligations of the Company under the Credit Agreement, or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(3)            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 execute a supplemental indenture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deliver an Opinion of Counsel satisfactory to the Trustee within 60 Business Days of the date on which it was acquired or created or guaranteed other Material Indebtedness of the Company, as the case may be.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i w:val="1"/>
          <w:iCs w:val="1"/>
          <w:color w:val="auto"/>
        </w:rPr>
        <w:t>Holding Company Status.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ownership of debt or Equity Interests in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maintaining its organizational existence;</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(3)            participating in tax, accounting and other administrative activities as the parent of a consolidated group of companies, including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(4)            making distributions to holders of its debt or Equity Interests or contributions to the Company or any Subsidiary of the Company;</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the performance of its obligations under the Exchange Agreement and similar agreements;</w:t>
      </w:r>
    </w:p>
    <w:p>
      <w:pPr>
        <w:spacing w:after="0" w:line="225"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(6)            issuing a Guarantee in respect of, or otherwise becoming liable with respect to, Indebtedness incurred by Clearway Inc., the Company or any Subsidiary of the Company and the execution and delivery of any agreements related to the foregoing, including credit agreements, indentures, security agreements, and notes;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issuing equity securities and/or issuing or incurring Indebtedness, including to finance acquisitions;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activities incidental to the businesses or activities described in clauses (1) through (7)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i w:val="1"/>
          <w:iCs w:val="1"/>
          <w:color w:val="auto"/>
        </w:rPr>
        <w:t>Merger, Consolidation or Sale of Assets.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either: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Parent Guarantor or the Company, as the case may be, is the surviving Person;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(2)            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and this Indenture pursuant to a supplemental indenture or other documents and agreements reasonably satisfactory to the Trustee;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immediately after such transaction, no Default or Event of Default exists.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neither the Parent Guarantor nor the Company will, directly or indirectly, lease all or substantially all of its and its respective Subsidiaries’ properties or assets taken as a whole, in one or more related transactions, to any other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Section 5.01 shall not apply to:</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(1)           a merger of the Parent Guarantor or the Company, as the case may be, with an Affiliate solely for the purpose of reforming the Parent Guarantor or the Company, as the case may be, in another jurisdiction or forming a direct or indirect holding company of the Company that is a Wholly Owned Subsidiary of the Parent Guarantor;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(2)            any sale, transfer, assignment, conveyance, lease or other disposition of assets between or among the Parent Guarantor, the Company and their respective Subsidiaries, including by way of merger or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i w:val="1"/>
          <w:iCs w:val="1"/>
          <w:color w:val="auto"/>
        </w:rPr>
        <w:t>Successor Entity Substituted.</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 this Indenture with the same effect as if such successor Person had been named as the Parent Guarantor or the Company, as the case may be,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predecessor Company shall not be relieved from the obligation to pay the principal of, premium, if any, and interest on, the Notes and that 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6 hereof provides the terms of defaults and remedies. For purposes of any Additional Securities issued under this Indenture, the Supplemental Indenture in respect of such Additional Securities will specify the terms of defaults and remedies for such Additional Securities, which may include some, all or none of the terms contained in this Article 6 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Each of the following is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default for 30 days in the payment when due of interest on the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default in the payment when due of the principal of, or premium, if any, on the Notes;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(3)            failure by the Company or any Guarantor for 60 days (or, in the case of any failure to comply with Section 4.03 of this Indenture, 120 days) after written notice to the Company given by the Trustee or the Holders of at least 30% in aggregate principal amount of the Notes that are then outstanding, to comply with any of the agreements in this Indenture (other than a default referred to in clause (1) or (2) of this Section 6.01);</w:t>
      </w:r>
    </w:p>
    <w:p>
      <w:pPr>
        <w:spacing w:after="0" w:line="180"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(4)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Issue Date, if that default:</w:t>
      </w:r>
    </w:p>
    <w:p>
      <w:pPr>
        <w:spacing w:after="0" w:line="176"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results in the acceleration of such Indebtedness prior to its express maturity,</w:t>
      </w:r>
    </w:p>
    <w:p>
      <w:pPr>
        <w:spacing w:after="0" w:line="22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w:t>
      </w:r>
    </w:p>
    <w:p>
      <w:pPr>
        <w:jc w:val="both"/>
        <w:ind w:left="660" w:hanging="4"/>
        <w:spacing w:after="0" w:line="253" w:lineRule="auto"/>
        <w:tabs>
          <w:tab w:leader="none" w:pos="9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(4) shall not apply (i) to secured Indebtedness that becomes due as a result of the voluntary sale or transfer of the property or assets securing such Indebtedness to a Person that is not an Affiliate of the Company and (ii) to the extent constituting Indebtedness, to any indemnification, guarantee or other credit support obligations of the Company or any of the Guarantors in connection with any Tax Equity Financing entered into by a non-Subsidiary Guarantor;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(5)            except as permitted by this Indenture, any Guarantee of the Notes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 of the Notes;</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            the Company or any of the Guarantors that, if a Subsidiary of the Company, would constitute a Significant Subsidiary or any group of Guarantors that, if Subsidiaries of the Company, taken together, would constitute a Significant Subsidiary:</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commences a voluntary case,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consents to the entry of an order for relief against it in an involuntary case,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consents to the appointment of a custodian of it or for all or substantially all of its property,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makes a general assignment for the benefit of its creditors,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generally is not paying its debts as they become due;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a court of competent jurisdiction enters an order or decree under any Bankruptcy Law that:</w:t>
      </w:r>
    </w:p>
    <w:p>
      <w:pPr>
        <w:spacing w:after="0" w:line="225"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(A)            is for relief against the Company or any Guarantor that, if a Subsidiary of the Company, would constitute a Significant Subsidiary or any group of Guarantors that, if Subsidiaries of the Company, taken together, would constitute a Significant Subsidiary;</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(B)            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spacing w:after="0" w:line="176"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(C)            orders the liquidation of the Company or any Guarantor that, if a Subsidiary of the Company, would constitute a Significant Subsidiary or any group of Guarantors that, if Subsidiaries of the Company, taken together, would constitute a Significant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i w:val="1"/>
          <w:iCs w:val="1"/>
          <w:color w:val="auto"/>
        </w:rPr>
        <w:t>Acceleration.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case of an Event of Default specified in clause (6) or (7) of Section 6.01 hereof, with respect to the Company, or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Upon any such declaration, the Notes shall become due and payable immediately.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i w:val="1"/>
          <w:iCs w:val="1"/>
          <w:color w:val="auto"/>
        </w:rPr>
        <w:t>Other Remedies.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i w:val="1"/>
          <w:iCs w:val="1"/>
          <w:color w:val="auto"/>
        </w:rPr>
        <w:t>Waiver of Past Defaults.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Holders of a majority in aggregate principal amount of the then outstanding Notes may, by written notice to the Trustee,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i w:val="1"/>
          <w:iCs w:val="1"/>
          <w:color w:val="auto"/>
        </w:rPr>
        <w:t>Control by Majority.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 follow any direction that conflicts with law or this Indenture that the Trustee determines may be unduly prejudicial to the rights of other Holders of Securities or that may involve the Trustee in personal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i w:val="1"/>
          <w:iCs w:val="1"/>
          <w:color w:val="auto"/>
        </w:rPr>
        <w:t>Limitation on Suits.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Holder of a Note may pursue any remedy with respect to this Indenture or the Notes unless: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such Holder has previously given the Trustee written notice that an Event of Default is continuing;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            Holders of at least 30% in aggregate principal amount of the outstanding Notes make a written request to the Trustee to pursue the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remedy;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such Holders have offered the Trustee security or indemnity reasonably satisfactory to the Trustee against any loss, liability or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expense;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8"/>
          <w:szCs w:val="18"/>
          <w:color w:val="auto"/>
        </w:rPr>
        <w:t>(4)            the Trustee has not complied with such request within 60 days after receipt of the request and the offer of security or indemnity;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(5)            Holders of a majority in aggregate principal amount of the outstanding Notes have not given the Trustee a direction inconsistent with such request within such 60-day period.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of a Note or to obtain a preference or priority over another Holder of a Note.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i w:val="1"/>
          <w:iCs w:val="1"/>
          <w:color w:val="auto"/>
        </w:rPr>
        <w:t>Rights of Holders of Notes to Receive Payment.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6.08          </w:t>
      </w:r>
      <w:r>
        <w:rPr>
          <w:rFonts w:ascii="Times New Roman" w:cs="Times New Roman" w:eastAsia="Times New Roman" w:hAnsi="Times New Roman"/>
          <w:sz w:val="18"/>
          <w:szCs w:val="18"/>
          <w:i w:val="1"/>
          <w:iCs w:val="1"/>
          <w:color w:val="auto"/>
        </w:rPr>
        <w:t>Collection Suit by Trustee.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6.09          </w:t>
      </w:r>
      <w:r>
        <w:rPr>
          <w:rFonts w:ascii="Times New Roman" w:cs="Times New Roman" w:eastAsia="Times New Roman" w:hAnsi="Times New Roman"/>
          <w:sz w:val="18"/>
          <w:szCs w:val="18"/>
          <w:i w:val="1"/>
          <w:iCs w:val="1"/>
          <w:color w:val="auto"/>
        </w:rPr>
        <w:t>Trustee May File Proofs of Claim.</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to the Trustee under this Indenture, including without limitation, under Section 7.07 hereof. To the extent that the payment of any such compensation, expenses, disbursements and advances of the Trustee, its agents and counsel, and any other amounts due to the Trustee under this Indenture, including without limitation,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i w:val="1"/>
          <w:iCs w:val="1"/>
          <w:color w:val="auto"/>
        </w:rPr>
        <w:t>Priorities.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22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its agents and attorneys for amounts due under Section 7.07 hereof, including payment of all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liabilities incurred, and all advances made, by the Trustee and the costs and expenses of collection;</w:t>
      </w:r>
    </w:p>
    <w:p>
      <w:pPr>
        <w:spacing w:after="0" w:line="158"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of Notes for amounts due and unpaid on the Notes for principal, premium, if any, and interest, ratably,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or priority of any kind, according to the amounts due and payable on the Notes for principal, premium, if any, and interest, respectively; 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Company or to such party as a court of competent jurisdiction shall direct.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Notes pursuant to this Section 6.10.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i w:val="1"/>
          <w:iCs w:val="1"/>
          <w:color w:val="auto"/>
        </w:rPr>
        <w:t>Undertaking for Costs.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18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i w:val="1"/>
          <w:iCs w:val="1"/>
          <w:color w:val="auto"/>
        </w:rPr>
        <w:t>Duties of Trustee.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Except during the continuance of an Event of Default: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(1)            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            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Trustee may not be relieved from liabilities for its own negligent action, its own negligent failure to act, or its own willful misconduct, except that: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this paragraph does not limit the effect of paragraph (b) of this Section 7.01;</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(2)            the Trustee will not be liable for any error of judgment made in good faith by a Responsible Officer, unless it is proved that the Trustee was negligent in ascertaining the pertinent facts; and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(3)            the Trustee will not be liable with respect to any action taken, suffered or omitted to be taken in respect of the Notes in accordance with a direction received by it pursuant to Section 6.05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Whether or not therein expressly so provided, every provision of this Indenture that in any way relates to the Trustee is subject to paragraphs (a), (b), and (c) of this Section 7.01.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Paying Agent and the Registrar shall be entitled to the same protections, immunities and standard of care as are set forth in paragraphs (a), (b) and (c) of this section with respect to the Trustee.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i w:val="1"/>
          <w:iCs w:val="1"/>
          <w:color w:val="auto"/>
        </w:rPr>
        <w:t>Rights of Trustee.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Trustee may conclusively rely upon any document believed by it to be genuine and to have been signed or presented by the proper Person. The Trustee need not investigate any fact or matter stated in the document.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Trustee will not be liable for any action it takes or omits to take in good faith that it believes to be authorized or within the rights or powers conferred upon it by this Indenture.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Unless otherwise specifically provided in this Indenture, any demand, request, direction or notice from the Company will be sufficient if signed by an Officer of the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(f)            The Trustee will be under no obligation to exercise any of the rights or powers under this Indenture at the request or direction of any of the Holders unless such Holders have offered to the Trustee reasonable indemnity or security satisfactory to the Trustee against any loss, liability or expense.</w:t>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            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The right of the Trustee to perform any discretionary act enumerated in this Indenture or any related document shall not be construed as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The rights, privileges, protections, immunities and benefits given to the Trustee hereunder, including, without limitation, its right to be indemnified, are extended to, and shall be enforceable by, the Trustee in each of its capacities 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i w:val="1"/>
          <w:iCs w:val="1"/>
          <w:color w:val="auto"/>
        </w:rPr>
        <w:t>Individual Rights of Trustee.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otherwise deal with the Company or any Affiliate of the Company with the same rights it would have if it were not the Trustee. However, in the event that the Trustee acquires any conflicting interest it must eliminate such conflict within 90 days or resign. Any Agent may do the same with like rights and duties. The Trustee is also subject to Section 7.10 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Section 7.04          </w:t>
      </w:r>
      <w:r>
        <w:rPr>
          <w:rFonts w:ascii="Times New Roman" w:cs="Times New Roman" w:eastAsia="Times New Roman" w:hAnsi="Times New Roman"/>
          <w:sz w:val="18"/>
          <w:szCs w:val="18"/>
          <w:i w:val="1"/>
          <w:iCs w:val="1"/>
          <w:color w:val="auto"/>
        </w:rPr>
        <w:t>Trustee’s Disclaimer.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7.05          </w:t>
      </w:r>
      <w:r>
        <w:rPr>
          <w:rFonts w:ascii="Times New Roman" w:cs="Times New Roman" w:eastAsia="Times New Roman" w:hAnsi="Times New Roman"/>
          <w:sz w:val="18"/>
          <w:szCs w:val="18"/>
          <w:i w:val="1"/>
          <w:iCs w:val="1"/>
          <w:color w:val="auto"/>
        </w:rPr>
        <w:t>Notice of Defaults.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7.06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7.07          </w:t>
      </w:r>
      <w:r>
        <w:rPr>
          <w:rFonts w:ascii="Times New Roman" w:cs="Times New Roman" w:eastAsia="Times New Roman" w:hAnsi="Times New Roman"/>
          <w:sz w:val="18"/>
          <w:szCs w:val="18"/>
          <w:i w:val="1"/>
          <w:iCs w:val="1"/>
          <w:color w:val="auto"/>
        </w:rPr>
        <w:t>Compensation and Indemnity.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obligations of the Company and the Guarantors under this Section 7.07 will survive the satisfaction and discharge of this Indenture.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2" w:name="page63"/>
    <w:bookmarkEnd w:id="62"/>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            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When the Trustee incurs expenses or renders services after an Event of Default specified in clause (6) or (7) of Section 6.01 hereof occurs, the expenses and the compensation for the services (including the fees and expenses of its agents and counsel) are intended to constitute expenses of administration under any Bankruptcy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[Reserved]</w:t>
      </w:r>
    </w:p>
    <w:p>
      <w:pPr>
        <w:spacing w:after="0" w:line="225"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(g)            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7.08          </w:t>
      </w:r>
      <w:r>
        <w:rPr>
          <w:rFonts w:ascii="Times New Roman" w:cs="Times New Roman" w:eastAsia="Times New Roman" w:hAnsi="Times New Roman"/>
          <w:sz w:val="18"/>
          <w:szCs w:val="18"/>
          <w:i w:val="1"/>
          <w:iCs w:val="1"/>
          <w:color w:val="auto"/>
        </w:rPr>
        <w:t>Replacement of Trustee.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A resignation or removal of the Trustee and appointment of a successor Trustee will become effective only upon the successor Trustee’s acceptance of appointment as provided in this Section 7.08.</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at least 30 days prior to the effectiveness of such removal. The Company may remove the Trustee if: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Trustee fails to comply with Section 7.10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            the Trustee is adjudged a bankrupt or an insolvent or an order for relief is entered with respect to the Trustee under any Bankruptcy</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a custodian or public officer takes charge of the Trustee or its property;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Trustee becomes incapable of acting.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Section 7.09          </w:t>
      </w:r>
      <w:r>
        <w:rPr>
          <w:rFonts w:ascii="Times New Roman" w:cs="Times New Roman" w:eastAsia="Times New Roman" w:hAnsi="Times New Roman"/>
          <w:sz w:val="18"/>
          <w:szCs w:val="18"/>
          <w:i w:val="1"/>
          <w:iCs w:val="1"/>
          <w:color w:val="auto"/>
        </w:rPr>
        <w:t>Successor Trustee by Merger, etc.</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7.10          </w:t>
      </w:r>
      <w:r>
        <w:rPr>
          <w:rFonts w:ascii="Times New Roman" w:cs="Times New Roman" w:eastAsia="Times New Roman" w:hAnsi="Times New Roman"/>
          <w:sz w:val="18"/>
          <w:szCs w:val="18"/>
          <w:i w:val="1"/>
          <w:iCs w:val="1"/>
          <w:color w:val="auto"/>
        </w:rPr>
        <w:t>Eligibility; Disqualification.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i w:val="1"/>
          <w:iCs w:val="1"/>
          <w:color w:val="auto"/>
        </w:rPr>
        <w:t>Option to Effect Legal Defeasance or Covenant Defeasance.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may at any time, as evidenced by an Officers’ Certificate, elect to have either Section 8.02 or 8.03 hereof be applied to all outstanding Notes upon compliance with the conditions set forth below in this Article 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i w:val="1"/>
          <w:iCs w:val="1"/>
          <w:color w:val="auto"/>
        </w:rPr>
        <w:t>Legal Defeasance and Discharge.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9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the rights of Holders of outstanding Notes to receive payments in respect of the principal of, premium, if any, or interest on such Notes when such payments are due from the trust referred to in Section 8.04 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8"/>
          <w:szCs w:val="18"/>
          <w:color w:val="auto"/>
        </w:rPr>
        <w:t>(2)            the Company’s obligations with respect to such Notes under Article 2 and Section 4.02 hereof;</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(3)            the rights, powers, trusts, duties, indemnities and immunities of the Trustee hereunder and the Company’s and the Guarantors’ obligations in connection therewith;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this Article 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8, the Company may exercise its option under this Section 8.02 notwithstanding the prior exercise of its option under Section 8.03 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i w:val="1"/>
          <w:iCs w:val="1"/>
          <w:color w:val="auto"/>
        </w:rPr>
        <w:t>Covenant Defeasance.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the Company’s exercise under Section 8.01 hereof of the option applicable to this Section 8.03, the Company and the Guarantors shall, subject to the satisfaction of the conditions set forth in Section 8.04 hereof, be released from each of their obligations under Sections 4.03, 4.04, 4.05, 4.07, 4.08, 4.09, 4.10 and 4.11 hereof with respect to the outstanding Notes on and after the date the conditions set forth in Section 8.04 hereof are satisfied (hereinafter,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and (4) hereof shall not constitute Events of Default.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i w:val="1"/>
          <w:iCs w:val="1"/>
          <w:color w:val="auto"/>
        </w:rPr>
        <w:t>Conditions to Legal or Covenant Defeasance.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8.02 or 8.03 hereof:</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(1)            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(2)            in the case of an election under Section 8.02 hereof, the Company must deliver to the Trustee an Opinion of Counsel reasonably acceptable to the Trustee confirming that: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Company has received from, or there has been published by, the Internal Revenue Service a ruling; or</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            since the date of this Indenture, there has been a change in the applicable federal income tax law,</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(3)            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(4)            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(5)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(6)            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(7)            the Company must deliver to the Trustee an Officers’ Certificate and an Opinion of Counsel, each stating that all conditions precedent relating to the Legal Defeasance or the Covenant Defeasance have been complied with.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i w:val="1"/>
          <w:iCs w:val="1"/>
          <w:color w:val="auto"/>
        </w:rPr>
        <w:t>Deposited Money and Government Securities to be Held in Trust; Other Miscellaneous Provisions.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Subject to Section 8.06 hereof, all money and non-callable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i w:val="1"/>
          <w:iCs w:val="1"/>
          <w:color w:val="auto"/>
        </w:rPr>
        <w:t>Repayment to Company.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i w:val="1"/>
          <w:iCs w:val="1"/>
          <w:color w:val="auto"/>
        </w:rPr>
        <w:t>Reinstatement.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i w:val="1"/>
          <w:iCs w:val="1"/>
          <w:color w:val="auto"/>
        </w:rPr>
        <w:t>Without Consent of Holders of Notes.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Section 9.02 of this Indenture, without the consent of any Holder of Securities, the Company, the Guarantors and the Trustee may amend or supplement this Indenture, the Securities or the Subsidiary Guarantees: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to cure any ambiguity, mistake, defect or inconsistency;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(2)            to provide for uncertificated Securities in addition to or in place of certificated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uncertificated Securities are issued in registered form for purposes of Section 163(f) of the Code);</w:t>
      </w:r>
    </w:p>
    <w:p>
      <w:pPr>
        <w:spacing w:after="0" w:line="160"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(3)            to provide for the assumption of the Parent Guarantor’s or the Company’s Obligations to Holders of Securities in the case of a merger or consolidation or sale of all or substantially all of the Parent Guarantor’s or the Company’s assets, as the case may be;</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(4)            to make any change that would provide any additional rights or benefits to the Holders of the Securities or that does not adversely affect the legal rights under this Indenture of any such Holder;</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(5)            to conform the text of this Indenture or the Notes to any provision of the “Description of the Notes” section of the Offering Memorandum, relating to the initial offering of the Notes;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(6)            to evidence and provide for the acceptance and appointment under this Indenture of a successor trustee pursuant to the requirements hereof;</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(7)            to provide for the issuance of Additional Notes and Additional Securities in accordance with the limitations set forth in this Indenture as of the date hereof;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to allow any Guarantor to execute a supplemental indenture and/or a Subsidiary Guarantee with respect to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i w:val="1"/>
          <w:iCs w:val="1"/>
          <w:color w:val="auto"/>
        </w:rPr>
        <w:t>With Consent of Holders of Notes.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8" w:name="page69"/>
    <w:bookmarkEnd w:id="6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not necessary for the consent of the Holders of Securities under this Section 9.02 to approve the particular form of any proposed amendment, supplement or waiver, but it is sufficient if such consent approves the substance thereof.</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9.02 becomes effective, the Company shall mail or deliver electronically to the Holders of Securities affected thereby a notice briefly describing the amendment, supplement or waiver. Any failure of the Company to mail or deliver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reduce the principal amount of Securities whose Holders must consent to an amendment, supplement or waiver;</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            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reduce the rate of or change the time for payment of interest on any Security;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(4)            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make any Security payable in currency other than that stated in the Securities;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            make any change in the provisions of this Indenture relating to waivers of past Defaults or the rights of Holders of Securities to receive payments of principal of, premium, if any, or, interest on, the Securities;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waive a redemption payment with respect to any Security (other than a payment required by Sections 4.09 hereof);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make any change in the preceding amendment and waiver provisions.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i w:val="1"/>
          <w:iCs w:val="1"/>
          <w:color w:val="auto"/>
        </w:rPr>
        <w:t>Revocation and Effect of Consents.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i w:val="1"/>
          <w:iCs w:val="1"/>
          <w:color w:val="auto"/>
        </w:rPr>
        <w:t>Notation on or Exchange of Securities.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Security will not affect the validity and effect of such amendment, supplement or waiver.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i w:val="1"/>
          <w:iCs w:val="1"/>
          <w:color w:val="auto"/>
        </w:rPr>
        <w:t>Trustee to Sign Amendments, etc.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            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0" w:name="page71"/>
    <w:bookmarkEnd w:id="70"/>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            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i w:val="1"/>
          <w:iCs w:val="1"/>
          <w:color w:val="auto"/>
        </w:rPr>
        <w:t>Limitation on Guarantor Liability.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i w:val="1"/>
          <w:iCs w:val="1"/>
          <w:color w:val="auto"/>
        </w:rPr>
        <w:t>Execution and Delivery of Guarantee.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Guarantor hereby agrees that its Guarantee set forth in Section 10.01 hereof will remain in full force and effect notwithstanding any failure to endorse on each Note a notation of such Guarantee.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this Indenture or on the Guarantee no longer holds that office at the time the Trustee authenticates the Note on which a Guarantee is endorsed, the Guarantee will be valid nevertheless.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will constitute due delivery of the Guarantee set forth in this Indenture on behalf of the Guarantors.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10.04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10.05          </w:t>
      </w:r>
      <w:r>
        <w:rPr>
          <w:rFonts w:ascii="Times New Roman" w:cs="Times New Roman" w:eastAsia="Times New Roman" w:hAnsi="Times New Roman"/>
          <w:sz w:val="18"/>
          <w:szCs w:val="18"/>
          <w:i w:val="1"/>
          <w:iCs w:val="1"/>
          <w:color w:val="auto"/>
        </w:rPr>
        <w:t>Releases.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Subsidiary Guarantee of a Subsidiary Guarantor shall be released automatically: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(1)            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            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upon repayment in full of the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upon defeasance or satisfaction and discharge of the Notes as provided in Sections 8.01, 8.02, 8.03, 8.04 and 11.01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upon a dissolution of a Subsidiary Guarantor that is permitted under this Indenture;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otherwise with respect to the Guarantee of any Subsidiary Guarantor: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upon the prior consent of Holders of at least a majority in aggregate principal amount of the Notes then outstanding;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2" w:name="page73"/>
    <w:bookmarkEnd w:id="72"/>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(B)            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spacing w:after="0" w:line="187"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(C)            if the Company has Indebtedness outstanding under the Credit Agreement at that time, upon the release of such Subsidiary Guarantor’s Guarantee of all Obligations of the Company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Guarantee of a Guarantor shall be released with respect to the Notes automatically upon Legal Defeasance, Covenant Defeasance or satisfaction and discharge of this Indenture pursuant to Articles 8 and 11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Upon delivery by the Company to the Trustee of an Officers’ Certificate and an Opinion of Counsel to the effect that the action or event giving rise to the applicable release has occurred or was made by the Company in accordance with the provisions of this Indenture the Trustee shall execute any documents reasonably required in order to evidence the release of any Guarantor from its obligations under its Guarantee.</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(e)            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11.01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either:</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(a)            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spacing w:after="0" w:line="176"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(b)            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(2)            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the Company or any Guarantor has paid or caused to be paid all sums payable by it under this Indenture; and</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            the Company has delivered irrevocable instructions to the Trustee under this Indenture to apply the deposited money toward the payment of the Notes at maturity or on the redemption date, as the case may be.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must deliver an Officers’ Certificate and an Opinion of Counsel to the Trustee stating that all conditions precedent to satisfaction and discharge have been satisfied.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satisfaction and discharge of this Indenture, if money has been deposited with the Trustee pursuant to subclause (b) of clause</w:t>
      </w:r>
    </w:p>
    <w:p>
      <w:pPr>
        <w:spacing w:after="0" w:line="27" w:lineRule="exact"/>
        <w:rPr>
          <w:sz w:val="20"/>
          <w:szCs w:val="20"/>
          <w:color w:val="auto"/>
        </w:rPr>
      </w:pPr>
    </w:p>
    <w:p>
      <w:pPr>
        <w:ind w:firstLine="8"/>
        <w:spacing w:after="0" w:line="260" w:lineRule="auto"/>
        <w:tabs>
          <w:tab w:leader="none" w:pos="2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11.02          </w:t>
      </w:r>
      <w:r>
        <w:rPr>
          <w:rFonts w:ascii="Times New Roman" w:cs="Times New Roman" w:eastAsia="Times New Roman" w:hAnsi="Times New Roman"/>
          <w:sz w:val="18"/>
          <w:szCs w:val="18"/>
          <w:i w:val="1"/>
          <w:iCs w:val="1"/>
          <w:color w:val="auto"/>
        </w:rPr>
        <w:t>Application of Trust Money.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12.01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12.02          </w:t>
      </w:r>
      <w:r>
        <w:rPr>
          <w:rFonts w:ascii="Times New Roman" w:cs="Times New Roman" w:eastAsia="Times New Roman" w:hAnsi="Times New Roman"/>
          <w:sz w:val="18"/>
          <w:szCs w:val="18"/>
          <w:i w:val="1"/>
          <w:iCs w:val="1"/>
          <w:color w:val="auto"/>
        </w:rPr>
        <w:t>Notices.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any Guarantor or the Trustee to the others is duly given if in writing and delivered in Person or mailed by first class mail (registered or certified, return receipt requested), email, telecopier or overnight air courier guaranteeing next day delivery, to the others’ address: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and/or any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 Carnegie Center Drive, Suite 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ogc@clearwayenergy.com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Baker Botts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2001 Ross Ave., Suite 900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Preston Bernhisel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preston.bernhisel@bakerbotts.com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CSC Delaware Trust Company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Telecopier No.: (302) 636-8666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Lici.Zhu@cscglobal.com; Jordan.Gardner@cscglobal.com</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any Guarantor or the Trustee, by notice to the others, may designate additional or different addresses for subsequent notices or communications.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email or telecopier; and the next Business Day after timely delivery to the courier, if sent by overnight air courier guaranteeing next day delivery.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in the manner provided above within the time prescribed, it is duly given, whether or not the addressee receives it.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 mails (or deliver electronically) a notice or communication to Holders, it will mail (or deliver electronically) a copy to the Trustee and each Agent at the same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12.03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12.04          </w:t>
      </w:r>
      <w:r>
        <w:rPr>
          <w:rFonts w:ascii="Times New Roman" w:cs="Times New Roman" w:eastAsia="Times New Roman" w:hAnsi="Times New Roman"/>
          <w:sz w:val="18"/>
          <w:szCs w:val="18"/>
          <w:i w:val="1"/>
          <w:iCs w:val="1"/>
          <w:color w:val="auto"/>
        </w:rPr>
        <w:t>Certificate and Opinion as to Conditions Precedent.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(1)            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(2)            an Opinion of Counsel in form and substance reasonably satisfactory to the Trustee (which must include the statements set forth in Section 12.05 hereof) stating that, in the opinion of such counsel, all such conditions precedent and covenants have been satisfied.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12.05          </w:t>
      </w:r>
      <w:r>
        <w:rPr>
          <w:rFonts w:ascii="Times New Roman" w:cs="Times New Roman" w:eastAsia="Times New Roman" w:hAnsi="Times New Roman"/>
          <w:sz w:val="18"/>
          <w:szCs w:val="18"/>
          <w:i w:val="1"/>
          <w:iCs w:val="1"/>
          <w:color w:val="auto"/>
        </w:rPr>
        <w:t>Statements Required in Certificate or Opinion.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must include: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a statement that the Person making such certificate or opinion has read such covenant or condition;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(2)            a brief statement as to the nature and scope of the examination or investigation upon which the statements or opinions contained in such certificate or opinion are based;</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(3)            a statement that, in the opinion of such Person, he or she has made such examination or investigation as is necessary to enable him or her to express an informed opinion as to whether or not such covenant or condition has been satisfied;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a statement as to whether or not, in the opinion of such Person, such condition or covenant has been satisfied.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12.06          </w:t>
      </w:r>
      <w:r>
        <w:rPr>
          <w:rFonts w:ascii="Times New Roman" w:cs="Times New Roman" w:eastAsia="Times New Roman" w:hAnsi="Times New Roman"/>
          <w:sz w:val="18"/>
          <w:szCs w:val="18"/>
          <w:i w:val="1"/>
          <w:iCs w:val="1"/>
          <w:color w:val="auto"/>
        </w:rPr>
        <w:t>Rules by Trustee and Agents.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12.07          </w:t>
      </w:r>
      <w:r>
        <w:rPr>
          <w:rFonts w:ascii="Times New Roman" w:cs="Times New Roman" w:eastAsia="Times New Roman" w:hAnsi="Times New Roman"/>
          <w:sz w:val="18"/>
          <w:szCs w:val="18"/>
          <w:i w:val="1"/>
          <w:iCs w:val="1"/>
          <w:color w:val="auto"/>
        </w:rPr>
        <w:t>No Personal Liability of Directors, Officers, Employees and Stockholders.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director, officer, employee, incorporator, stockholder, member or unitholder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Section 12.08          </w:t>
      </w: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INTERNAL LAW OF THE STATE OF NEW YORK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12.09          </w:t>
      </w:r>
      <w:r>
        <w:rPr>
          <w:rFonts w:ascii="Times New Roman" w:cs="Times New Roman" w:eastAsia="Times New Roman" w:hAnsi="Times New Roman"/>
          <w:sz w:val="18"/>
          <w:szCs w:val="18"/>
          <w:i w:val="1"/>
          <w:iCs w:val="1"/>
          <w:color w:val="auto"/>
        </w:rPr>
        <w:t>No Adverse Interpretation of Other Agreements.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Company or its Subsidiaries or of any other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12.10          </w:t>
      </w:r>
      <w:r>
        <w:rPr>
          <w:rFonts w:ascii="Times New Roman" w:cs="Times New Roman" w:eastAsia="Times New Roman" w:hAnsi="Times New Roman"/>
          <w:sz w:val="18"/>
          <w:szCs w:val="18"/>
          <w:i w:val="1"/>
          <w:iCs w:val="1"/>
          <w:color w:val="auto"/>
        </w:rPr>
        <w:t>Successors.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12.11          </w:t>
      </w:r>
      <w:r>
        <w:rPr>
          <w:rFonts w:ascii="Times New Roman" w:cs="Times New Roman" w:eastAsia="Times New Roman" w:hAnsi="Times New Roman"/>
          <w:sz w:val="18"/>
          <w:szCs w:val="18"/>
          <w:i w:val="1"/>
          <w:iCs w:val="1"/>
          <w:color w:val="auto"/>
        </w:rPr>
        <w:t>Severability.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any Securities is invalid, illegal or unenforceable, the validity, legality and enforceability of the remaining provisions will not in any way be affected or impaired thereby.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12.12          </w:t>
      </w:r>
      <w:r>
        <w:rPr>
          <w:rFonts w:ascii="Times New Roman" w:cs="Times New Roman" w:eastAsia="Times New Roman" w:hAnsi="Times New Roman"/>
          <w:sz w:val="18"/>
          <w:szCs w:val="18"/>
          <w:i w:val="1"/>
          <w:iCs w:val="1"/>
          <w:color w:val="auto"/>
        </w:rPr>
        <w:t>Counterpart Originals.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12.13          </w:t>
      </w:r>
      <w:r>
        <w:rPr>
          <w:rFonts w:ascii="Times New Roman" w:cs="Times New Roman" w:eastAsia="Times New Roman" w:hAnsi="Times New Roman"/>
          <w:sz w:val="18"/>
          <w:szCs w:val="18"/>
          <w:i w:val="1"/>
          <w:iCs w:val="1"/>
          <w:color w:val="auto"/>
        </w:rPr>
        <w:t>Table of Contents, Headings, etc.</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12.14          </w:t>
      </w:r>
      <w:r>
        <w:rPr>
          <w:rFonts w:ascii="Times New Roman" w:cs="Times New Roman" w:eastAsia="Times New Roman" w:hAnsi="Times New Roman"/>
          <w:sz w:val="18"/>
          <w:szCs w:val="18"/>
          <w:i w:val="1"/>
          <w:iCs w:val="1"/>
          <w:color w:val="auto"/>
        </w:rPr>
        <w:t>Compliance with Applicable Anti-Terrorism and Anti-Money Laundering Regulations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comply with laws, rules, regulations and executive orders in effect from time to time applicable to banking institutions, including those relating to the funding of terrorist activities and money laundering (</w:t>
      </w:r>
      <w:r>
        <w:rPr>
          <w:rFonts w:ascii="Times New Roman" w:cs="Times New Roman" w:eastAsia="Times New Roman" w:hAnsi="Times New Roman"/>
          <w:sz w:val="18"/>
          <w:szCs w:val="18"/>
          <w:i w:val="1"/>
          <w:iCs w:val="1"/>
          <w:color w:val="auto"/>
        </w:rPr>
        <w:t>“Relevant Law”</w:t>
      </w:r>
      <w:r>
        <w:rPr>
          <w:rFonts w:ascii="Times New Roman" w:cs="Times New Roman" w:eastAsia="Times New Roman" w:hAnsi="Times New Roman"/>
          <w:sz w:val="18"/>
          <w:szCs w:val="18"/>
          <w:color w:val="auto"/>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Section 12.15          </w:t>
      </w:r>
      <w:r>
        <w:rPr>
          <w:rFonts w:ascii="Times New Roman" w:cs="Times New Roman" w:eastAsia="Times New Roman" w:hAnsi="Times New Roman"/>
          <w:sz w:val="18"/>
          <w:szCs w:val="18"/>
          <w:i w:val="1"/>
          <w:iCs w:val="1"/>
          <w:color w:val="auto"/>
        </w:rPr>
        <w:t>Electronic Signatures.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of the parties agrees on behalf of itself, and any Person acting or claiming by, under or through such party, that any written instrument delivered in connection with this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or any Guarantor to the Trustee shall be considered signed or executed by such person on behalf of the Company or such Guarantor, as applicable. Each of the Company and the Guarantors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8" w:name="page79"/>
    <w:bookmarkEnd w:id="78"/>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January 13,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Clearway Energy LLC, as sole member</w:t>
      </w:r>
    </w:p>
    <w:p>
      <w:pPr>
        <w:spacing w:after="0" w:line="20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By:</w:t>
        <w:tab/>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Sarah Rubenstein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Clearway Energy, Inc., as managing member</w:t>
      </w:r>
    </w:p>
    <w:p>
      <w:pPr>
        <w:spacing w:after="0" w:line="20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By:</w:t>
        <w:tab/>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Sarah Rubenstein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ALTA WIND 1-5 HOLDING COMPANY,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LLC, as Guarantor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Alta Wind Company, LLC, as sole member</w:t>
      </w:r>
    </w:p>
    <w:p>
      <w:pPr>
        <w:spacing w:after="0" w:line="20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By:</w:t>
        <w:tab/>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Sarah Rubenstein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60"/>
          </w:cols>
          <w:pgMar w:left="320" w:top="904" w:right="1219" w:bottom="1440" w:gutter="0" w:footer="0" w:header="0"/>
        </w:sectPr>
      </w:pPr>
    </w:p>
    <w:bookmarkStart w:id="79" w:name="page80"/>
    <w:bookmarkEnd w:id="79"/>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CAPISTRANO PORTFOLIO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CARDINAL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CATALINA SOLAR INVESTMENT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line="250" w:lineRule="auto"/>
        <w:rPr>
          <w:sz w:val="20"/>
          <w:szCs w:val="20"/>
          <w:color w:val="auto"/>
        </w:rPr>
      </w:pPr>
      <w:r>
        <w:rPr>
          <w:rFonts w:ascii="Times New Roman" w:cs="Times New Roman" w:eastAsia="Times New Roman" w:hAnsi="Times New Roman"/>
          <w:sz w:val="18"/>
          <w:szCs w:val="18"/>
          <w:color w:val="auto"/>
        </w:rPr>
        <w:t>CEDAR CREEK WIND HOLDINGS LLC CEDRO HILL BL BORROWER HOLDCO LLC CLEARWAY OPCO POWER MARKETING HOLDINGS LLC CLEARWAY SOLAR STAR LLC</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DAN’S MOUNTAIN PARENT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HONEYCOMB 1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LV-DAGGETT PARENT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NATURAL GAS CA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PINE FOREST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ROSAMOND SOUTH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RS2-SPINDLE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SPRING CANYON TE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VP-ARICA PARENT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WASHINGTON WIND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60"/>
          </w:cols>
          <w:pgMar w:left="1440" w:top="904" w:right="1299" w:bottom="1440" w:gutter="0" w:footer="0" w:header="0"/>
        </w:sectPr>
      </w:pPr>
    </w:p>
    <w:bookmarkStart w:id="80" w:name="page81"/>
    <w:bookmarkEnd w:id="80"/>
    <w:p>
      <w:pPr>
        <w:ind w:left="4520"/>
        <w:spacing w:after="0"/>
        <w:rPr>
          <w:sz w:val="20"/>
          <w:szCs w:val="20"/>
          <w:color w:val="auto"/>
        </w:rPr>
      </w:pPr>
      <w:r>
        <w:rPr>
          <w:rFonts w:ascii="Times New Roman" w:cs="Times New Roman" w:eastAsia="Times New Roman" w:hAnsi="Times New Roman"/>
          <w:sz w:val="18"/>
          <w:szCs w:val="18"/>
          <w:color w:val="auto"/>
        </w:rPr>
        <w:t>WV WIND HOLDINGS LLC,</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as Guarantors,</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By Clearway Energy Operating LLC, as managing member</w:t>
      </w:r>
    </w:p>
    <w:p>
      <w:pPr>
        <w:spacing w:after="0" w:line="237" w:lineRule="exact"/>
        <w:rPr>
          <w:sz w:val="20"/>
          <w:szCs w:val="20"/>
          <w:color w:val="auto"/>
        </w:rPr>
      </w:pPr>
    </w:p>
    <w:p>
      <w:pPr>
        <w:ind w:left="542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Sarah Rubenstein</w:t>
      </w:r>
    </w:p>
    <w:p>
      <w:pPr>
        <w:spacing w:after="0" w:line="23" w:lineRule="exact"/>
        <w:rPr>
          <w:sz w:val="20"/>
          <w:szCs w:val="20"/>
          <w:color w:val="auto"/>
        </w:rPr>
      </w:pPr>
    </w:p>
    <w:p>
      <w:pPr>
        <w:ind w:left="5420"/>
        <w:spacing w:after="0"/>
        <w:tabs>
          <w:tab w:leader="none" w:pos="5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DG-CS HOLDINGS LLC, as Guarantor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DGPV Holding LLC, as managing member</w:t>
      </w:r>
    </w:p>
    <w:p>
      <w:pPr>
        <w:spacing w:after="0" w:line="207"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17145</wp:posOffset>
            </wp:positionV>
            <wp:extent cx="29832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Sarah Rubenstein</w:t>
      </w:r>
    </w:p>
    <w:p>
      <w:pPr>
        <w:spacing w:after="0" w:line="23"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SPP FUND II, LLC</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SPP FUND II-B, LLC, as Guarantors</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SPP Fund II Holdings, LLC, as managing member</w:t>
      </w:r>
    </w:p>
    <w:p>
      <w:pPr>
        <w:spacing w:after="0" w:line="207"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17145</wp:posOffset>
            </wp:positionV>
            <wp:extent cx="29832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Sarah Rubenstein</w:t>
      </w:r>
    </w:p>
    <w:p>
      <w:pPr>
        <w:spacing w:after="0" w:line="23"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40"/>
          </w:cols>
          <w:pgMar w:left="1440" w:top="904" w:right="1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810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CSC DELAWARE TRUST COMPANY, not in its</w:t>
            </w:r>
          </w:p>
        </w:tc>
      </w:tr>
      <w:tr>
        <w:trPr>
          <w:trHeight w:val="216"/>
        </w:trPr>
        <w:tc>
          <w:tcPr>
            <w:tcW w:w="3140" w:type="dxa"/>
            <w:vAlign w:val="bottom"/>
          </w:tcPr>
          <w:p>
            <w:pPr>
              <w:spacing w:after="0"/>
              <w:rPr>
                <w:sz w:val="18"/>
                <w:szCs w:val="18"/>
                <w:color w:val="auto"/>
              </w:rPr>
            </w:pPr>
          </w:p>
        </w:tc>
        <w:tc>
          <w:tcPr>
            <w:tcW w:w="810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individual capacity, but solely as Trustee</w:t>
            </w:r>
          </w:p>
        </w:tc>
      </w:tr>
      <w:tr>
        <w:trPr>
          <w:trHeight w:val="216"/>
        </w:trPr>
        <w:tc>
          <w:tcPr>
            <w:tcW w:w="3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41"/>
        </w:trPr>
        <w:tc>
          <w:tcPr>
            <w:tcW w:w="3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By:     </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Lici Zhu</w:t>
            </w:r>
          </w:p>
        </w:tc>
      </w:tr>
      <w:tr>
        <w:trPr>
          <w:trHeight w:val="198"/>
        </w:trPr>
        <w:tc>
          <w:tcPr>
            <w:tcW w:w="3140" w:type="dxa"/>
            <w:vAlign w:val="bottom"/>
          </w:tcPr>
          <w:p>
            <w:pPr>
              <w:spacing w:after="0"/>
              <w:rPr>
                <w:sz w:val="17"/>
                <w:szCs w:val="17"/>
                <w:color w:val="auto"/>
              </w:rPr>
            </w:pPr>
          </w:p>
        </w:tc>
        <w:tc>
          <w:tcPr>
            <w:tcW w:w="3400" w:type="dxa"/>
            <w:vAlign w:val="bottom"/>
          </w:tcPr>
          <w:p>
            <w:pPr>
              <w:ind w:left="2840"/>
              <w:spacing w:after="0" w:line="198" w:lineRule="exact"/>
              <w:rPr>
                <w:sz w:val="20"/>
                <w:szCs w:val="20"/>
                <w:color w:val="auto"/>
              </w:rPr>
            </w:pPr>
            <w:r>
              <w:rPr>
                <w:rFonts w:ascii="Times New Roman" w:cs="Times New Roman" w:eastAsia="Times New Roman" w:hAnsi="Times New Roman"/>
                <w:sz w:val="18"/>
                <w:szCs w:val="18"/>
                <w:color w:val="auto"/>
              </w:rPr>
              <w:t>Name: </w:t>
            </w:r>
          </w:p>
        </w:tc>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Lici Zhu</w:t>
            </w:r>
          </w:p>
        </w:tc>
      </w:tr>
      <w:tr>
        <w:trPr>
          <w:trHeight w:val="234"/>
        </w:trPr>
        <w:tc>
          <w:tcPr>
            <w:tcW w:w="3140" w:type="dxa"/>
            <w:vAlign w:val="bottom"/>
          </w:tcPr>
          <w:p>
            <w:pPr>
              <w:spacing w:after="0"/>
              <w:rPr>
                <w:sz w:val="20"/>
                <w:szCs w:val="20"/>
                <w:color w:val="auto"/>
              </w:rPr>
            </w:pPr>
          </w:p>
        </w:tc>
        <w:tc>
          <w:tcPr>
            <w:tcW w:w="34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88"/>
        </w:trPr>
        <w:tc>
          <w:tcPr>
            <w:tcW w:w="3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CUSIP ____________</w:t>
            </w:r>
          </w:p>
        </w:tc>
      </w:tr>
      <w:tr>
        <w:trPr>
          <w:trHeight w:val="432"/>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ISIN ____________</w:t>
            </w:r>
          </w:p>
        </w:tc>
      </w:tr>
      <w:tr>
        <w:trPr>
          <w:trHeight w:val="432"/>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5.750% Senior Notes due 2034</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w:t>
            </w:r>
          </w:p>
        </w:tc>
        <w:tc>
          <w:tcPr>
            <w:tcW w:w="18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5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CLEARWAY ENERGY OPERATING LLC</w:t>
            </w:r>
          </w:p>
        </w:tc>
        <w:tc>
          <w:tcPr>
            <w:tcW w:w="7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392"/>
        </w:trPr>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promises to pay to                or registered assigns,</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13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53"/>
        </w:trPr>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principal sum of __________________________________________________________ DOLLARS on January 15, 2034.</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Payment Dates: January 15 and July 15</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Record Dates: January 1 and July 1</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Dated: _______________</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This is one of the Notes referred to</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the within-mentioned Indenture.</w:t>
            </w: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55"/>
        </w:trPr>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A-1</w:t>
            </w:r>
          </w:p>
        </w:tc>
        <w:tc>
          <w:tcPr>
            <w:tcW w:w="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3" w:name="page84"/>
    <w:bookmarkEnd w:id="83"/>
    <w:p>
      <w:pPr>
        <w:ind w:left="18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Sarah Rubenstein</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40"/>
          </w:cols>
          <w:pgMar w:left="1440" w:top="904" w:right="12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CSC 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 its individual capacity, but solely 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[Back of Note]</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5.750% Senior Notes due 2034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Global Legend, if applicable pursuant to the provisions of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Private Placement Legend, if applicable pursuant to the provisions of the Indenture]</w:t>
      </w:r>
      <w:r>
        <w:rPr>
          <w:rFonts w:ascii="Times New Roman" w:cs="Times New Roman" w:eastAsia="Times New Roman" w:hAnsi="Times New Roman"/>
          <w:sz w:val="29"/>
          <w:szCs w:val="29"/>
          <w:i w:val="1"/>
          <w:iCs w:val="1"/>
          <w:color w:val="auto"/>
          <w:vertAlign w:val="superscript"/>
        </w:rPr>
        <w:t>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Original Issue Discount Legend, if applicable pursuant to the provisions of the Indenture]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3"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2"/>
          <w:szCs w:val="12"/>
          <w:i w:val="1"/>
          <w:iCs w:val="1"/>
          <w:color w:val="auto"/>
        </w:rPr>
        <w:t>nterest</w:t>
      </w:r>
      <w:r>
        <w:rPr>
          <w:rFonts w:ascii="Times New Roman" w:cs="Times New Roman" w:eastAsia="Times New Roman" w:hAnsi="Times New Roman"/>
          <w:sz w:val="18"/>
          <w:szCs w:val="18"/>
          <w:color w:val="auto"/>
        </w:rPr>
        <w:t>. Clearway Energy Operating LLC,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promises to pay interest on the principal amount of this Note at 5.750% per annum from ________________, ___ until maturity. The Company shall pay interest semi-annually</w:t>
      </w: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in arrears on January 15 and July 15 of each year, or if any such day is not a Business Day, on the next succeeding Business Day (each, an “</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first Interest Payment Date shall be _________. Interest will be computed on the basis of a 360-day year of twelve 30-day months.</w:t>
      </w:r>
    </w:p>
    <w:p>
      <w:pPr>
        <w:spacing w:after="0" w:line="188"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2"/>
          <w:szCs w:val="12"/>
          <w:i w:val="1"/>
          <w:iCs w:val="1"/>
          <w:color w:val="auto"/>
        </w:rPr>
        <w:t>ethod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2"/>
          <w:szCs w:val="12"/>
          <w:i w:val="1"/>
          <w:iCs w:val="1"/>
          <w:color w:val="auto"/>
        </w:rPr>
        <w:t>ayment</w:t>
      </w:r>
      <w:r>
        <w:rPr>
          <w:rFonts w:ascii="Times New Roman" w:cs="Times New Roman" w:eastAsia="Times New Roman" w:hAnsi="Times New Roman"/>
          <w:sz w:val="18"/>
          <w:szCs w:val="18"/>
          <w:color w:val="auto"/>
        </w:rPr>
        <w:t xml:space="preserve">. The Company shall pay interest on the Notes (except defaulted interest) to the Persons who are registered Holders of Notes at the close of business on the January 1 and July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8"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2"/>
          <w:szCs w:val="12"/>
          <w:i w:val="1"/>
          <w:iCs w:val="1"/>
          <w:color w:val="auto"/>
        </w:rPr>
        <w:t>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gent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2"/>
          <w:szCs w:val="12"/>
          <w:i w:val="1"/>
          <w:iCs w:val="1"/>
          <w:color w:val="auto"/>
        </w:rPr>
        <w:t>egistrar</w:t>
      </w:r>
      <w:r>
        <w:rPr>
          <w:rFonts w:ascii="Times New Roman" w:cs="Times New Roman" w:eastAsia="Times New Roman" w:hAnsi="Times New Roman"/>
          <w:sz w:val="18"/>
          <w:szCs w:val="18"/>
          <w:color w:val="auto"/>
        </w:rPr>
        <w:t>. Initially, CSC Delaware Trust Company, the Trustee under the Indenture, will act as Paying Agent and Registrar. The Company may change the Paying Agent or Registrar without prior notice to the Holders of the Notes. The Company or any of its Subsidiaries or parent entities may act as Paying Agent or Registrar.</w:t>
      </w:r>
    </w:p>
    <w:p>
      <w:pPr>
        <w:spacing w:after="0" w:line="17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2"/>
          <w:szCs w:val="12"/>
          <w:i w:val="1"/>
          <w:iCs w:val="1"/>
          <w:color w:val="auto"/>
        </w:rPr>
        <w:t>ndenture</w:t>
      </w:r>
      <w:r>
        <w:rPr>
          <w:rFonts w:ascii="Times New Roman" w:cs="Times New Roman" w:eastAsia="Times New Roman" w:hAnsi="Times New Roman"/>
          <w:sz w:val="18"/>
          <w:szCs w:val="18"/>
          <w:color w:val="auto"/>
        </w:rPr>
        <w:t>. The Company issued the Notes under an Indenture dated as of January 13, 2026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the Company,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7830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0"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color w:val="auto"/>
        </w:rPr>
        <w:t>This Note will be deemed to be identified by CUSIP No. 18539U AJ4 from and after such time when the Company delivers, pursuant to Section 2.06(g)</w:t>
      </w:r>
    </w:p>
    <w:p>
      <w:pPr>
        <w:spacing w:after="0" w:line="1" w:lineRule="exact"/>
        <w:rPr>
          <w:rFonts w:ascii="Times New Roman" w:cs="Times New Roman" w:eastAsia="Times New Roman" w:hAnsi="Times New Roman"/>
          <w:sz w:val="30"/>
          <w:szCs w:val="30"/>
          <w:i w:val="1"/>
          <w:iCs w:val="1"/>
          <w:color w:val="auto"/>
          <w:vertAlign w:val="superscript"/>
        </w:rPr>
      </w:pPr>
    </w:p>
    <w:p>
      <w:pPr>
        <w:ind w:right="60"/>
        <w:spacing w:after="0" w:line="258" w:lineRule="auto"/>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color w:val="auto"/>
        </w:rPr>
        <w:t>(1)(C) of the within-mentioned Indenture, an Officer’s Certificate to the Trustee certifying as to the occurrence of the conditions for the deemed removal of the Private Placement Legend affixed to this Note.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64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O</w:t>
      </w:r>
      <w:r>
        <w:rPr>
          <w:rFonts w:ascii="Times New Roman" w:cs="Times New Roman" w:eastAsia="Times New Roman" w:hAnsi="Times New Roman"/>
          <w:sz w:val="12"/>
          <w:szCs w:val="12"/>
          <w:i w:val="1"/>
          <w:iCs w:val="1"/>
          <w:color w:val="auto"/>
        </w:rPr>
        <w:t>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2"/>
          <w:szCs w:val="12"/>
          <w:i w:val="1"/>
          <w:iCs w:val="1"/>
          <w:color w:val="auto"/>
        </w:rPr>
        <w:t>edemption</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At any time prior to January 15, 2029, the Company may on any one or more occasions redeem up to 40% of the aggregate principal amount of the Notes, upon not less than 10 nor more than 60 days’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3" w:lineRule="exact"/>
        <w:rPr>
          <w:sz w:val="20"/>
          <w:szCs w:val="20"/>
          <w:color w:val="auto"/>
        </w:rPr>
      </w:pPr>
    </w:p>
    <w:p>
      <w:pPr>
        <w:jc w:val="both"/>
        <w:ind w:left="1300" w:right="20" w:firstLine="648"/>
        <w:spacing w:after="0" w:line="266" w:lineRule="auto"/>
        <w:rPr>
          <w:sz w:val="20"/>
          <w:szCs w:val="20"/>
          <w:color w:val="auto"/>
        </w:rPr>
      </w:pPr>
      <w:r>
        <w:rPr>
          <w:rFonts w:ascii="Times New Roman" w:cs="Times New Roman" w:eastAsia="Times New Roman" w:hAnsi="Times New Roman"/>
          <w:sz w:val="18"/>
          <w:szCs w:val="18"/>
          <w:color w:val="auto"/>
        </w:rPr>
        <w:t>(i)            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            the redemption occurs within 180 days of the date of the closing of such equity offering.</w:t>
      </w:r>
    </w:p>
    <w:p>
      <w:pPr>
        <w:spacing w:after="0" w:line="22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(b)                    At any time prior to January 15, 2029,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Except pursuant to the preceding paragraphs, the Notes will not be redeemable at the Company’s option prior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2029.</w:t>
      </w:r>
    </w:p>
    <w:p>
      <w:pPr>
        <w:spacing w:after="0" w:line="20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(d)                    On or after January 15, 2029,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twelve-month period beginning on January 15 of the years indicated below, subject to the rights of Holders on the relevant record date to receive interest on the relevant interest payment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102.875%</w:t>
            </w:r>
          </w:p>
        </w:tc>
      </w:tr>
      <w:tr>
        <w:trPr>
          <w:trHeight w:val="21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101.438%</w:t>
            </w:r>
          </w:p>
        </w:tc>
      </w:tr>
      <w:tr>
        <w:trPr>
          <w:trHeight w:val="216"/>
        </w:trPr>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 and thereafter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Any redemption pursuant to this Section 5 shall be made pursuant to the provisions of Sections 3.01 through 3.06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(f)            The provisions of Article 3 of the Indenture do not prohibit the Company or its Affiliates from acquiring the Notes in market transactions by means other than a redemption, whether pursuant to a tender offer or otherwise.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2"/>
          <w:szCs w:val="12"/>
          <w:i w:val="1"/>
          <w:iCs w:val="1"/>
          <w:color w:val="auto"/>
        </w:rPr>
        <w:t>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2"/>
          <w:szCs w:val="12"/>
          <w:i w:val="1"/>
          <w:iCs w:val="1"/>
          <w:color w:val="auto"/>
        </w:rPr>
        <w:t>edemption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is not required to make mandatory redemption or sinking fund payments with respect to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0" w:lineRule="exact"/>
        <w:rPr>
          <w:sz w:val="20"/>
          <w:szCs w:val="20"/>
          <w:color w:val="auto"/>
        </w:rPr>
      </w:pPr>
    </w:p>
    <w:p>
      <w:pPr>
        <w:spacing w:after="0" w:line="2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980" w:top="902" w:right="319" w:bottom="1440" w:gutter="0" w:footer="0" w:header="0"/>
        </w:sectPr>
      </w:pPr>
    </w:p>
    <w:bookmarkStart w:id="87" w:name="page88"/>
    <w:bookmarkEnd w:id="87"/>
    <w:p>
      <w:pPr>
        <w:ind w:left="64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2"/>
          <w:szCs w:val="12"/>
          <w:i w:val="1"/>
          <w:iCs w:val="1"/>
          <w:color w:val="auto"/>
        </w:rPr>
        <w:t>epurchase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t>
      </w:r>
      <w:r>
        <w:rPr>
          <w:rFonts w:ascii="Times New Roman" w:cs="Times New Roman" w:eastAsia="Times New Roman" w:hAnsi="Times New Roman"/>
          <w:sz w:val="12"/>
          <w:szCs w:val="12"/>
          <w:i w:val="1"/>
          <w:iCs w:val="1"/>
          <w:color w:val="auto"/>
        </w:rPr>
        <w:t>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2"/>
          <w:szCs w:val="12"/>
          <w:i w:val="1"/>
          <w:iCs w:val="1"/>
          <w:color w:val="auto"/>
        </w:rPr>
        <w:t>older</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Upon the occurrence of a Change of Control Triggering Event, the Company will make an offer (a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to each Holder to repurchase all or any part (equal to $2,000 or an integral multiple of $1,000 in excess of $2,000) of that Holder’s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Within 30 days following any Change of Control, the Company will mail (or deliver electronically) a notice to each Holder setting forth the procedures governing the Change of Control Offer as required by the Indenture.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2"/>
          <w:szCs w:val="12"/>
          <w:i w:val="1"/>
          <w:iCs w:val="1"/>
          <w:color w:val="auto"/>
        </w:rPr>
        <w:t>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2"/>
          <w:szCs w:val="12"/>
          <w:i w:val="1"/>
          <w:iCs w:val="1"/>
          <w:color w:val="auto"/>
        </w:rPr>
        <w:t>edemption</w:t>
      </w:r>
      <w:r>
        <w:rPr>
          <w:rFonts w:ascii="Times New Roman" w:cs="Times New Roman" w:eastAsia="Times New Roman" w:hAnsi="Times New Roman"/>
          <w:sz w:val="18"/>
          <w:szCs w:val="18"/>
          <w:color w:val="auto"/>
        </w:rPr>
        <w:t>. At least 10 days but not more than 60 days before a redemption date, the Company shall mail or cause to be mailed, by first class mail, or deliver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2"/>
          <w:szCs w:val="12"/>
          <w:i w:val="1"/>
          <w:iCs w:val="1"/>
          <w:color w:val="auto"/>
        </w:rPr>
        <w:t>enominations</w:t>
      </w:r>
      <w:r>
        <w:rPr>
          <w:rFonts w:ascii="Times New Roman" w:cs="Times New Roman" w:eastAsia="Times New Roman" w:hAnsi="Times New Roman"/>
          <w:sz w:val="18"/>
          <w:szCs w:val="18"/>
          <w:i w:val="1"/>
          <w:iCs w:val="1"/>
          <w:color w:val="auto"/>
        </w:rPr>
        <w:t>, T</w:t>
      </w:r>
      <w:r>
        <w:rPr>
          <w:rFonts w:ascii="Times New Roman" w:cs="Times New Roman" w:eastAsia="Times New Roman" w:hAnsi="Times New Roman"/>
          <w:sz w:val="12"/>
          <w:szCs w:val="12"/>
          <w:i w:val="1"/>
          <w:iCs w:val="1"/>
          <w:color w:val="auto"/>
        </w:rPr>
        <w:t>ransfer</w:t>
      </w:r>
      <w:r>
        <w:rPr>
          <w:rFonts w:ascii="Times New Roman" w:cs="Times New Roman" w:eastAsia="Times New Roman" w:hAnsi="Times New Roman"/>
          <w:sz w:val="18"/>
          <w:szCs w:val="18"/>
          <w:i w:val="1"/>
          <w:iCs w:val="1"/>
          <w:color w:val="auto"/>
        </w:rPr>
        <w:t>, E</w:t>
      </w:r>
      <w:r>
        <w:rPr>
          <w:rFonts w:ascii="Times New Roman" w:cs="Times New Roman" w:eastAsia="Times New Roman" w:hAnsi="Times New Roman"/>
          <w:sz w:val="12"/>
          <w:szCs w:val="12"/>
          <w:i w:val="1"/>
          <w:iCs w:val="1"/>
          <w:color w:val="auto"/>
        </w:rPr>
        <w:t>xchange</w:t>
      </w:r>
      <w:r>
        <w:rPr>
          <w:rFonts w:ascii="Times New Roman" w:cs="Times New Roman" w:eastAsia="Times New Roman" w:hAnsi="Times New Roman"/>
          <w:sz w:val="18"/>
          <w:szCs w:val="18"/>
          <w:color w:val="auto"/>
        </w:rPr>
        <w:t>.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10 days before a selection of Notes to be redeemed or during the period between a record date and the next succeeding Interest Payment Date.</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2"/>
          <w:szCs w:val="12"/>
          <w:i w:val="1"/>
          <w:iCs w:val="1"/>
          <w:color w:val="auto"/>
        </w:rPr>
        <w:t>ersons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2"/>
          <w:szCs w:val="12"/>
          <w:i w:val="1"/>
          <w:iCs w:val="1"/>
          <w:color w:val="auto"/>
        </w:rPr>
        <w:t>eemed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t>
      </w:r>
      <w:r>
        <w:rPr>
          <w:rFonts w:ascii="Times New Roman" w:cs="Times New Roman" w:eastAsia="Times New Roman" w:hAnsi="Times New Roman"/>
          <w:sz w:val="12"/>
          <w:szCs w:val="12"/>
          <w:i w:val="1"/>
          <w:iCs w:val="1"/>
          <w:color w:val="auto"/>
        </w:rPr>
        <w:t>wners</w:t>
      </w:r>
      <w:r>
        <w:rPr>
          <w:rFonts w:ascii="Times New Roman" w:cs="Times New Roman" w:eastAsia="Times New Roman" w:hAnsi="Times New Roman"/>
          <w:sz w:val="18"/>
          <w:szCs w:val="18"/>
          <w:color w:val="auto"/>
        </w:rPr>
        <w:t>. The registered Holder of a Note may be treated as the owner of it for all purposes. Only registered Holders have rights under the Indenture.</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mendment</w:t>
      </w:r>
      <w:r>
        <w:rPr>
          <w:rFonts w:ascii="Times New Roman" w:cs="Times New Roman" w:eastAsia="Times New Roman" w:hAnsi="Times New Roman"/>
          <w:sz w:val="18"/>
          <w:szCs w:val="18"/>
          <w:i w:val="1"/>
          <w:iCs w:val="1"/>
          <w:color w:val="auto"/>
        </w:rPr>
        <w:t>, S</w:t>
      </w:r>
      <w:r>
        <w:rPr>
          <w:rFonts w:ascii="Times New Roman" w:cs="Times New Roman" w:eastAsia="Times New Roman" w:hAnsi="Times New Roman"/>
          <w:sz w:val="12"/>
          <w:szCs w:val="12"/>
          <w:i w:val="1"/>
          <w:iCs w:val="1"/>
          <w:color w:val="auto"/>
        </w:rPr>
        <w:t>upplement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w:t>
      </w:r>
      <w:r>
        <w:rPr>
          <w:rFonts w:ascii="Times New Roman" w:cs="Times New Roman" w:eastAsia="Times New Roman" w:hAnsi="Times New Roman"/>
          <w:sz w:val="12"/>
          <w:szCs w:val="12"/>
          <w:i w:val="1"/>
          <w:iCs w:val="1"/>
          <w:color w:val="auto"/>
        </w:rPr>
        <w:t>aiver</w:t>
      </w:r>
      <w:r>
        <w:rPr>
          <w:rFonts w:ascii="Times New Roman" w:cs="Times New Roman" w:eastAsia="Times New Roman" w:hAnsi="Times New Roman"/>
          <w:sz w:val="18"/>
          <w:szCs w:val="18"/>
          <w:color w:val="auto"/>
        </w:rPr>
        <w:t>. Subject to certain exceptions, the Indenture, the Notes or the Guarantees may be amended or 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 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 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 such Holder, (v) [Reserved],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 (ix) to allow any Guarantor to execute a supplemental indenture and/or a Guarantee with respect to the Notes.</w:t>
      </w:r>
    </w:p>
    <w:p>
      <w:pPr>
        <w:spacing w:after="0" w:line="200" w:lineRule="exact"/>
        <w:rPr>
          <w:sz w:val="20"/>
          <w:szCs w:val="20"/>
          <w:color w:val="auto"/>
        </w:rPr>
      </w:pPr>
    </w:p>
    <w:p>
      <w:pPr>
        <w:spacing w:after="0" w:line="20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88" w:name="page89"/>
    <w:bookmarkEnd w:id="88"/>
    <w:p>
      <w:pPr>
        <w:ind w:left="644"/>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2"/>
          <w:szCs w:val="12"/>
          <w:i w:val="1"/>
          <w:iCs w:val="1"/>
          <w:color w:val="auto"/>
        </w:rPr>
        <w:t>efaults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2"/>
          <w:szCs w:val="12"/>
          <w:i w:val="1"/>
          <w:iCs w:val="1"/>
          <w:color w:val="auto"/>
        </w:rPr>
        <w:t>emedies</w:t>
      </w:r>
      <w:r>
        <w:rPr>
          <w:rFonts w:ascii="Times New Roman" w:cs="Times New Roman" w:eastAsia="Times New Roman" w:hAnsi="Times New Roman"/>
          <w:sz w:val="18"/>
          <w:szCs w:val="18"/>
          <w:color w:val="auto"/>
        </w:rPr>
        <w:t>. Events of Default include: (i) default for 30 days in the payment when due of interest on, the Notes;</w:t>
      </w:r>
    </w:p>
    <w:p>
      <w:pPr>
        <w:spacing w:after="0" w:line="29" w:lineRule="exact"/>
        <w:rPr>
          <w:sz w:val="20"/>
          <w:szCs w:val="20"/>
          <w:color w:val="auto"/>
        </w:rPr>
      </w:pPr>
    </w:p>
    <w:p>
      <w:pPr>
        <w:jc w:val="both"/>
        <w:ind w:left="4" w:hanging="4"/>
        <w:spacing w:after="0" w:line="250" w:lineRule="auto"/>
        <w:tabs>
          <w:tab w:leader="none" w:pos="2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on, if any, the Notes; (iii) failure by the Company or any Guarantor for 60 days (or, in the case of any failure to comply with Section 4.03 of the Indenture, 120 days) after written notice to the Company by the Trustee or the Holders of at least 30% in aggregate principal amount of the Notes then outstanding to comply with any of the agreements in the Indenture (other than a default referred to in clause (1) or (2)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w:t>
      </w:r>
    </w:p>
    <w:p>
      <w:pPr>
        <w:spacing w:after="0" w:line="3"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 (2) $150.0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(iv) shall not apply</w:t>
      </w:r>
    </w:p>
    <w:p>
      <w:pPr>
        <w:spacing w:after="0" w:line="1"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secured Indebtedness that becomes due as a result of the voluntary sale or transfer of the property or assets securing such Indebtedness to a Person that is not an Affiliate of the Company and (y) to the extent constituting Indebtedness, any indemnification, guarantee or other credit support obligations of the Company or any of the Guarantors in connection with any Tax Equity Financing entered into by a non-Subsidiary Guarantor; (v) except as permitted by the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 (vi) the Company or any Guarantor of the Company that, if a Subsidiary of the Company, would constitute a Significant Subsidiary or any group of Guarantors of the Company that, if Subsidiaries of the Company, taken together, would constitute a Significant Subsidiary:</w:t>
      </w:r>
    </w:p>
    <w:p>
      <w:pPr>
        <w:spacing w:after="0" w:line="3" w:lineRule="exact"/>
        <w:rPr>
          <w:rFonts w:ascii="Times New Roman" w:cs="Times New Roman" w:eastAsia="Times New Roman" w:hAnsi="Times New Roman"/>
          <w:sz w:val="18"/>
          <w:szCs w:val="18"/>
          <w:color w:val="auto"/>
        </w:rPr>
      </w:pPr>
    </w:p>
    <w:p>
      <w:pPr>
        <w:jc w:val="both"/>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 they become due; or (vii) a court of competent jurisdiction enters an order or decree under any Bankruptcy Law that: (A) is for relief against the Company or any Guarantor of the Company that, if a Subsidiary of the Company, would constitute a Significant Subsidiary or any group of Guarantors of the Company that, if Subsidiaries of the Company, taken together, would constitute a Significant Subsidiary;</w:t>
      </w:r>
    </w:p>
    <w:p>
      <w:pPr>
        <w:spacing w:after="0" w:line="1" w:lineRule="exact"/>
        <w:rPr>
          <w:rFonts w:ascii="Times New Roman" w:cs="Times New Roman" w:eastAsia="Times New Roman" w:hAnsi="Times New Roman"/>
          <w:sz w:val="18"/>
          <w:szCs w:val="18"/>
          <w:color w:val="auto"/>
        </w:rPr>
      </w:pPr>
    </w:p>
    <w:p>
      <w:pPr>
        <w:jc w:val="both"/>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appoints a custodian of the Company or any Guarantor of the Company that, if a Subsidiary of the 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spacing w:after="0" w:line="200" w:lineRule="exact"/>
        <w:rPr>
          <w:sz w:val="20"/>
          <w:szCs w:val="20"/>
          <w:color w:val="auto"/>
        </w:rPr>
      </w:pPr>
    </w:p>
    <w:p>
      <w:pPr>
        <w:spacing w:after="0" w:line="206"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89" w:name="page90"/>
    <w:bookmarkEnd w:id="89"/>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2"/>
          <w:szCs w:val="12"/>
          <w:i w:val="1"/>
          <w:iCs w:val="1"/>
          <w:color w:val="auto"/>
        </w:rPr>
        <w:t>rustee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2"/>
          <w:szCs w:val="12"/>
          <w:i w:val="1"/>
          <w:iCs w:val="1"/>
          <w:color w:val="auto"/>
        </w:rPr>
        <w:t>ealings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2"/>
          <w:szCs w:val="12"/>
          <w:i w:val="1"/>
          <w:iCs w:val="1"/>
          <w:color w:val="auto"/>
        </w:rPr>
        <w:t>ompany</w:t>
      </w:r>
      <w:r>
        <w:rPr>
          <w:rFonts w:ascii="Times New Roman" w:cs="Times New Roman" w:eastAsia="Times New Roman" w:hAnsi="Times New Roman"/>
          <w:sz w:val="18"/>
          <w:szCs w:val="18"/>
          <w:color w:val="auto"/>
        </w:rPr>
        <w:t>. The Trustee, in its individual or any other capacity, may make loans to, accept deposits from, and 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spacing w:after="0" w:line="18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2"/>
          <w:szCs w:val="12"/>
          <w:i w:val="1"/>
          <w:i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2"/>
          <w:szCs w:val="12"/>
          <w:i w:val="1"/>
          <w:iCs w:val="1"/>
          <w:color w:val="auto"/>
        </w:rPr>
        <w:t>ecourse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t>
      </w:r>
      <w:r>
        <w:rPr>
          <w:rFonts w:ascii="Times New Roman" w:cs="Times New Roman" w:eastAsia="Times New Roman" w:hAnsi="Times New Roman"/>
          <w:sz w:val="12"/>
          <w:szCs w:val="12"/>
          <w:i w:val="1"/>
          <w:iCs w:val="1"/>
          <w:color w:val="auto"/>
        </w:rPr>
        <w:t>thers</w:t>
      </w:r>
      <w:r>
        <w:rPr>
          <w:rFonts w:ascii="Times New Roman" w:cs="Times New Roman" w:eastAsia="Times New Roman" w:hAnsi="Times New Roman"/>
          <w:sz w:val="18"/>
          <w:szCs w:val="18"/>
          <w:color w:val="auto"/>
        </w:rPr>
        <w:t>. No director, officer, employee, incorporator or stockholder of the Company or any Guarantor, as 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uthentication</w:t>
      </w:r>
      <w:r>
        <w:rPr>
          <w:rFonts w:ascii="Times New Roman" w:cs="Times New Roman" w:eastAsia="Times New Roman" w:hAnsi="Times New Roman"/>
          <w:sz w:val="18"/>
          <w:szCs w:val="18"/>
          <w:color w:val="auto"/>
        </w:rPr>
        <w:t>. This Note will not be valid until authenticated by the manual signature of the Trustee or an authenticating agent.</w:t>
      </w:r>
    </w:p>
    <w:p>
      <w:pPr>
        <w:spacing w:after="0" w:line="225"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bbreviations</w:t>
      </w:r>
      <w:r>
        <w:rPr>
          <w:rFonts w:ascii="Times New Roman" w:cs="Times New Roman" w:eastAsia="Times New Roman" w:hAnsi="Times New Roman"/>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7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CUSIP N</w:t>
      </w:r>
      <w:r>
        <w:rPr>
          <w:rFonts w:ascii="Times New Roman" w:cs="Times New Roman" w:eastAsia="Times New Roman" w:hAnsi="Times New Roman"/>
          <w:sz w:val="12"/>
          <w:szCs w:val="12"/>
          <w:i w:val="1"/>
          <w:iCs w:val="1"/>
          <w:color w:val="auto"/>
        </w:rPr>
        <w:t>umbers</w:t>
      </w:r>
      <w:r>
        <w:rPr>
          <w:rFonts w:ascii="Times New Roman" w:cs="Times New Roman" w:eastAsia="Times New Roman" w:hAnsi="Times New Roman"/>
          <w:sz w:val="18"/>
          <w:szCs w:val="18"/>
          <w:color w:val="auto"/>
        </w:rPr>
        <w:t>.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THE INTERNAL LAW OF THE STATE OF NEW YORK WILL GOVERN AND BE USED TO CONSTRUE THE INDENTURE, THIS NOTE AND THE GUARANTEES WITHOUT GIVING EFFECT TO APPLICABLE PRINCIPLES OF CONFLICTS OF LAW TO THE EXTENT THAT THE APPLICATION OF THE LAWS OF ANOTHER JURISDICTION WOULD BE REQUIRED THEREBY.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furnish to any Holder upon written request and without charge a copy of the Indenture. Requests may be made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ssignment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(we) assign and transfer this Note to: ___________________________________________________________________________</w:t>
      </w:r>
    </w:p>
    <w:p>
      <w:pPr>
        <w:spacing w:after="0" w:line="27" w:lineRule="exact"/>
        <w:rPr>
          <w:rFonts w:ascii="Times New Roman" w:cs="Times New Roman" w:eastAsia="Times New Roman" w:hAnsi="Times New Roman"/>
          <w:sz w:val="18"/>
          <w:szCs w:val="18"/>
          <w:color w:val="auto"/>
        </w:rPr>
      </w:pPr>
    </w:p>
    <w:p>
      <w:pPr>
        <w:ind w:left="4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assignee’s legal name)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___________________________________________________________________________to transfer this Note on the books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The agent may substitute another to act for him.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25"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7"/>
          <w:szCs w:val="17"/>
          <w:color w:val="auto"/>
        </w:rPr>
        <w:t>Your Signature: ___________________________________</w:t>
      </w:r>
    </w:p>
    <w:p>
      <w:pPr>
        <w:spacing w:after="0" w:line="3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(Sign exactly as your name appears on the face of this Note)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Company pursuant to Section 4.09 of the Indenture, check here: </w:t>
      </w:r>
      <w:r>
        <w:rPr>
          <w:rFonts w:ascii="MS PGothic" w:cs="MS PGothic" w:eastAsia="MS PGothic" w:hAnsi="MS PGothic"/>
          <w:sz w:val="18"/>
          <w:szCs w:val="18"/>
          <w:color w:val="auto"/>
        </w:rPr>
        <w:t>☐</w:t>
      </w:r>
    </w:p>
    <w:p>
      <w:pPr>
        <w:spacing w:after="0" w:line="26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4.09 of the Indenture, state the amount you elect to have purchased:</w:t>
      </w:r>
    </w:p>
    <w:p>
      <w:pPr>
        <w:spacing w:after="0" w:line="16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25"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7"/>
          <w:szCs w:val="17"/>
          <w:color w:val="auto"/>
        </w:rPr>
        <w:t>Your Signature: ___________________________________</w:t>
      </w:r>
    </w:p>
    <w:p>
      <w:pPr>
        <w:spacing w:after="0" w:line="3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(Sign exactly as your name appears on the face of this Note)</w:t>
      </w:r>
    </w:p>
    <w:p>
      <w:pPr>
        <w:spacing w:after="0" w:line="21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Tax Identification No.: ______________________________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Participant in a recognized Signature Guarantee Medallion Program (or other signature guarantor acceptable to the Trustee).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nterests in the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Amount of</w:t>
            </w:r>
          </w:p>
        </w:tc>
        <w:tc>
          <w:tcPr>
            <w:tcW w:w="540" w:type="dxa"/>
            <w:vAlign w:val="bottom"/>
          </w:tcPr>
          <w:p>
            <w:pPr>
              <w:spacing w:after="0"/>
              <w:rPr>
                <w:sz w:val="18"/>
                <w:szCs w:val="18"/>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Amount of</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decrease in</w:t>
            </w:r>
          </w:p>
        </w:tc>
        <w:tc>
          <w:tcPr>
            <w:tcW w:w="540" w:type="dxa"/>
            <w:vAlign w:val="bottom"/>
          </w:tcPr>
          <w:p>
            <w:pPr>
              <w:spacing w:after="0"/>
              <w:rPr>
                <w:sz w:val="18"/>
                <w:szCs w:val="18"/>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increase in</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of this Global Note</w:t>
            </w:r>
          </w:p>
        </w:tc>
        <w:tc>
          <w:tcPr>
            <w:tcW w:w="17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1280" w:type="dxa"/>
            <w:vAlign w:val="bottom"/>
          </w:tcPr>
          <w:p>
            <w:pPr>
              <w:spacing w:after="0"/>
              <w:rPr>
                <w:sz w:val="18"/>
                <w:szCs w:val="18"/>
                <w:color w:val="auto"/>
              </w:rPr>
            </w:pPr>
          </w:p>
        </w:tc>
        <w:tc>
          <w:tcPr>
            <w:tcW w:w="272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following such</w:t>
            </w:r>
          </w:p>
        </w:tc>
        <w:tc>
          <w:tcPr>
            <w:tcW w:w="17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authorized officer</w:t>
            </w: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3"/>
              </w:rPr>
              <w:t>of</w:t>
            </w:r>
          </w:p>
        </w:tc>
        <w:tc>
          <w:tcPr>
            <w:tcW w:w="54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of</w:t>
            </w:r>
          </w:p>
        </w:tc>
        <w:tc>
          <w:tcPr>
            <w:tcW w:w="700" w:type="dxa"/>
            <w:vAlign w:val="bottom"/>
          </w:tcPr>
          <w:p>
            <w:pPr>
              <w:spacing w:after="0"/>
              <w:rPr>
                <w:sz w:val="18"/>
                <w:szCs w:val="18"/>
                <w:color w:val="auto"/>
              </w:rPr>
            </w:pPr>
          </w:p>
        </w:tc>
        <w:tc>
          <w:tcPr>
            <w:tcW w:w="15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decrease</w:t>
            </w:r>
          </w:p>
        </w:tc>
        <w:tc>
          <w:tcPr>
            <w:tcW w:w="17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8"/>
              </w:rPr>
              <w:t>of Trustee or</w:t>
            </w:r>
          </w:p>
        </w:tc>
      </w:tr>
      <w:tr>
        <w:trPr>
          <w:trHeight w:val="194"/>
        </w:trPr>
        <w:tc>
          <w:tcPr>
            <w:tcW w:w="1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7"/>
              </w:rPr>
              <w:t>Date of Exchange</w:t>
            </w:r>
          </w:p>
        </w:tc>
        <w:tc>
          <w:tcPr>
            <w:tcW w:w="1020" w:type="dxa"/>
            <w:vAlign w:val="bottom"/>
          </w:tcPr>
          <w:p>
            <w:pPr>
              <w:spacing w:after="0"/>
              <w:rPr>
                <w:sz w:val="16"/>
                <w:szCs w:val="16"/>
                <w:color w:val="auto"/>
              </w:rPr>
            </w:pPr>
          </w:p>
        </w:tc>
        <w:tc>
          <w:tcPr>
            <w:tcW w:w="1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this Global Note</w:t>
            </w:r>
          </w:p>
        </w:tc>
        <w:tc>
          <w:tcPr>
            <w:tcW w:w="22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this Global Note</w:t>
            </w:r>
          </w:p>
        </w:tc>
        <w:tc>
          <w:tcPr>
            <w:tcW w:w="22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rPr>
              <w:t>(or increase)</w:t>
            </w:r>
          </w:p>
        </w:tc>
        <w:tc>
          <w:tcPr>
            <w:tcW w:w="760" w:type="dxa"/>
            <w:vAlign w:val="bottom"/>
          </w:tcPr>
          <w:p>
            <w:pPr>
              <w:spacing w:after="0"/>
              <w:rPr>
                <w:sz w:val="16"/>
                <w:szCs w:val="16"/>
                <w:color w:val="auto"/>
              </w:rPr>
            </w:pPr>
          </w:p>
        </w:tc>
        <w:tc>
          <w:tcPr>
            <w:tcW w:w="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Custodian</w:t>
            </w: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5440" w:right="5420" w:hanging="5432"/>
        <w:spacing w:after="0" w:line="785" w:lineRule="auto"/>
        <w:tabs>
          <w:tab w:leader="none" w:pos="3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This schedule should be included only if the Note is issued in global form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CSC 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5.750% Senior Notes due 2034</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January 13, 2026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Clearway Energy Operating LLC,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party thereto and CSC Delaware Trust Company, as trustee. Capitalized terms used but not defined herein shall have the meanings given to them in the Indenture.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i w:val="1"/>
          <w:iCs w:val="1"/>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$___________ in such Note[s] or interests (the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to ___________________________ (the “</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as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Annex A hereto. In connection with the Transfer, the Transferor hereby certifies that: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84" w:lineRule="exact"/>
        <w:rPr>
          <w:sz w:val="20"/>
          <w:szCs w:val="20"/>
          <w:color w:val="auto"/>
        </w:rPr>
      </w:pPr>
    </w:p>
    <w:p>
      <w:pPr>
        <w:jc w:val="both"/>
        <w:ind w:firstLine="656"/>
        <w:spacing w:after="0" w:line="223" w:lineRule="exact"/>
        <w:tabs>
          <w:tab w:leader="none" w:pos="841"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  Check if Transferee will take delivery of a beneficial interest in the 144A Global Note or a Restricted Definitive Note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Rule 144A</w:t>
      </w:r>
      <w:r>
        <w:rPr>
          <w:rFonts w:ascii="Times New Roman" w:cs="Times New Roman" w:eastAsia="Times New Roman" w:hAnsi="Times New Roman"/>
          <w:sz w:val="18"/>
          <w:szCs w:val="18"/>
          <w:color w:val="auto"/>
        </w:rPr>
        <w:t>. The Transfer is being effected pursuant to and in accordance with Rule 144A under the Securities Act of 1933, as amended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and, accordingly, the Transferor hereby further certifies that the beneficial interest or Definitive Note is being transferred to a Person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57" w:lineRule="exact"/>
        <w:rPr>
          <w:rFonts w:ascii="Times New Roman" w:cs="Times New Roman" w:eastAsia="Times New Roman" w:hAnsi="Times New Roman"/>
          <w:sz w:val="18"/>
          <w:szCs w:val="18"/>
          <w:color w:val="auto"/>
        </w:rPr>
      </w:pPr>
    </w:p>
    <w:p>
      <w:pPr>
        <w:jc w:val="both"/>
        <w:ind w:firstLine="656"/>
        <w:spacing w:after="0" w:line="225" w:lineRule="exact"/>
        <w:tabs>
          <w:tab w:leader="none" w:pos="855"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Regulation S Global Note or a Restricted Definitive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pursuant to Regulation S</w:t>
      </w:r>
      <w:r>
        <w:rPr>
          <w:rFonts w:ascii="Times New Roman" w:cs="Times New Roman" w:eastAsia="Times New Roman" w:hAnsi="Times New Roman"/>
          <w:sz w:val="18"/>
          <w:szCs w:val="18"/>
          <w:color w:val="auto"/>
        </w:rPr>
        <w:t>. The Transfer is being effected pursuant to and in accordance with Rule 903 or Rule 904 under the Securities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right="20" w:firstLine="656"/>
        <w:spacing w:after="0" w:line="228" w:lineRule="exact"/>
        <w:tabs>
          <w:tab w:leader="none" w:pos="841" w:val="left"/>
        </w:tabs>
        <w:numPr>
          <w:ilvl w:val="0"/>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Check and complete if Transferee will take delivery of a beneficial interest in the IAI Global Note or a Restricted Definitive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pursuant to any provision of the Securities Act other than Rule 144A or Regulation S</w:t>
      </w:r>
      <w:r>
        <w:rPr>
          <w:rFonts w:ascii="Times New Roman" w:cs="Times New Roman" w:eastAsia="Times New Roman" w:hAnsi="Times New Roman"/>
          <w:sz w:val="18"/>
          <w:szCs w:val="18"/>
          <w:color w:val="auto"/>
        </w:rPr>
        <w:t>. The Transfer is being effected in compliance with the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58"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and in accordance with Rule 144 under the Securities Act;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4"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Company or a subsidiary thereof;</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4" w:lineRule="exact"/>
        <w:rPr>
          <w:sz w:val="20"/>
          <w:szCs w:val="20"/>
          <w:color w:val="auto"/>
        </w:rPr>
      </w:pPr>
    </w:p>
    <w:p>
      <w:pPr>
        <w:jc w:val="both"/>
        <w:ind w:left="660" w:firstLine="648"/>
        <w:spacing w:after="0" w:line="245" w:lineRule="exact"/>
        <w:rPr>
          <w:sz w:val="20"/>
          <w:szCs w:val="20"/>
          <w:color w:val="auto"/>
        </w:rPr>
      </w:pPr>
      <w:r>
        <w:rPr>
          <w:rFonts w:ascii="Times New Roman" w:cs="Times New Roman" w:eastAsia="Times New Roman" w:hAnsi="Times New Roman"/>
          <w:sz w:val="18"/>
          <w:szCs w:val="18"/>
          <w:color w:val="auto"/>
        </w:rPr>
        <w:t>(c)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4" w:lineRule="exact"/>
        <w:rPr>
          <w:sz w:val="20"/>
          <w:szCs w:val="20"/>
          <w:color w:val="auto"/>
        </w:rPr>
      </w:pPr>
    </w:p>
    <w:p>
      <w:pPr>
        <w:jc w:val="both"/>
        <w:ind w:left="660" w:firstLine="648"/>
        <w:spacing w:after="0" w:line="222" w:lineRule="exact"/>
        <w:rPr>
          <w:sz w:val="20"/>
          <w:szCs w:val="20"/>
          <w:color w:val="auto"/>
        </w:rPr>
      </w:pPr>
      <w:r>
        <w:rPr>
          <w:rFonts w:ascii="Times New Roman" w:cs="Times New Roman" w:eastAsia="Times New Roman" w:hAnsi="Times New Roman"/>
          <w:sz w:val="18"/>
          <w:szCs w:val="18"/>
          <w:color w:val="auto"/>
        </w:rPr>
        <w:t>(d)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5" w:name="page96"/>
    <w:bookmarkEnd w:id="95"/>
    <w:p>
      <w:pPr>
        <w:ind w:left="820" w:hanging="184"/>
        <w:spacing w:after="0" w:line="207" w:lineRule="exact"/>
        <w:tabs>
          <w:tab w:leader="none" w:pos="82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Check if Transferee will take delivery of a beneficial interest in an Unrestricted Global Note or of an Unrestricted Definitive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656"/>
        <w:spacing w:after="0" w:line="226" w:lineRule="exact"/>
        <w:tabs>
          <w:tab w:leader="none" w:pos="945"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Rule 144</w:t>
      </w:r>
      <w:r>
        <w:rPr>
          <w:rFonts w:ascii="Times New Roman" w:cs="Times New Roman" w:eastAsia="Times New Roman" w:hAnsi="Times New Roman"/>
          <w:sz w:val="18"/>
          <w:szCs w:val="18"/>
          <w:color w:val="auto"/>
        </w:rPr>
        <w:t>. (i) The Transfer is being effected pursuant to and in accordance with Rule 144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26" w:lineRule="exact"/>
        <w:tabs>
          <w:tab w:leader="none" w:pos="968"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Regulation S</w:t>
      </w:r>
      <w:r>
        <w:rPr>
          <w:rFonts w:ascii="Times New Roman" w:cs="Times New Roman" w:eastAsia="Times New Roman" w:hAnsi="Times New Roman"/>
          <w:sz w:val="18"/>
          <w:szCs w:val="18"/>
          <w:color w:val="auto"/>
        </w:rPr>
        <w:t>. (i) The Transfer is being effected pursuant to and in accordance with Rule 903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26" w:lineRule="exact"/>
        <w:tabs>
          <w:tab w:leader="none" w:pos="931"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Other Exemption</w:t>
      </w:r>
      <w:r>
        <w:rPr>
          <w:rFonts w:ascii="Times New Roman" w:cs="Times New Roman" w:eastAsia="Times New Roman" w:hAnsi="Times New Roman"/>
          <w:sz w:val="18"/>
          <w:szCs w:val="18"/>
          <w:color w:val="auto"/>
        </w:rPr>
        <w:t>. (i) The Transfer is being effected pursuant to and in compliance with an exemption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5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-127635</wp:posOffset>
            </wp:positionV>
            <wp:extent cx="3480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5"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17145</wp:posOffset>
            </wp:positionV>
            <wp:extent cx="32746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17145</wp:posOffset>
            </wp:positionV>
            <wp:extent cx="27857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864" w:right="339" w:bottom="1440" w:gutter="0" w:footer="0" w:header="0"/>
        </w:sectPr>
      </w:pPr>
    </w:p>
    <w:bookmarkStart w:id="96" w:name="page97"/>
    <w:bookmarkEnd w:id="96"/>
    <w:p>
      <w:pPr>
        <w:ind w:left="3220"/>
        <w:spacing w:after="0"/>
        <w:rPr>
          <w:sz w:val="20"/>
          <w:szCs w:val="20"/>
          <w:color w:val="auto"/>
        </w:rPr>
      </w:pPr>
      <w:r>
        <w:rPr>
          <w:rFonts w:ascii="Times New Roman" w:cs="Times New Roman" w:eastAsia="Times New Roman" w:hAnsi="Times New Roman"/>
          <w:sz w:val="17"/>
          <w:szCs w:val="17"/>
          <w:color w:val="auto"/>
        </w:rPr>
        <w:t>ANNEX A TO CERTIFICATE OF TRANSFER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Transferor owns and proposes to transfer the following:</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[CHECK ONE OF (a) OR (b)]</w:t>
      </w:r>
    </w:p>
    <w:p>
      <w:pPr>
        <w:spacing w:after="0" w:line="225"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96" w:lineRule="exact"/>
        <w:rPr>
          <w:sz w:val="20"/>
          <w:szCs w:val="20"/>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 or</w:t>
      </w:r>
    </w:p>
    <w:p>
      <w:pPr>
        <w:spacing w:after="0" w:line="90" w:lineRule="exact"/>
        <w:rPr>
          <w:sz w:val="20"/>
          <w:szCs w:val="20"/>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 or</w:t>
      </w:r>
    </w:p>
    <w:p>
      <w:pPr>
        <w:spacing w:after="0" w:line="90" w:lineRule="exact"/>
        <w:rPr>
          <w:sz w:val="20"/>
          <w:szCs w:val="20"/>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(iii)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IAI Global Note (CUSIP _________); or</w:t>
      </w:r>
    </w:p>
    <w:p>
      <w:pPr>
        <w:spacing w:after="0" w:line="90"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After the Transfer the Transferee will hold:</w:t>
      </w:r>
    </w:p>
    <w:p>
      <w:pPr>
        <w:spacing w:after="0" w:line="2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[CHECK ONE]</w:t>
      </w:r>
    </w:p>
    <w:p>
      <w:pPr>
        <w:spacing w:after="0" w:line="49"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96" w:lineRule="exact"/>
        <w:rPr>
          <w:sz w:val="20"/>
          <w:szCs w:val="20"/>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 or</w:t>
      </w:r>
    </w:p>
    <w:p>
      <w:pPr>
        <w:spacing w:after="0" w:line="90" w:lineRule="exact"/>
        <w:rPr>
          <w:sz w:val="20"/>
          <w:szCs w:val="20"/>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 or</w:t>
      </w:r>
    </w:p>
    <w:p>
      <w:pPr>
        <w:spacing w:after="0" w:line="90" w:lineRule="exact"/>
        <w:rPr>
          <w:sz w:val="20"/>
          <w:szCs w:val="20"/>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(iii)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IAI Global Note (CUSIP _________); or</w:t>
      </w:r>
    </w:p>
    <w:p>
      <w:pPr>
        <w:spacing w:after="0" w:line="90" w:lineRule="exact"/>
        <w:rPr>
          <w:sz w:val="20"/>
          <w:szCs w:val="20"/>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(iv)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Unrestricted Global Note (CUSIP _________); or</w:t>
      </w:r>
    </w:p>
    <w:p>
      <w:pPr>
        <w:spacing w:after="0" w:line="90"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 or</w:t>
      </w:r>
    </w:p>
    <w:p>
      <w:pPr>
        <w:spacing w:after="0" w:line="91"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Definitive Note,</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accordance with the terms of the Indenture.</w:t>
      </w:r>
    </w:p>
    <w:p>
      <w:pPr>
        <w:spacing w:after="0" w:line="200" w:lineRule="exact"/>
        <w:rPr>
          <w:sz w:val="20"/>
          <w:szCs w:val="20"/>
          <w:color w:val="auto"/>
        </w:rPr>
      </w:pPr>
    </w:p>
    <w:p>
      <w:pPr>
        <w:spacing w:after="0" w:line="28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CSC 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5.750% Senior Notes due 2034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         ])</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January 13, 2026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Clearway Energy Operating LLC,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party thereto and CSC Delaware Trust Company, as trustee. Capitalized terms used but not defined herein shall have the meanings given to them in the Indenture.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 (the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owns and proposes to exchange the Note[s] or interest in such Note[s] specified herein,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$____________ in such Note[s] or interests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3"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Exchange of Restricted Definitive Notes or Beneficial Interests in a Restricted Global Note for Unrestricted Definitive Notes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Beneficial Interests in an Unrestricted Global Note</w:t>
      </w:r>
    </w:p>
    <w:p>
      <w:pPr>
        <w:spacing w:after="0" w:line="118" w:lineRule="exact"/>
        <w:rPr>
          <w:sz w:val="20"/>
          <w:szCs w:val="20"/>
          <w:color w:val="auto"/>
        </w:rPr>
      </w:pPr>
    </w:p>
    <w:p>
      <w:pPr>
        <w:jc w:val="both"/>
        <w:ind w:firstLine="656"/>
        <w:spacing w:after="0" w:line="225" w:lineRule="exact"/>
        <w:tabs>
          <w:tab w:leader="none" w:pos="951" w:val="left"/>
        </w:tabs>
        <w:numPr>
          <w:ilvl w:val="0"/>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beneficial interest in an Unrestricted Global Note</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58" w:lineRule="exact"/>
        <w:rPr>
          <w:rFonts w:ascii="Times New Roman" w:cs="Times New Roman" w:eastAsia="Times New Roman" w:hAnsi="Times New Roman"/>
          <w:sz w:val="18"/>
          <w:szCs w:val="18"/>
          <w:color w:val="auto"/>
        </w:rPr>
      </w:pPr>
    </w:p>
    <w:p>
      <w:pPr>
        <w:jc w:val="both"/>
        <w:ind w:firstLine="656"/>
        <w:spacing w:after="0" w:line="226" w:lineRule="exact"/>
        <w:tabs>
          <w:tab w:leader="none" w:pos="975" w:val="left"/>
        </w:tabs>
        <w:numPr>
          <w:ilvl w:val="0"/>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Unrestricted Definitive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56"/>
        <w:spacing w:after="0" w:line="226" w:lineRule="exact"/>
        <w:tabs>
          <w:tab w:leader="none" w:pos="965"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beneficial interest in an Unrestricted Global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61" w:lineRule="exact"/>
        <w:rPr>
          <w:rFonts w:ascii="Times New Roman" w:cs="Times New Roman" w:eastAsia="Times New Roman" w:hAnsi="Times New Roman"/>
          <w:sz w:val="18"/>
          <w:szCs w:val="18"/>
          <w:color w:val="auto"/>
        </w:rPr>
      </w:pPr>
    </w:p>
    <w:p>
      <w:pPr>
        <w:jc w:val="both"/>
        <w:ind w:firstLine="656"/>
        <w:spacing w:after="0" w:line="226" w:lineRule="exact"/>
        <w:tabs>
          <w:tab w:leader="none" w:pos="961" w:val="left"/>
        </w:tabs>
        <w:numPr>
          <w:ilvl w:val="0"/>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Unrestricted Definitive Note</w:t>
      </w:r>
      <w:r>
        <w:rPr>
          <w:rFonts w:ascii="Times New Roman" w:cs="Times New Roman" w:eastAsia="Times New Roman" w:hAnsi="Times New Roman"/>
          <w:sz w:val="18"/>
          <w:szCs w:val="18"/>
          <w:color w:val="auto"/>
        </w:rPr>
        <w:t>. In connection with the Owner’s Exchange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Exchange of Restricted Definitive Notes or Beneficial Interests in Restricted Global Notes for Restricted Definitive Notes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Beneficial Interests in Restricted Global Notes</w:t>
      </w:r>
    </w:p>
    <w:p>
      <w:pPr>
        <w:spacing w:after="0" w:line="118" w:lineRule="exact"/>
        <w:rPr>
          <w:sz w:val="20"/>
          <w:szCs w:val="20"/>
          <w:color w:val="auto"/>
        </w:rPr>
      </w:pPr>
    </w:p>
    <w:p>
      <w:pPr>
        <w:jc w:val="both"/>
        <w:ind w:firstLine="656"/>
        <w:spacing w:after="0" w:line="228" w:lineRule="exact"/>
        <w:tabs>
          <w:tab w:leader="none" w:pos="978"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Restricted Definitive Note. </w:t>
      </w:r>
      <w:r>
        <w:rPr>
          <w:rFonts w:ascii="Times New Roman" w:cs="Times New Roman" w:eastAsia="Times New Roman" w:hAnsi="Times New Roman"/>
          <w:sz w:val="18"/>
          <w:szCs w:val="18"/>
          <w:color w:val="auto"/>
        </w:rPr>
        <w:t>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57" w:lineRule="exact"/>
        <w:rPr>
          <w:rFonts w:ascii="Times New Roman" w:cs="Times New Roman" w:eastAsia="Times New Roman" w:hAnsi="Times New Roman"/>
          <w:sz w:val="18"/>
          <w:szCs w:val="18"/>
          <w:color w:val="auto"/>
        </w:rPr>
      </w:pPr>
    </w:p>
    <w:p>
      <w:pPr>
        <w:jc w:val="both"/>
        <w:ind w:firstLine="656"/>
        <w:spacing w:after="0" w:line="224" w:lineRule="exact"/>
        <w:tabs>
          <w:tab w:leader="none" w:pos="988" w:val="left"/>
        </w:tabs>
        <w:numPr>
          <w:ilvl w:val="0"/>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beneficial interest in a Restricted Global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Exchange of the Owner’s Restricted Definitive Note for a beneficial interest in the [CHECK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4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-119380</wp:posOffset>
            </wp:positionV>
            <wp:extent cx="33515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99" w:name="page100"/>
    <w:bookmarkEnd w:id="99"/>
    <w:p>
      <w:pPr>
        <w:ind w:left="10340"/>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ACQUIRING INSTITUTIONAL ACCREDITED INVESTOR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CSC 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5.750% Senior Notes due 2034</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January 13, 2026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Clearway Energy Operating LLC,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party thereto and CSC Delaware Trust Company, as trustee. Capitalized terms used but not defined herein shall have the meanings given to them in the Indenture.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our proposed purchase of $____________ aggregate principal amount of:</w:t>
      </w:r>
    </w:p>
    <w:p>
      <w:pPr>
        <w:spacing w:after="0" w:line="184" w:lineRule="exact"/>
        <w:rPr>
          <w:sz w:val="20"/>
          <w:szCs w:val="20"/>
          <w:color w:val="auto"/>
        </w:rPr>
      </w:pPr>
    </w:p>
    <w:p>
      <w:pPr>
        <w:ind w:left="940" w:hanging="284"/>
        <w:spacing w:after="0" w:line="207" w:lineRule="exact"/>
        <w:tabs>
          <w:tab w:leader="none" w:pos="94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a Global Note, or</w:t>
      </w:r>
    </w:p>
    <w:p>
      <w:pPr>
        <w:spacing w:after="0" w:line="225" w:lineRule="exact"/>
        <w:rPr>
          <w:rFonts w:ascii="Times New Roman" w:cs="Times New Roman" w:eastAsia="Times New Roman" w:hAnsi="Times New Roman"/>
          <w:sz w:val="18"/>
          <w:szCs w:val="18"/>
          <w:color w:val="auto"/>
        </w:rPr>
      </w:pPr>
    </w:p>
    <w:p>
      <w:pPr>
        <w:ind w:left="960" w:hanging="304"/>
        <w:spacing w:after="0" w:line="207" w:lineRule="exact"/>
        <w:tabs>
          <w:tab w:leader="none" w:pos="960" w:val="left"/>
        </w:tabs>
        <w:numPr>
          <w:ilvl w:val="0"/>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Definitive Note,</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confirm that: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            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2.            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w:t>
      </w:r>
    </w:p>
    <w:p>
      <w:pPr>
        <w:spacing w:after="0" w:line="1" w:lineRule="exact"/>
        <w:rPr>
          <w:sz w:val="20"/>
          <w:szCs w:val="20"/>
          <w:color w:val="auto"/>
        </w:rPr>
      </w:pPr>
    </w:p>
    <w:p>
      <w:pPr>
        <w:jc w:val="both"/>
        <w:ind w:firstLine="8"/>
        <w:spacing w:after="0" w:line="250" w:lineRule="auto"/>
        <w:tabs>
          <w:tab w:leader="none" w:pos="3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3.            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            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            We are acquiring the Notes or beneficial interest therein purchased by us for our own account or for one or more accounts (each of which is an institutional “accredited investor”) as to each of which we exercise sole investment discretion.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39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________________, among __________________ (the “</w:t>
      </w:r>
      <w:r>
        <w:rPr>
          <w:rFonts w:ascii="Times New Roman" w:cs="Times New Roman" w:eastAsia="Times New Roman" w:hAnsi="Times New Roman"/>
          <w:sz w:val="18"/>
          <w:szCs w:val="18"/>
          <w:i w:val="1"/>
          <w:iCs w:val="1"/>
          <w:color w:val="auto"/>
        </w:rPr>
        <w:t>Guaranteeing</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 subsidiary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other Guarantors (as defined in the Indenture referred to herein) and CSC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January 13, 2026 providing for the issuance of 5.750% Senior Notes due 2034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C</w:t>
      </w:r>
      <w:r>
        <w:rPr>
          <w:rFonts w:ascii="Times New Roman" w:cs="Times New Roman" w:eastAsia="Times New Roman" w:hAnsi="Times New Roman"/>
          <w:sz w:val="12"/>
          <w:szCs w:val="12"/>
          <w:color w:val="auto"/>
        </w:rPr>
        <w:t>apitalized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            A</w:t>
      </w:r>
      <w:r>
        <w:rPr>
          <w:rFonts w:ascii="Times New Roman" w:cs="Times New Roman" w:eastAsia="Times New Roman" w:hAnsi="Times New Roman"/>
          <w:sz w:val="12"/>
          <w:szCs w:val="12"/>
          <w:color w:val="auto"/>
        </w:rPr>
        <w:t>greement to</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uarantee</w:t>
      </w:r>
      <w:r>
        <w:rPr>
          <w:rFonts w:ascii="Times New Roman" w:cs="Times New Roman" w:eastAsia="Times New Roman" w:hAnsi="Times New Roman"/>
          <w:sz w:val="18"/>
          <w:szCs w:val="18"/>
          <w:color w:val="auto"/>
        </w:rPr>
        <w:t>.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3.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ecourse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gainst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thers</w:t>
      </w:r>
      <w:r>
        <w:rPr>
          <w:rFonts w:ascii="Times New Roman" w:cs="Times New Roman" w:eastAsia="Times New Roman" w:hAnsi="Times New Roman"/>
          <w:sz w:val="18"/>
          <w:szCs w:val="18"/>
          <w:color w:val="auto"/>
        </w:rPr>
        <w:t>. No director, officer, employee, incorporator or stockholder of the Company or any Guarantor, as such, will have any liability for any obligations of the Company or the Guarantors under the Notes, the Indenture, the Guarantees of the Notes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            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            C</w:t>
      </w:r>
      <w:r>
        <w:rPr>
          <w:rFonts w:ascii="Times New Roman" w:cs="Times New Roman" w:eastAsia="Times New Roman" w:hAnsi="Times New Roman"/>
          <w:sz w:val="12"/>
          <w:szCs w:val="12"/>
          <w:color w:val="auto"/>
        </w:rPr>
        <w:t>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E</w:t>
      </w:r>
      <w:r>
        <w:rPr>
          <w:rFonts w:ascii="Times New Roman" w:cs="Times New Roman" w:eastAsia="Times New Roman" w:hAnsi="Times New Roman"/>
          <w:sz w:val="12"/>
          <w:szCs w:val="12"/>
          <w:color w:val="auto"/>
        </w:rPr>
        <w:t>ffect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            E</w:t>
      </w:r>
      <w:r>
        <w:rPr>
          <w:rFonts w:ascii="Times New Roman" w:cs="Times New Roman" w:eastAsia="Times New Roman" w:hAnsi="Times New Roman"/>
          <w:sz w:val="12"/>
          <w:szCs w:val="12"/>
          <w:color w:val="auto"/>
        </w:rPr>
        <w:t>lectronic</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ignatures</w:t>
      </w:r>
      <w:r>
        <w:rPr>
          <w:rFonts w:ascii="Times New Roman" w:cs="Times New Roman" w:eastAsia="Times New Roman" w:hAnsi="Times New Roman"/>
          <w:sz w:val="18"/>
          <w:szCs w:val="18"/>
          <w:color w:val="auto"/>
        </w:rPr>
        <w:t>. Each of the parties agrees on behalf of itself, and any Person acting or claiming by, under or through such party, that any written instrument delivered in connection with this Supplemental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or any Guarantor to the Trustee shall be considered signed or executed by such person on behalf of the Company or such Guarantor, as applicable. Each of the Company and the Guarantors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[GUARANTEEING SUBSIDIARY]</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[EXISTING GUARANTORS]</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[TRUSTEE],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04"/>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upperLetter"/>
      <w:start w:val="1"/>
    </w:lvl>
  </w:abstractNum>
  <w:abstractNum w:abstractNumId="6">
    <w:nsid w:val="3F2DBA31"/>
    <w:multiLevelType w:val="hybridMultilevel"/>
    <w:lvl w:ilvl="0">
      <w:lvlJc w:val="left"/>
      <w:lvlText w:val="(%1)"/>
      <w:numFmt w:val="decimal"/>
      <w:start w:val="3"/>
    </w:lvl>
  </w:abstractNum>
  <w:abstractNum w:abstractNumId="7">
    <w:nsid w:val="7C83E458"/>
    <w:multiLevelType w:val="hybridMultilevel"/>
    <w:lvl w:ilvl="0">
      <w:lvlJc w:val="left"/>
      <w:lvlText w:val="(%1)"/>
      <w:numFmt w:val="lowerRoman"/>
      <w:start w:val="1"/>
    </w:lvl>
  </w:abstractNum>
  <w:abstractNum w:abstractNumId="8">
    <w:nsid w:val="257130A3"/>
    <w:multiLevelType w:val="hybridMultilevel"/>
    <w:lvl w:ilvl="0">
      <w:lvlJc w:val="left"/>
      <w:lvlText w:val="(%1)"/>
      <w:numFmt w:val="lowerRoman"/>
      <w:start w:val="1"/>
    </w:lvl>
  </w:abstractNum>
  <w:abstractNum w:abstractNumId="9">
    <w:nsid w:val="62BBD95A"/>
    <w:multiLevelType w:val="hybridMultilevel"/>
    <w:lvl w:ilvl="0">
      <w:lvlJc w:val="left"/>
      <w:lvlText w:val="(%1)"/>
      <w:numFmt w:val="lowerRoman"/>
      <w:start w:val="3"/>
    </w:lvl>
  </w:abstractNum>
  <w:abstractNum w:abstractNumId="10">
    <w:nsid w:val="436C6125"/>
    <w:multiLevelType w:val="hybridMultilevel"/>
    <w:lvl w:ilvl="0">
      <w:lvlJc w:val="left"/>
      <w:lvlText w:val="(%1)"/>
      <w:numFmt w:val="lowerRoman"/>
      <w:start w:val="1"/>
    </w:lvl>
  </w:abstractNum>
  <w:abstractNum w:abstractNumId="11">
    <w:nsid w:val="628C895D"/>
    <w:multiLevelType w:val="hybridMultilevel"/>
    <w:lvl w:ilvl="0">
      <w:lvlJc w:val="left"/>
      <w:lvlText w:val="(%1)"/>
      <w:numFmt w:val="lowerLetter"/>
      <w:start w:val="2"/>
    </w:lvl>
  </w:abstractNum>
  <w:abstractNum w:abstractNumId="12">
    <w:nsid w:val="333AB105"/>
    <w:multiLevelType w:val="hybridMultilevel"/>
    <w:lvl w:ilvl="0">
      <w:lvlJc w:val="left"/>
      <w:lvlText w:val="(%1)"/>
      <w:numFmt w:val="lowerRoman"/>
      <w:start w:val="2"/>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bullet"/>
      <w:start w:val="1"/>
    </w:lvl>
  </w:abstractNum>
  <w:abstractNum w:abstractNumId="15">
    <w:nsid w:val="2D1D5AE9"/>
    <w:multiLevelType w:val="hybridMultilevel"/>
    <w:lvl w:ilvl="0">
      <w:lvlJc w:val="left"/>
      <w:lvlText w:val="(%1)"/>
      <w:numFmt w:val="lowerRoman"/>
      <w:start w:val="2"/>
    </w:lvl>
  </w:abstractNum>
  <w:abstractNum w:abstractNumId="16">
    <w:nsid w:val="6763845E"/>
    <w:multiLevelType w:val="hybridMultilevel"/>
    <w:lvl w:ilvl="0">
      <w:lvlJc w:val="left"/>
      <w:lvlText w:val="(%1)"/>
      <w:numFmt w:val="lowerRoman"/>
      <w:start w:val="10"/>
    </w:lvl>
  </w:abstractNum>
  <w:abstractNum w:abstractNumId="17">
    <w:nsid w:val="75A2A8D4"/>
    <w:multiLevelType w:val="hybridMultilevel"/>
    <w:lvl w:ilvl="0">
      <w:lvlJc w:val="left"/>
      <w:lvlText w:val="(%1)"/>
      <w:numFmt w:val="upperLetter"/>
      <w:start w:val="9"/>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lowerRoman"/>
      <w:start w:val="1"/>
    </w:lvl>
    <w:lvl w:ilvl="1">
      <w:lvlJc w:val="left"/>
      <w:lvlText w:val="%2."/>
      <w:numFmt w:val="decimal"/>
      <w:start w:val="1"/>
    </w:lvl>
  </w:abstractNum>
  <w:abstractNum w:abstractNumId="20">
    <w:nsid w:val="4353D0CD"/>
    <w:multiLevelType w:val="hybridMultilevel"/>
    <w:lvl w:ilvl="0">
      <w:lvlJc w:val="left"/>
      <w:lvlText w:val="(%1)"/>
      <w:numFmt w:val="lowerRoman"/>
      <w:start w:val="3"/>
    </w:lvl>
    <w:lvl w:ilvl="1">
      <w:lvlJc w:val="left"/>
      <w:lvlText w:val="%2"/>
      <w:numFmt w:val="decimal"/>
      <w:start w:val="1"/>
    </w:lvl>
  </w:abstractNum>
  <w:abstractNum w:abstractNumId="21">
    <w:nsid w:val="B03E0C6"/>
    <w:multiLevelType w:val="hybridMultilevel"/>
    <w:lvl w:ilvl="0">
      <w:lvlJc w:val="left"/>
      <w:lvlText w:val="%1."/>
      <w:numFmt w:val="decimal"/>
      <w:start w:val="3"/>
    </w:lvl>
  </w:abstractNum>
  <w:abstractNum w:abstractNumId="22">
    <w:nsid w:val="189A769B"/>
    <w:multiLevelType w:val="hybridMultilevel"/>
    <w:lvl w:ilvl="0">
      <w:lvlJc w:val="left"/>
      <w:lvlText w:val="%1."/>
      <w:numFmt w:val="decimal"/>
      <w:start w:val="4"/>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3"/>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upperLetter"/>
      <w:start w:val="2"/>
    </w:lvl>
  </w:abstractNum>
  <w:abstractNum w:abstractNumId="29">
    <w:nsid w:val="8138641"/>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2026-01-13T15:35:46Z</dcterms:created>
  <dcterms:modified xsi:type="dcterms:W3CDTF">2026-01-13T15:35:46Z</dcterms:modified>
</cp:coreProperties>
</file>