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1140" w:val="left"/>
          <w:tab w:leader="none" w:pos="4620" w:val="left"/>
          <w:tab w:leader="none" w:pos="788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 of 8</w:t>
      </w:r>
    </w:p>
    <w:p>
      <w:pPr>
        <w:sectPr>
          <w:pgSz w:w="11900" w:h="16838" w:orient="portrait"/>
          <w:cols w:equalWidth="0" w:num="1">
            <w:col w:w="9739"/>
          </w:cols>
          <w:pgMar w:left="720" w:top="430" w:right="1440" w:bottom="1440" w:gutter="0" w:footer="0" w:header="0"/>
        </w:sectPr>
      </w:pPr>
    </w:p>
    <w:p>
      <w:pPr>
        <w:spacing w:after="0" w:line="215" w:lineRule="exact"/>
        <w:rPr>
          <w:sz w:val="24"/>
          <w:szCs w:val="24"/>
          <w:color w:val="auto"/>
        </w:rPr>
      </w:pPr>
    </w:p>
    <w:p>
      <w:pPr>
        <w:jc w:val="center"/>
        <w:ind w:right="859"/>
        <w:spacing w:after="0"/>
        <w:rPr>
          <w:sz w:val="20"/>
          <w:szCs w:val="20"/>
          <w:color w:val="auto"/>
        </w:rPr>
      </w:pPr>
      <w:r>
        <w:rPr>
          <w:rFonts w:ascii="Courier New" w:cs="Courier New" w:eastAsia="Courier New" w:hAnsi="Courier New"/>
          <w:sz w:val="18"/>
          <w:szCs w:val="18"/>
          <w:color w:val="auto"/>
        </w:rPr>
        <w:t>UNITED STATES</w:t>
      </w:r>
    </w:p>
    <w:p>
      <w:pPr>
        <w:spacing w:after="0" w:line="44" w:lineRule="exact"/>
        <w:rPr>
          <w:sz w:val="24"/>
          <w:szCs w:val="24"/>
          <w:color w:val="auto"/>
        </w:rPr>
      </w:pPr>
    </w:p>
    <w:p>
      <w:pPr>
        <w:jc w:val="center"/>
        <w:ind w:right="7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12" w:lineRule="exact"/>
        <w:rPr>
          <w:sz w:val="24"/>
          <w:szCs w:val="24"/>
          <w:color w:val="auto"/>
        </w:rPr>
      </w:pPr>
    </w:p>
    <w:p>
      <w:pPr>
        <w:jc w:val="center"/>
        <w:ind w:right="819"/>
        <w:spacing w:after="0"/>
        <w:rPr>
          <w:sz w:val="20"/>
          <w:szCs w:val="20"/>
          <w:color w:val="auto"/>
        </w:rPr>
      </w:pPr>
      <w:r>
        <w:rPr>
          <w:rFonts w:ascii="Courier New" w:cs="Courier New" w:eastAsia="Courier New" w:hAnsi="Courier New"/>
          <w:sz w:val="18"/>
          <w:szCs w:val="18"/>
          <w:color w:val="auto"/>
        </w:rPr>
        <w:t>Washington, D.C. 20549</w:t>
      </w:r>
    </w:p>
    <w:p>
      <w:pPr>
        <w:spacing w:after="0" w:line="183" w:lineRule="exact"/>
        <w:rPr>
          <w:sz w:val="24"/>
          <w:szCs w:val="24"/>
          <w:color w:val="auto"/>
        </w:rPr>
      </w:pPr>
    </w:p>
    <w:p>
      <w:pPr>
        <w:jc w:val="center"/>
        <w:ind w:right="859"/>
        <w:spacing w:after="0"/>
        <w:rPr>
          <w:sz w:val="20"/>
          <w:szCs w:val="20"/>
          <w:color w:val="auto"/>
        </w:rPr>
      </w:pPr>
      <w:r>
        <w:rPr>
          <w:rFonts w:ascii="Courier New" w:cs="Courier New" w:eastAsia="Courier New" w:hAnsi="Courier New"/>
          <w:sz w:val="18"/>
          <w:szCs w:val="18"/>
          <w:color w:val="auto"/>
        </w:rPr>
        <w:t>SCHEDULE 13G</w:t>
      </w:r>
    </w:p>
    <w:p>
      <w:pPr>
        <w:spacing w:after="0" w:line="215" w:lineRule="exact"/>
        <w:rPr>
          <w:sz w:val="24"/>
          <w:szCs w:val="24"/>
          <w:color w:val="auto"/>
        </w:rPr>
      </w:pPr>
    </w:p>
    <w:p>
      <w:pPr>
        <w:jc w:val="center"/>
        <w:ind w:right="6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44" w:lineRule="exact"/>
        <w:rPr>
          <w:sz w:val="24"/>
          <w:szCs w:val="24"/>
          <w:color w:val="auto"/>
        </w:rPr>
      </w:pPr>
    </w:p>
    <w:p>
      <w:pPr>
        <w:jc w:val="center"/>
        <w:ind w:right="839"/>
        <w:spacing w:after="0"/>
        <w:rPr>
          <w:sz w:val="20"/>
          <w:szCs w:val="20"/>
          <w:color w:val="auto"/>
        </w:rPr>
      </w:pPr>
      <w:r>
        <w:rPr>
          <w:rFonts w:ascii="Courier New" w:cs="Courier New" w:eastAsia="Courier New" w:hAnsi="Courier New"/>
          <w:sz w:val="18"/>
          <w:szCs w:val="18"/>
          <w:color w:val="auto"/>
        </w:rPr>
        <w:t>(Amendment No. 1)*</w:t>
      </w:r>
    </w:p>
    <w:p>
      <w:pPr>
        <w:spacing w:after="0" w:line="183" w:lineRule="exact"/>
        <w:rPr>
          <w:sz w:val="24"/>
          <w:szCs w:val="24"/>
          <w:color w:val="auto"/>
        </w:rPr>
      </w:pPr>
    </w:p>
    <w:p>
      <w:pPr>
        <w:jc w:val="center"/>
        <w:ind w:right="819"/>
        <w:spacing w:after="0"/>
        <w:rPr>
          <w:sz w:val="20"/>
          <w:szCs w:val="20"/>
          <w:color w:val="auto"/>
        </w:rPr>
      </w:pPr>
      <w:r>
        <w:rPr>
          <w:rFonts w:ascii="Courier New" w:cs="Courier New" w:eastAsia="Courier New" w:hAnsi="Courier New"/>
          <w:sz w:val="18"/>
          <w:szCs w:val="18"/>
          <w:color w:val="auto"/>
        </w:rPr>
        <w:t>Clearway Energy, Inc.</w:t>
      </w:r>
    </w:p>
    <w:p>
      <w:pPr>
        <w:spacing w:after="0" w:line="44" w:lineRule="exact"/>
        <w:rPr>
          <w:sz w:val="24"/>
          <w:szCs w:val="24"/>
          <w:color w:val="auto"/>
        </w:rPr>
      </w:pPr>
    </w:p>
    <w:p>
      <w:pPr>
        <w:jc w:val="center"/>
        <w:ind w:right="839"/>
        <w:spacing w:after="0"/>
        <w:rPr>
          <w:sz w:val="20"/>
          <w:szCs w:val="20"/>
          <w:color w:val="auto"/>
        </w:rPr>
      </w:pPr>
      <w:r>
        <w:rPr>
          <w:rFonts w:ascii="Courier New" w:cs="Courier New" w:eastAsia="Courier New" w:hAnsi="Courier New"/>
          <w:sz w:val="18"/>
          <w:szCs w:val="18"/>
          <w:color w:val="auto"/>
        </w:rPr>
        <w:t>(Name of Issuer)</w:t>
      </w:r>
    </w:p>
    <w:p>
      <w:pPr>
        <w:spacing w:after="0" w:line="183" w:lineRule="exact"/>
        <w:rPr>
          <w:sz w:val="24"/>
          <w:szCs w:val="24"/>
          <w:color w:val="auto"/>
        </w:rPr>
      </w:pPr>
    </w:p>
    <w:p>
      <w:pPr>
        <w:jc w:val="center"/>
        <w:ind w:right="659"/>
        <w:spacing w:after="0"/>
        <w:rPr>
          <w:sz w:val="20"/>
          <w:szCs w:val="20"/>
          <w:color w:val="auto"/>
        </w:rPr>
      </w:pPr>
      <w:r>
        <w:rPr>
          <w:rFonts w:ascii="Courier New" w:cs="Courier New" w:eastAsia="Courier New" w:hAnsi="Courier New"/>
          <w:sz w:val="18"/>
          <w:szCs w:val="18"/>
          <w:color w:val="auto"/>
        </w:rPr>
        <w:t>Common Stock, Class C, par value $0.01 per share</w:t>
      </w:r>
    </w:p>
    <w:p>
      <w:pPr>
        <w:spacing w:after="0" w:line="215" w:lineRule="exact"/>
        <w:rPr>
          <w:sz w:val="24"/>
          <w:szCs w:val="24"/>
          <w:color w:val="auto"/>
        </w:rPr>
      </w:pPr>
    </w:p>
    <w:p>
      <w:pPr>
        <w:jc w:val="center"/>
        <w:ind w:right="759"/>
        <w:spacing w:after="0"/>
        <w:rPr>
          <w:sz w:val="20"/>
          <w:szCs w:val="20"/>
          <w:color w:val="auto"/>
        </w:rPr>
      </w:pPr>
      <w:r>
        <w:rPr>
          <w:rFonts w:ascii="Courier New" w:cs="Courier New" w:eastAsia="Courier New" w:hAnsi="Courier New"/>
          <w:sz w:val="18"/>
          <w:szCs w:val="18"/>
          <w:color w:val="auto"/>
        </w:rPr>
        <w:t>(Title of Class of Securities)</w:t>
      </w:r>
    </w:p>
    <w:p>
      <w:pPr>
        <w:spacing w:after="0" w:line="215" w:lineRule="exact"/>
        <w:rPr>
          <w:sz w:val="24"/>
          <w:szCs w:val="24"/>
          <w:color w:val="auto"/>
        </w:rPr>
      </w:pPr>
    </w:p>
    <w:p>
      <w:pPr>
        <w:jc w:val="center"/>
        <w:ind w:right="879"/>
        <w:spacing w:after="0"/>
        <w:rPr>
          <w:sz w:val="20"/>
          <w:szCs w:val="20"/>
          <w:color w:val="auto"/>
        </w:rPr>
      </w:pPr>
      <w:r>
        <w:rPr>
          <w:rFonts w:ascii="Courier New" w:cs="Courier New" w:eastAsia="Courier New" w:hAnsi="Courier New"/>
          <w:sz w:val="18"/>
          <w:szCs w:val="18"/>
          <w:color w:val="auto"/>
        </w:rPr>
        <w:t>18539C204</w:t>
      </w:r>
    </w:p>
    <w:p>
      <w:pPr>
        <w:spacing w:after="0" w:line="44" w:lineRule="exact"/>
        <w:rPr>
          <w:sz w:val="24"/>
          <w:szCs w:val="24"/>
          <w:color w:val="auto"/>
        </w:rPr>
      </w:pPr>
    </w:p>
    <w:p>
      <w:pPr>
        <w:jc w:val="center"/>
        <w:ind w:right="859"/>
        <w:spacing w:after="0"/>
        <w:rPr>
          <w:sz w:val="20"/>
          <w:szCs w:val="20"/>
          <w:color w:val="auto"/>
        </w:rPr>
      </w:pPr>
      <w:r>
        <w:rPr>
          <w:rFonts w:ascii="Courier New" w:cs="Courier New" w:eastAsia="Courier New" w:hAnsi="Courier New"/>
          <w:sz w:val="18"/>
          <w:szCs w:val="18"/>
          <w:color w:val="auto"/>
        </w:rPr>
        <w:t>(CUSIP Number)</w:t>
      </w:r>
    </w:p>
    <w:p>
      <w:pPr>
        <w:spacing w:after="0" w:line="183" w:lineRule="exact"/>
        <w:rPr>
          <w:sz w:val="24"/>
          <w:szCs w:val="24"/>
          <w:color w:val="auto"/>
        </w:rPr>
      </w:pPr>
    </w:p>
    <w:p>
      <w:pPr>
        <w:jc w:val="center"/>
        <w:ind w:right="839"/>
        <w:spacing w:after="0"/>
        <w:rPr>
          <w:sz w:val="20"/>
          <w:szCs w:val="20"/>
          <w:color w:val="auto"/>
        </w:rPr>
      </w:pPr>
      <w:r>
        <w:rPr>
          <w:rFonts w:ascii="Courier New" w:cs="Courier New" w:eastAsia="Courier New" w:hAnsi="Courier New"/>
          <w:sz w:val="18"/>
          <w:szCs w:val="18"/>
          <w:color w:val="auto"/>
        </w:rPr>
        <w:t>December 31, 2020</w:t>
      </w:r>
    </w:p>
    <w:p>
      <w:pPr>
        <w:spacing w:after="0" w:line="44" w:lineRule="exact"/>
        <w:rPr>
          <w:sz w:val="24"/>
          <w:szCs w:val="24"/>
          <w:color w:val="auto"/>
        </w:rPr>
      </w:pPr>
    </w:p>
    <w:p>
      <w:pPr>
        <w:jc w:val="center"/>
        <w:ind w:right="61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83" w:lineRule="exact"/>
        <w:rPr>
          <w:sz w:val="24"/>
          <w:szCs w:val="24"/>
          <w:color w:val="auto"/>
        </w:rPr>
      </w:pPr>
    </w:p>
    <w:p>
      <w:pPr>
        <w:ind w:left="100" w:right="999"/>
        <w:spacing w:after="0" w:line="35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 w:lineRule="exact"/>
        <w:rPr>
          <w:sz w:val="24"/>
          <w:szCs w:val="24"/>
          <w:color w:val="auto"/>
        </w:rPr>
      </w:pPr>
    </w:p>
    <w:p>
      <w:pPr>
        <w:jc w:val="both"/>
        <w:ind w:left="100" w:right="7879" w:firstLine="8"/>
        <w:spacing w:after="0" w:line="254" w:lineRule="exact"/>
        <w:tabs>
          <w:tab w:leader="none" w:pos="521"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1(c)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1(d)</w:t>
      </w:r>
    </w:p>
    <w:p>
      <w:pPr>
        <w:spacing w:after="0" w:line="116" w:lineRule="exact"/>
        <w:rPr>
          <w:sz w:val="24"/>
          <w:szCs w:val="24"/>
          <w:color w:val="auto"/>
        </w:rPr>
      </w:pPr>
    </w:p>
    <w:p>
      <w:pPr>
        <w:ind w:left="100" w:right="1199"/>
        <w:spacing w:after="0" w:line="29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1" w:lineRule="exact"/>
        <w:rPr>
          <w:sz w:val="24"/>
          <w:szCs w:val="24"/>
          <w:color w:val="auto"/>
        </w:rPr>
      </w:pPr>
    </w:p>
    <w:p>
      <w:pPr>
        <w:ind w:left="100" w:right="879"/>
        <w:spacing w:after="0" w:line="293"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-250190</wp:posOffset>
            </wp:positionH>
            <wp:positionV relativeFrom="paragraph">
              <wp:posOffset>123825</wp:posOffset>
            </wp:positionV>
            <wp:extent cx="71532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739"/>
          </w:cols>
          <w:pgMar w:left="720" w:top="430" w:right="1440" w:bottom="1440" w:gutter="0" w:footer="0" w:header="0"/>
          <w:type w:val="continuous"/>
        </w:sectPr>
      </w:pPr>
    </w:p>
    <w:bookmarkStart w:id="1" w:name="page2"/>
    <w:bookmarkEnd w:id="1"/>
    <w:p>
      <w:pPr>
        <w:spacing w:after="0"/>
        <w:tabs>
          <w:tab w:leader="none" w:pos="1140" w:val="left"/>
          <w:tab w:leader="none" w:pos="4620" w:val="left"/>
          <w:tab w:leader="none" w:pos="788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8</w:t>
      </w:r>
    </w:p>
    <w:p>
      <w:pPr>
        <w:spacing w:after="0" w:line="215" w:lineRule="exact"/>
        <w:rPr>
          <w:sz w:val="20"/>
          <w:szCs w:val="20"/>
          <w:color w:val="auto"/>
        </w:rPr>
      </w:pPr>
    </w:p>
    <w:p>
      <w:pPr>
        <w:ind w:left="660" w:right="5819" w:hanging="552"/>
        <w:spacing w:after="0" w:line="521" w:lineRule="auto"/>
        <w:tabs>
          <w:tab w:leader="none" w:pos="63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ClearBridge Investments Limited</w:t>
      </w:r>
    </w:p>
    <w:p>
      <w:pPr>
        <w:ind w:left="640" w:hanging="5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1080" w:hanging="422"/>
        <w:spacing w:after="0"/>
        <w:tabs>
          <w:tab w:leader="none" w:pos="10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spacing w:after="0" w:line="182" w:lineRule="exact"/>
        <w:rPr>
          <w:rFonts w:ascii="Courier New" w:cs="Courier New" w:eastAsia="Courier New" w:hAnsi="Courier New"/>
          <w:sz w:val="18"/>
          <w:szCs w:val="18"/>
          <w:color w:val="auto"/>
        </w:rPr>
      </w:pPr>
    </w:p>
    <w:p>
      <w:pPr>
        <w:ind w:left="640" w:hanging="5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4" w:lineRule="exact"/>
        <w:rPr>
          <w:rFonts w:ascii="Courier New" w:cs="Courier New" w:eastAsia="Courier New" w:hAnsi="Courier New"/>
          <w:sz w:val="18"/>
          <w:szCs w:val="18"/>
          <w:color w:val="auto"/>
        </w:rPr>
      </w:pPr>
    </w:p>
    <w:p>
      <w:pPr>
        <w:ind w:left="660" w:right="5319" w:hanging="552"/>
        <w:spacing w:after="0" w:line="521" w:lineRule="auto"/>
        <w:tabs>
          <w:tab w:leader="none" w:pos="6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 Australian Corporation</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5" w:lineRule="exact"/>
        <w:rPr>
          <w:sz w:val="20"/>
          <w:szCs w:val="20"/>
          <w:color w:val="auto"/>
        </w:rPr>
      </w:pPr>
    </w:p>
    <w:p>
      <w:pPr>
        <w:ind w:left="1200" w:right="6759" w:hanging="542"/>
        <w:spacing w:after="0" w:line="521" w:lineRule="auto"/>
        <w:tabs>
          <w:tab w:leader="none" w:pos="1177"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1200" w:right="6559" w:hanging="542"/>
        <w:spacing w:after="0" w:line="492" w:lineRule="auto"/>
        <w:tabs>
          <w:tab w:leader="none" w:pos="117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1200" w:right="6239" w:hanging="542"/>
        <w:spacing w:after="0" w:line="492" w:lineRule="auto"/>
        <w:tabs>
          <w:tab w:leader="none" w:pos="117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00" w:right="6019" w:hanging="542"/>
        <w:spacing w:after="0" w:line="492" w:lineRule="auto"/>
        <w:tabs>
          <w:tab w:leader="none" w:pos="117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660" w:right="2779" w:hanging="552"/>
        <w:spacing w:after="0" w:line="492" w:lineRule="auto"/>
        <w:tabs>
          <w:tab w:leader="none" w:pos="63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1,617,961</w:t>
      </w:r>
    </w:p>
    <w:p>
      <w:pPr>
        <w:ind w:left="640" w:hanging="5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31" w:lineRule="exact"/>
        <w:rPr>
          <w:sz w:val="20"/>
          <w:szCs w:val="20"/>
          <w:color w:val="auto"/>
        </w:rPr>
      </w:pPr>
    </w:p>
    <w:p>
      <w:pPr>
        <w:ind w:left="660" w:right="3939" w:hanging="552"/>
        <w:spacing w:after="0" w:line="492" w:lineRule="auto"/>
        <w:tabs>
          <w:tab w:leader="none" w:pos="6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2.0%</w:t>
      </w:r>
    </w:p>
    <w:p>
      <w:pPr>
        <w:ind w:left="640" w:hanging="5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215265</wp:posOffset>
            </wp:positionV>
            <wp:extent cx="715327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606" w:right="1440" w:bottom="1440" w:gutter="0" w:footer="0" w:header="0"/>
        </w:sectPr>
      </w:pPr>
    </w:p>
    <w:bookmarkStart w:id="2" w:name="page3"/>
    <w:bookmarkEnd w:id="2"/>
    <w:p>
      <w:pPr>
        <w:spacing w:after="0"/>
        <w:tabs>
          <w:tab w:leader="none" w:pos="1140" w:val="left"/>
          <w:tab w:leader="none" w:pos="4620" w:val="left"/>
          <w:tab w:leader="none" w:pos="788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8</w:t>
      </w:r>
    </w:p>
    <w:p>
      <w:pPr>
        <w:spacing w:after="0" w:line="215" w:lineRule="exact"/>
        <w:rPr>
          <w:sz w:val="20"/>
          <w:szCs w:val="20"/>
          <w:color w:val="auto"/>
        </w:rPr>
      </w:pPr>
    </w:p>
    <w:p>
      <w:pPr>
        <w:ind w:left="640" w:hanging="5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0" w:hanging="5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1080" w:hanging="422"/>
        <w:spacing w:after="0"/>
        <w:tabs>
          <w:tab w:leader="none" w:pos="10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spacing w:after="0" w:line="182" w:lineRule="exact"/>
        <w:rPr>
          <w:rFonts w:ascii="Courier New" w:cs="Courier New" w:eastAsia="Courier New" w:hAnsi="Courier New"/>
          <w:sz w:val="18"/>
          <w:szCs w:val="18"/>
          <w:color w:val="auto"/>
        </w:rPr>
      </w:pPr>
    </w:p>
    <w:p>
      <w:pPr>
        <w:ind w:left="640" w:hanging="5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4" w:lineRule="exact"/>
        <w:rPr>
          <w:rFonts w:ascii="Courier New" w:cs="Courier New" w:eastAsia="Courier New" w:hAnsi="Courier New"/>
          <w:sz w:val="18"/>
          <w:szCs w:val="18"/>
          <w:color w:val="auto"/>
        </w:rPr>
      </w:pPr>
    </w:p>
    <w:p>
      <w:pPr>
        <w:ind w:left="660" w:right="5319" w:hanging="552"/>
        <w:spacing w:after="0" w:line="521" w:lineRule="auto"/>
        <w:tabs>
          <w:tab w:leader="none" w:pos="637"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 Australian Corporation</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5" w:lineRule="exact"/>
        <w:rPr>
          <w:sz w:val="20"/>
          <w:szCs w:val="20"/>
          <w:color w:val="auto"/>
        </w:rPr>
      </w:pPr>
    </w:p>
    <w:p>
      <w:pPr>
        <w:ind w:left="1200" w:right="6759" w:hanging="542"/>
        <w:spacing w:after="0" w:line="521" w:lineRule="auto"/>
        <w:tabs>
          <w:tab w:leader="none" w:pos="1177"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1200" w:right="6559" w:hanging="542"/>
        <w:spacing w:after="0" w:line="492" w:lineRule="auto"/>
        <w:tabs>
          <w:tab w:leader="none" w:pos="1177"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1200" w:right="6239" w:hanging="542"/>
        <w:spacing w:after="0" w:line="492" w:lineRule="auto"/>
        <w:tabs>
          <w:tab w:leader="none" w:pos="1177"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00" w:right="6019" w:hanging="542"/>
        <w:spacing w:after="0" w:line="492" w:lineRule="auto"/>
        <w:tabs>
          <w:tab w:leader="none" w:pos="1177"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660" w:right="2779" w:hanging="552"/>
        <w:spacing w:after="0" w:line="492" w:lineRule="auto"/>
        <w:tabs>
          <w:tab w:leader="none" w:pos="63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1,821,550</w:t>
      </w:r>
    </w:p>
    <w:p>
      <w:pPr>
        <w:ind w:left="640" w:hanging="5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31" w:lineRule="exact"/>
        <w:rPr>
          <w:sz w:val="20"/>
          <w:szCs w:val="20"/>
          <w:color w:val="auto"/>
        </w:rPr>
      </w:pPr>
    </w:p>
    <w:p>
      <w:pPr>
        <w:ind w:left="660" w:right="3939" w:hanging="552"/>
        <w:spacing w:after="0" w:line="492" w:lineRule="auto"/>
        <w:tabs>
          <w:tab w:leader="none" w:pos="63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2.2%</w:t>
      </w:r>
    </w:p>
    <w:p>
      <w:pPr>
        <w:ind w:left="640" w:hanging="5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2144395</wp:posOffset>
            </wp:positionV>
            <wp:extent cx="715327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808" w:right="1440" w:bottom="1440" w:gutter="0" w:footer="0" w:header="0"/>
        </w:sectPr>
      </w:pPr>
    </w:p>
    <w:bookmarkStart w:id="3" w:name="page4"/>
    <w:bookmarkEnd w:id="3"/>
    <w:p>
      <w:pPr>
        <w:spacing w:after="0"/>
        <w:tabs>
          <w:tab w:leader="none" w:pos="1140" w:val="left"/>
          <w:tab w:leader="none" w:pos="5040" w:val="left"/>
          <w:tab w:leader="none" w:pos="830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8</w:t>
      </w:r>
    </w:p>
    <w:p>
      <w:pPr>
        <w:spacing w:after="0" w:line="215" w:lineRule="exact"/>
        <w:rPr>
          <w:sz w:val="20"/>
          <w:szCs w:val="20"/>
          <w:color w:val="auto"/>
        </w:rPr>
      </w:pPr>
    </w:p>
    <w:p>
      <w:pPr>
        <w:ind w:left="1040" w:hanging="532"/>
        <w:spacing w:after="0"/>
        <w:tabs>
          <w:tab w:leader="none" w:pos="10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40" w:hanging="532"/>
        <w:spacing w:after="0"/>
        <w:tabs>
          <w:tab w:leader="none" w:pos="10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1480" w:hanging="422"/>
        <w:spacing w:after="0"/>
        <w:tabs>
          <w:tab w:leader="none" w:pos="14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4" w:lineRule="exact"/>
        <w:rPr>
          <w:rFonts w:ascii="Courier New" w:cs="Courier New" w:eastAsia="Courier New" w:hAnsi="Courier New"/>
          <w:sz w:val="18"/>
          <w:szCs w:val="18"/>
          <w:color w:val="auto"/>
        </w:rPr>
      </w:pPr>
    </w:p>
    <w:p>
      <w:pPr>
        <w:spacing w:after="0"/>
        <w:tabs>
          <w:tab w:leader="none" w:pos="0" w:val="left"/>
        </w:tabs>
        <w:numPr>
          <w:ilvl w:val="1"/>
          <w:numId w:val="17"/>
        </w:numPr>
        <w:rPr>
          <w:rFonts w:ascii="Courier New" w:cs="Courier New" w:eastAsia="Courier New" w:hAnsi="Courier New"/>
          <w:sz w:val="18"/>
          <w:szCs w:val="18"/>
          <w:color w:val="auto"/>
        </w:rPr>
      </w:pPr>
    </w:p>
    <w:p>
      <w:pPr>
        <w:spacing w:after="0" w:line="182" w:lineRule="exact"/>
        <w:rPr>
          <w:rFonts w:ascii="Courier New" w:cs="Courier New" w:eastAsia="Courier New" w:hAnsi="Courier New"/>
          <w:sz w:val="18"/>
          <w:szCs w:val="18"/>
          <w:color w:val="auto"/>
        </w:rPr>
      </w:pPr>
    </w:p>
    <w:p>
      <w:pPr>
        <w:ind w:left="1040" w:hanging="532"/>
        <w:spacing w:after="0"/>
        <w:tabs>
          <w:tab w:leader="none" w:pos="10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4" w:lineRule="exact"/>
        <w:rPr>
          <w:rFonts w:ascii="Courier New" w:cs="Courier New" w:eastAsia="Courier New" w:hAnsi="Courier New"/>
          <w:sz w:val="18"/>
          <w:szCs w:val="18"/>
          <w:color w:val="auto"/>
        </w:rPr>
      </w:pPr>
    </w:p>
    <w:p>
      <w:pPr>
        <w:ind w:left="1060" w:right="5319" w:hanging="552"/>
        <w:spacing w:after="0" w:line="660" w:lineRule="auto"/>
        <w:tabs>
          <w:tab w:leader="none" w:pos="1037"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 Australian Corporation</w:t>
      </w:r>
    </w:p>
    <w:p>
      <w:pPr>
        <w:spacing w:after="0" w:line="196" w:lineRule="exact"/>
        <w:rPr>
          <w:sz w:val="20"/>
          <w:szCs w:val="20"/>
          <w:color w:val="auto"/>
        </w:rPr>
      </w:pPr>
    </w:p>
    <w:p>
      <w:pPr>
        <w:ind w:left="1600" w:right="6759" w:hanging="542"/>
        <w:spacing w:after="0" w:line="521" w:lineRule="auto"/>
        <w:tabs>
          <w:tab w:leader="none" w:pos="1577"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1600" w:right="6559" w:hanging="542"/>
        <w:spacing w:after="0" w:line="492" w:lineRule="auto"/>
        <w:tabs>
          <w:tab w:leader="none" w:pos="1577"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1600" w:right="6239" w:hanging="542"/>
        <w:spacing w:after="0" w:line="492" w:lineRule="auto"/>
        <w:tabs>
          <w:tab w:leader="none" w:pos="1577"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600" w:right="6019" w:hanging="542"/>
        <w:spacing w:after="0" w:line="492" w:lineRule="auto"/>
        <w:tabs>
          <w:tab w:leader="none" w:pos="1577"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1060" w:right="2779" w:hanging="552"/>
        <w:spacing w:after="0" w:line="492" w:lineRule="auto"/>
        <w:tabs>
          <w:tab w:leader="none" w:pos="103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1,015,694</w:t>
      </w:r>
    </w:p>
    <w:p>
      <w:pPr>
        <w:ind w:left="1040" w:hanging="532"/>
        <w:spacing w:after="0"/>
        <w:tabs>
          <w:tab w:leader="none" w:pos="10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31" w:lineRule="exact"/>
        <w:rPr>
          <w:sz w:val="20"/>
          <w:szCs w:val="20"/>
          <w:color w:val="auto"/>
        </w:rPr>
      </w:pPr>
    </w:p>
    <w:p>
      <w:pPr>
        <w:ind w:left="1060" w:right="3939" w:hanging="552"/>
        <w:spacing w:after="0" w:line="492" w:lineRule="auto"/>
        <w:tabs>
          <w:tab w:leader="none" w:pos="103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w:t>
      </w:r>
    </w:p>
    <w:p>
      <w:pPr>
        <w:ind w:left="1040" w:hanging="532"/>
        <w:spacing w:after="0"/>
        <w:tabs>
          <w:tab w:leader="none" w:pos="10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2401570</wp:posOffset>
            </wp:positionV>
            <wp:extent cx="71532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39"/>
          </w:cols>
          <w:pgMar w:left="320" w:top="349" w:right="1440" w:bottom="1440" w:gutter="0" w:footer="0" w:header="0"/>
        </w:sectPr>
      </w:pPr>
    </w:p>
    <w:bookmarkStart w:id="4" w:name="page5"/>
    <w:bookmarkEnd w:id="4"/>
    <w:p>
      <w:pPr>
        <w:spacing w:after="0"/>
        <w:tabs>
          <w:tab w:leader="none" w:pos="1140" w:val="left"/>
          <w:tab w:leader="none" w:pos="5040" w:val="left"/>
          <w:tab w:leader="none" w:pos="830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3 of 8</w:t>
      </w:r>
    </w:p>
    <w:p>
      <w:pPr>
        <w:sectPr>
          <w:pgSz w:w="11900" w:h="16838" w:orient="portrait"/>
          <w:cols w:equalWidth="0" w:num="1">
            <w:col w:w="10139"/>
          </w:cols>
          <w:pgMar w:left="320" w:top="592" w:right="1440" w:bottom="1440" w:gutter="0" w:footer="0" w:header="0"/>
        </w:sectPr>
      </w:pPr>
    </w:p>
    <w:p>
      <w:pPr>
        <w:spacing w:after="0" w:line="255"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Item 1.</w:t>
      </w:r>
    </w:p>
    <w:p>
      <w:pPr>
        <w:spacing w:after="0" w:line="255" w:lineRule="exact"/>
        <w:rPr>
          <w:sz w:val="20"/>
          <w:szCs w:val="20"/>
          <w:color w:val="auto"/>
        </w:rPr>
      </w:pPr>
    </w:p>
    <w:p>
      <w:pPr>
        <w:ind w:left="1100" w:right="6819" w:hanging="592"/>
        <w:spacing w:after="0" w:line="407" w:lineRule="auto"/>
        <w:tabs>
          <w:tab w:leader="none" w:pos="1132"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Issuer Clearway Energy, Inc.</w:t>
      </w:r>
    </w:p>
    <w:p>
      <w:pPr>
        <w:spacing w:after="0" w:line="21" w:lineRule="exact"/>
        <w:rPr>
          <w:rFonts w:ascii="Courier New" w:cs="Courier New" w:eastAsia="Courier New" w:hAnsi="Courier New"/>
          <w:sz w:val="17"/>
          <w:szCs w:val="17"/>
          <w:color w:val="auto"/>
        </w:rPr>
      </w:pPr>
    </w:p>
    <w:p>
      <w:pPr>
        <w:ind w:left="1140" w:hanging="632"/>
        <w:spacing w:after="0"/>
        <w:tabs>
          <w:tab w:leader="none" w:pos="11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300 Carnegie Center, Suite 300</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Princeton, NJ 08540</w:t>
      </w:r>
    </w:p>
    <w:p>
      <w:pPr>
        <w:spacing w:after="0" w:line="223"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Item 2.</w:t>
      </w:r>
    </w:p>
    <w:p>
      <w:pPr>
        <w:spacing w:after="0" w:line="255" w:lineRule="exact"/>
        <w:rPr>
          <w:sz w:val="20"/>
          <w:szCs w:val="20"/>
          <w:color w:val="auto"/>
        </w:rPr>
      </w:pPr>
    </w:p>
    <w:p>
      <w:pPr>
        <w:ind w:left="1140" w:hanging="632"/>
        <w:spacing w:after="0"/>
        <w:tabs>
          <w:tab w:leader="none" w:pos="11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41" w:lineRule="exact"/>
        <w:rPr>
          <w:rFonts w:ascii="Courier New" w:cs="Courier New" w:eastAsia="Courier New" w:hAnsi="Courier New"/>
          <w:sz w:val="18"/>
          <w:szCs w:val="18"/>
          <w:color w:val="auto"/>
        </w:rPr>
      </w:pPr>
    </w:p>
    <w:p>
      <w:pPr>
        <w:ind w:left="1620" w:hanging="424"/>
        <w:spacing w:after="0"/>
        <w:tabs>
          <w:tab w:leader="none" w:pos="16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ClearBridge Investments Limited</w:t>
      </w:r>
    </w:p>
    <w:p>
      <w:pPr>
        <w:spacing w:after="0" w:line="242"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(ii)ClearBridge RARE Infrastructure International Pty Ltd</w:t>
      </w:r>
    </w:p>
    <w:p>
      <w:pPr>
        <w:spacing w:after="0" w:line="242"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(ii)ClearBridge RARE Infrastructure (North America) Pty Ltd</w:t>
      </w:r>
    </w:p>
    <w:p>
      <w:pPr>
        <w:spacing w:after="0" w:line="266" w:lineRule="exact"/>
        <w:rPr>
          <w:sz w:val="20"/>
          <w:szCs w:val="20"/>
          <w:color w:val="auto"/>
        </w:rPr>
      </w:pPr>
    </w:p>
    <w:p>
      <w:pPr>
        <w:ind w:left="1140" w:hanging="632"/>
        <w:spacing w:after="0"/>
        <w:tabs>
          <w:tab w:leader="none" w:pos="114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5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 (ii), and (iii):</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Level 13, 35 Clarence Street</w:t>
      </w:r>
    </w:p>
    <w:p>
      <w:pPr>
        <w:ind w:left="1160"/>
        <w:spacing w:after="0"/>
        <w:rPr>
          <w:sz w:val="20"/>
          <w:szCs w:val="20"/>
          <w:color w:val="auto"/>
        </w:rPr>
      </w:pPr>
      <w:r>
        <w:rPr>
          <w:rFonts w:ascii="Courier New" w:cs="Courier New" w:eastAsia="Courier New" w:hAnsi="Courier New"/>
          <w:sz w:val="18"/>
          <w:szCs w:val="18"/>
          <w:color w:val="auto"/>
        </w:rPr>
        <w:t>Sydney, C3 2000</w:t>
      </w:r>
    </w:p>
    <w:p>
      <w:pPr>
        <w:spacing w:after="0" w:line="200" w:lineRule="exact"/>
        <w:rPr>
          <w:sz w:val="20"/>
          <w:szCs w:val="20"/>
          <w:color w:val="auto"/>
        </w:rPr>
      </w:pPr>
    </w:p>
    <w:p>
      <w:pPr>
        <w:spacing w:after="0" w:line="266" w:lineRule="exact"/>
        <w:rPr>
          <w:sz w:val="20"/>
          <w:szCs w:val="20"/>
          <w:color w:val="auto"/>
        </w:rPr>
      </w:pPr>
    </w:p>
    <w:p>
      <w:pPr>
        <w:ind w:left="1100" w:right="6719" w:hanging="592"/>
        <w:spacing w:after="0" w:line="572" w:lineRule="auto"/>
        <w:tabs>
          <w:tab w:leader="none" w:pos="1132"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Australian Corporation</w:t>
      </w:r>
    </w:p>
    <w:p>
      <w:pPr>
        <w:ind w:left="1140" w:hanging="632"/>
        <w:spacing w:after="0"/>
        <w:tabs>
          <w:tab w:leader="none" w:pos="11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Common Stock, Class C, par value $0.01 per share</w:t>
      </w:r>
    </w:p>
    <w:p>
      <w:pPr>
        <w:spacing w:after="0" w:line="255" w:lineRule="exact"/>
        <w:rPr>
          <w:sz w:val="20"/>
          <w:szCs w:val="20"/>
          <w:color w:val="auto"/>
        </w:rPr>
      </w:pPr>
    </w:p>
    <w:p>
      <w:pPr>
        <w:ind w:left="1100" w:right="7739" w:hanging="592"/>
        <w:spacing w:after="0" w:line="710" w:lineRule="auto"/>
        <w:tabs>
          <w:tab w:leader="none" w:pos="1132"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CUSIP Number 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3616325</wp:posOffset>
            </wp:positionV>
            <wp:extent cx="715327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592" w:right="1440" w:bottom="1440" w:gutter="0" w:footer="0" w:header="0"/>
          <w:type w:val="continuous"/>
        </w:sectPr>
      </w:pPr>
    </w:p>
    <w:bookmarkStart w:id="5" w:name="page6"/>
    <w:bookmarkEnd w:id="5"/>
    <w:p>
      <w:pPr>
        <w:spacing w:after="0"/>
        <w:tabs>
          <w:tab w:leader="none" w:pos="1140" w:val="left"/>
          <w:tab w:leader="none" w:pos="5040" w:val="left"/>
          <w:tab w:leader="none" w:pos="830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8</w:t>
      </w:r>
    </w:p>
    <w:p>
      <w:pPr>
        <w:spacing w:after="0" w:line="228" w:lineRule="exact"/>
        <w:rPr>
          <w:sz w:val="20"/>
          <w:szCs w:val="20"/>
          <w:color w:val="auto"/>
        </w:rPr>
      </w:pPr>
    </w:p>
    <w:p>
      <w:pPr>
        <w:ind w:left="1300" w:right="1800" w:hanging="799"/>
        <w:spacing w:after="0" w:line="246"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 or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2(b) or (c), check whether the person filing is a:</w:t>
      </w:r>
    </w:p>
    <w:p>
      <w:pPr>
        <w:spacing w:after="0" w:line="1" w:lineRule="exact"/>
        <w:rPr>
          <w:sz w:val="20"/>
          <w:szCs w:val="20"/>
          <w:color w:val="auto"/>
        </w:rPr>
      </w:pPr>
    </w:p>
    <w:p>
      <w:pPr>
        <w:ind w:left="1720" w:hanging="412"/>
        <w:spacing w:after="0"/>
        <w:tabs>
          <w:tab w:leader="none" w:pos="17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8o).</w:t>
      </w:r>
    </w:p>
    <w:p>
      <w:pPr>
        <w:spacing w:after="0" w:line="223" w:lineRule="exact"/>
        <w:rPr>
          <w:rFonts w:ascii="Courier New" w:cs="Courier New" w:eastAsia="Courier New" w:hAnsi="Courier New"/>
          <w:sz w:val="18"/>
          <w:szCs w:val="18"/>
          <w:color w:val="auto"/>
        </w:rPr>
      </w:pPr>
    </w:p>
    <w:p>
      <w:pPr>
        <w:ind w:left="1720" w:hanging="412"/>
        <w:spacing w:after="0"/>
        <w:tabs>
          <w:tab w:leader="none" w:pos="17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55" w:lineRule="exact"/>
        <w:rPr>
          <w:rFonts w:ascii="Courier New" w:cs="Courier New" w:eastAsia="Courier New" w:hAnsi="Courier New"/>
          <w:sz w:val="18"/>
          <w:szCs w:val="18"/>
          <w:color w:val="auto"/>
        </w:rPr>
      </w:pPr>
    </w:p>
    <w:p>
      <w:pPr>
        <w:ind w:left="2200" w:right="1540" w:hanging="892"/>
        <w:spacing w:after="0" w:line="371" w:lineRule="auto"/>
        <w:tabs>
          <w:tab w:leader="none" w:pos="17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44" w:lineRule="exact"/>
        <w:rPr>
          <w:rFonts w:ascii="Courier New" w:cs="Courier New" w:eastAsia="Courier New" w:hAnsi="Courier New"/>
          <w:sz w:val="18"/>
          <w:szCs w:val="18"/>
          <w:color w:val="auto"/>
        </w:rPr>
      </w:pPr>
    </w:p>
    <w:p>
      <w:pPr>
        <w:ind w:left="2200" w:right="1440" w:hanging="892"/>
        <w:spacing w:after="0" w:line="260" w:lineRule="exact"/>
        <w:tabs>
          <w:tab w:leader="none" w:pos="17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 ] Investment company registered under section 8 of the Investment Company Act of 1940 (15 U.S.C 80a </w:t>
      </w:r>
      <w:r>
        <w:rPr>
          <w:rFonts w:ascii="MS PGothic" w:cs="MS PGothic" w:eastAsia="MS PGothic" w:hAnsi="MS PGothic"/>
          <w:sz w:val="18"/>
          <w:szCs w:val="18"/>
          <w:color w:val="auto"/>
        </w:rPr>
        <w:t>‑</w:t>
      </w:r>
      <w:r>
        <w:rPr>
          <w:rFonts w:ascii="Courier New" w:cs="Courier New" w:eastAsia="Courier New" w:hAnsi="Courier New"/>
          <w:sz w:val="18"/>
          <w:szCs w:val="18"/>
          <w:color w:val="auto"/>
        </w:rPr>
        <w:t>8).</w:t>
      </w:r>
    </w:p>
    <w:p>
      <w:pPr>
        <w:spacing w:after="0" w:line="128" w:lineRule="exact"/>
        <w:rPr>
          <w:rFonts w:ascii="Courier New" w:cs="Courier New" w:eastAsia="Courier New" w:hAnsi="Courier New"/>
          <w:sz w:val="18"/>
          <w:szCs w:val="18"/>
          <w:color w:val="auto"/>
        </w:rPr>
      </w:pPr>
    </w:p>
    <w:p>
      <w:pPr>
        <w:ind w:left="1720" w:hanging="412"/>
        <w:spacing w:after="0" w:line="209" w:lineRule="exact"/>
        <w:tabs>
          <w:tab w:leader="none" w:pos="17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1(b)(1)(ii)(E);</w:t>
      </w:r>
    </w:p>
    <w:p>
      <w:pPr>
        <w:spacing w:after="0" w:line="277" w:lineRule="exact"/>
        <w:rPr>
          <w:rFonts w:ascii="Courier New" w:cs="Courier New" w:eastAsia="Courier New" w:hAnsi="Courier New"/>
          <w:sz w:val="18"/>
          <w:szCs w:val="18"/>
          <w:color w:val="auto"/>
        </w:rPr>
      </w:pPr>
    </w:p>
    <w:p>
      <w:pPr>
        <w:ind w:left="1720" w:hanging="412"/>
        <w:spacing w:after="0"/>
        <w:tabs>
          <w:tab w:leader="none" w:pos="17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7" w:lineRule="exact"/>
        <w:rPr>
          <w:sz w:val="20"/>
          <w:szCs w:val="20"/>
          <w:color w:val="auto"/>
        </w:rPr>
      </w:pPr>
    </w:p>
    <w:p>
      <w:pPr>
        <w:ind w:left="2200"/>
        <w:spacing w:after="0" w:line="209" w:lineRule="exact"/>
        <w:rPr>
          <w:sz w:val="20"/>
          <w:szCs w:val="20"/>
          <w:color w:val="auto"/>
        </w:rPr>
      </w:pPr>
      <w:r>
        <w:rPr>
          <w:rFonts w:ascii="Courier New" w:cs="Courier New" w:eastAsia="Courier New" w:hAnsi="Courier New"/>
          <w:sz w:val="18"/>
          <w:szCs w:val="18"/>
          <w:color w:val="auto"/>
        </w:rPr>
        <w:t>§240.13d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1(b)(1)(ii)(F);</w:t>
      </w:r>
    </w:p>
    <w:p>
      <w:pPr>
        <w:spacing w:after="0" w:line="235" w:lineRule="exact"/>
        <w:rPr>
          <w:sz w:val="20"/>
          <w:szCs w:val="20"/>
          <w:color w:val="auto"/>
        </w:rPr>
      </w:pPr>
    </w:p>
    <w:p>
      <w:pPr>
        <w:ind w:left="2200" w:right="2500" w:hanging="892"/>
        <w:spacing w:after="0" w:line="260" w:lineRule="exact"/>
        <w:tabs>
          <w:tab w:leader="none" w:pos="17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1(b)(1)(ii)(G);</w:t>
      </w:r>
    </w:p>
    <w:p>
      <w:pPr>
        <w:spacing w:after="0" w:line="155" w:lineRule="exact"/>
        <w:rPr>
          <w:rFonts w:ascii="Courier New" w:cs="Courier New" w:eastAsia="Courier New" w:hAnsi="Courier New"/>
          <w:sz w:val="18"/>
          <w:szCs w:val="18"/>
          <w:color w:val="auto"/>
        </w:rPr>
      </w:pPr>
    </w:p>
    <w:p>
      <w:pPr>
        <w:ind w:left="2200" w:right="2180" w:hanging="892"/>
        <w:spacing w:after="0" w:line="371" w:lineRule="auto"/>
        <w:tabs>
          <w:tab w:leader="none" w:pos="17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44" w:lineRule="exact"/>
        <w:rPr>
          <w:rFonts w:ascii="Courier New" w:cs="Courier New" w:eastAsia="Courier New" w:hAnsi="Courier New"/>
          <w:sz w:val="18"/>
          <w:szCs w:val="18"/>
          <w:color w:val="auto"/>
        </w:rPr>
      </w:pPr>
    </w:p>
    <w:p>
      <w:pPr>
        <w:ind w:left="2200" w:right="1800" w:hanging="892"/>
        <w:spacing w:after="0" w:line="245" w:lineRule="exact"/>
        <w:tabs>
          <w:tab w:leader="none" w:pos="17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3);</w:t>
      </w:r>
    </w:p>
    <w:p>
      <w:pPr>
        <w:spacing w:after="0" w:line="129" w:lineRule="exact"/>
        <w:rPr>
          <w:rFonts w:ascii="Courier New" w:cs="Courier New" w:eastAsia="Courier New" w:hAnsi="Courier New"/>
          <w:sz w:val="18"/>
          <w:szCs w:val="18"/>
          <w:color w:val="auto"/>
        </w:rPr>
      </w:pPr>
    </w:p>
    <w:p>
      <w:pPr>
        <w:ind w:left="1720" w:hanging="412"/>
        <w:spacing w:after="0" w:line="209" w:lineRule="exact"/>
        <w:tabs>
          <w:tab w:leader="none" w:pos="17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1(b)(ii)(J);</w:t>
      </w:r>
    </w:p>
    <w:p>
      <w:pPr>
        <w:spacing w:after="0" w:line="250" w:lineRule="exact"/>
        <w:rPr>
          <w:rFonts w:ascii="Courier New" w:cs="Courier New" w:eastAsia="Courier New" w:hAnsi="Courier New"/>
          <w:sz w:val="18"/>
          <w:szCs w:val="18"/>
          <w:color w:val="auto"/>
        </w:rPr>
      </w:pPr>
    </w:p>
    <w:p>
      <w:pPr>
        <w:ind w:left="1720" w:hanging="412"/>
        <w:spacing w:after="0" w:line="209" w:lineRule="exact"/>
        <w:tabs>
          <w:tab w:leader="none" w:pos="17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1(b)(1)(ii)(K).</w:t>
      </w:r>
    </w:p>
    <w:p>
      <w:pPr>
        <w:spacing w:after="0" w:line="250" w:lineRule="exact"/>
        <w:rPr>
          <w:sz w:val="20"/>
          <w:szCs w:val="20"/>
          <w:color w:val="auto"/>
        </w:rPr>
      </w:pPr>
    </w:p>
    <w:p>
      <w:pPr>
        <w:ind w:left="1300" w:right="1620"/>
        <w:spacing w:after="0" w:line="274" w:lineRule="exact"/>
        <w:rPr>
          <w:sz w:val="20"/>
          <w:szCs w:val="20"/>
          <w:color w:val="auto"/>
        </w:rPr>
      </w:pPr>
      <w:r>
        <w:rPr>
          <w:rFonts w:ascii="Courier New" w:cs="Courier New" w:eastAsia="Courier New" w:hAnsi="Courier New"/>
          <w:sz w:val="18"/>
          <w:szCs w:val="18"/>
          <w:color w:val="auto"/>
        </w:rPr>
        <w:t>If filing as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1(b)(1)(ii)(J), please specify the type of institution</w:t>
      </w:r>
    </w:p>
    <w:p>
      <w:pPr>
        <w:spacing w:after="0" w:line="156"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Item 4. Ownership</w:t>
      </w:r>
    </w:p>
    <w:p>
      <w:pPr>
        <w:spacing w:after="0" w:line="242" w:lineRule="exact"/>
        <w:rPr>
          <w:sz w:val="20"/>
          <w:szCs w:val="20"/>
          <w:color w:val="auto"/>
        </w:rPr>
      </w:pPr>
    </w:p>
    <w:p>
      <w:pPr>
        <w:ind w:right="320"/>
        <w:spacing w:after="0" w:line="242" w:lineRule="auto"/>
        <w:rPr>
          <w:sz w:val="20"/>
          <w:szCs w:val="20"/>
          <w:color w:val="auto"/>
        </w:rPr>
      </w:pPr>
      <w:r>
        <w:rPr>
          <w:rFonts w:ascii="Courier New" w:cs="Courier New" w:eastAsia="Courier New" w:hAnsi="Courier New"/>
          <w:sz w:val="18"/>
          <w:szCs w:val="18"/>
          <w:color w:val="auto"/>
        </w:rPr>
        <w:t>The securities reported herein are beneficially owned by one or more open end investment companies or other managed accounts that are investment management clients of ClearBridge Investments Limited f/k/s RARE Infrastructure Ltd ("RAE"), ClearBridge RARE Infrastructure International Pty Ltd (“RII”), and ClearBridge RARE Infrastructure (North America) Pty Ltd (“CRINA”), each an indirect wholly owned subsidiary of Franklin Resources, Inc. ("FRI"). When an investment management contract (including a sub advisory agreement) delegates to CBL, CRII, or CRINA investment discretion or voting power over the securities held in the investment advisory accounts that are subject to that agreement, FRI treats CBL, CRII or CRINA, as applicable, as having sole investment discretion or voting authority, as the case may be, unless the agreement specifies otherwise. Accordingly, each of CBL, CRII, and CRINA reports on Schedule</w:t>
      </w:r>
    </w:p>
    <w:p>
      <w:pPr>
        <w:spacing w:after="0" w:line="1" w:lineRule="exact"/>
        <w:rPr>
          <w:sz w:val="20"/>
          <w:szCs w:val="20"/>
          <w:color w:val="auto"/>
        </w:rPr>
      </w:pPr>
    </w:p>
    <w:p>
      <w:pPr>
        <w:ind w:right="120"/>
        <w:spacing w:after="0" w:line="238" w:lineRule="auto"/>
        <w:rPr>
          <w:sz w:val="20"/>
          <w:szCs w:val="20"/>
          <w:color w:val="auto"/>
        </w:rPr>
      </w:pPr>
      <w:r>
        <w:rPr>
          <w:rFonts w:ascii="Courier New" w:cs="Courier New" w:eastAsia="Courier New" w:hAnsi="Courier New"/>
          <w:sz w:val="18"/>
          <w:szCs w:val="18"/>
          <w:color w:val="auto"/>
        </w:rPr>
        <w:t>13G that it has sole investment discretion and voting authority over the securities covered by any such investment management agreement, unless otherwise noted in this Item 4. As a result, for purposes of Rule 13d-3 under the Act, each of CBL, CRII, and CRINA may be deemed to be the beneficial owner of the securities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reported in this Schedule 13G.</w:t>
      </w:r>
    </w:p>
    <w:p>
      <w:pPr>
        <w:spacing w:after="0" w:line="210" w:lineRule="exact"/>
        <w:rPr>
          <w:sz w:val="20"/>
          <w:szCs w:val="20"/>
          <w:color w:val="auto"/>
        </w:rPr>
      </w:pPr>
    </w:p>
    <w:p>
      <w:pPr>
        <w:ind w:right="220"/>
        <w:spacing w:after="0" w:line="257" w:lineRule="auto"/>
        <w:rPr>
          <w:sz w:val="20"/>
          <w:szCs w:val="20"/>
          <w:color w:val="auto"/>
        </w:rPr>
      </w:pPr>
      <w:r>
        <w:rPr>
          <w:rFonts w:ascii="Courier New" w:cs="Courier New" w:eastAsia="Courier New" w:hAnsi="Courier New"/>
          <w:sz w:val="18"/>
          <w:szCs w:val="18"/>
          <w:color w:val="auto"/>
        </w:rPr>
        <w:t>Beneficial ownership by investment management subsidiaries and other affiliates of FRI is being reported in</w:t>
      </w:r>
    </w:p>
    <w:p>
      <w:pPr>
        <w:ind w:right="420"/>
        <w:spacing w:after="0" w:line="238" w:lineRule="auto"/>
        <w:rPr>
          <w:sz w:val="20"/>
          <w:szCs w:val="20"/>
          <w:color w:val="auto"/>
        </w:rPr>
      </w:pPr>
      <w:r>
        <w:rPr>
          <w:rFonts w:ascii="Courier New" w:cs="Courier New" w:eastAsia="Courier New" w:hAnsi="Courier New"/>
          <w:sz w:val="18"/>
          <w:szCs w:val="18"/>
          <w:color w:val="auto"/>
        </w:rPr>
        <w:t>conformity with the guidelines articulated by the SEC staff in Release No. 34 39538 (January 12, 1998) relating</w:t>
      </w:r>
    </w:p>
    <w:p>
      <w:pPr>
        <w:spacing w:after="0" w:line="1" w:lineRule="exact"/>
        <w:rPr>
          <w:sz w:val="20"/>
          <w:szCs w:val="20"/>
          <w:color w:val="auto"/>
        </w:rPr>
      </w:pPr>
    </w:p>
    <w:p>
      <w:pPr>
        <w:ind w:right="640"/>
        <w:spacing w:after="0" w:line="238" w:lineRule="auto"/>
        <w:rPr>
          <w:sz w:val="20"/>
          <w:szCs w:val="20"/>
          <w:color w:val="auto"/>
        </w:rPr>
      </w:pPr>
      <w:r>
        <w:rPr>
          <w:rFonts w:ascii="Courier New" w:cs="Courier New" w:eastAsia="Courier New" w:hAnsi="Courier New"/>
          <w:sz w:val="18"/>
          <w:szCs w:val="18"/>
          <w:color w:val="auto"/>
        </w:rPr>
        <w:t>to organizations, such as FRI, where related entities exercise voting and investment powers over the securities</w:t>
      </w:r>
    </w:p>
    <w:p>
      <w:pPr>
        <w:spacing w:after="0" w:line="1" w:lineRule="exact"/>
        <w:rPr>
          <w:sz w:val="20"/>
          <w:szCs w:val="20"/>
          <w:color w:val="auto"/>
        </w:rPr>
      </w:pPr>
    </w:p>
    <w:p>
      <w:pPr>
        <w:ind w:right="540"/>
        <w:spacing w:after="0" w:line="238" w:lineRule="auto"/>
        <w:rPr>
          <w:sz w:val="20"/>
          <w:szCs w:val="20"/>
          <w:color w:val="auto"/>
        </w:rPr>
      </w:pPr>
      <w:r>
        <w:rPr>
          <w:rFonts w:ascii="Courier New" w:cs="Courier New" w:eastAsia="Courier New" w:hAnsi="Courier New"/>
          <w:sz w:val="18"/>
          <w:szCs w:val="18"/>
          <w:color w:val="auto"/>
        </w:rPr>
        <w:t>being reported independently from each other. The voting and investment powers held by CBL, CRII, and CRINA are</w:t>
      </w:r>
    </w:p>
    <w:p>
      <w:pPr>
        <w:spacing w:after="0" w:line="1" w:lineRule="exact"/>
        <w:rPr>
          <w:sz w:val="20"/>
          <w:szCs w:val="20"/>
          <w:color w:val="auto"/>
        </w:rPr>
      </w:pPr>
    </w:p>
    <w:p>
      <w:pPr>
        <w:spacing w:after="0" w:line="238" w:lineRule="auto"/>
        <w:rPr>
          <w:sz w:val="20"/>
          <w:szCs w:val="20"/>
          <w:color w:val="auto"/>
        </w:rPr>
      </w:pPr>
      <w:r>
        <w:rPr>
          <w:rFonts w:ascii="Courier New" w:cs="Courier New" w:eastAsia="Courier New" w:hAnsi="Courier New"/>
          <w:sz w:val="18"/>
          <w:szCs w:val="18"/>
          <w:color w:val="auto"/>
        </w:rPr>
        <w:t>exercised independently from FRI (the ultimate parent holding company of each of CBL, CRII, and CRINA) and from</w:t>
      </w:r>
    </w:p>
    <w:p>
      <w:pPr>
        <w:spacing w:after="0" w:line="1" w:lineRule="exact"/>
        <w:rPr>
          <w:sz w:val="20"/>
          <w:szCs w:val="20"/>
          <w:color w:val="auto"/>
        </w:rPr>
      </w:pPr>
    </w:p>
    <w:p>
      <w:pPr>
        <w:ind w:right="840"/>
        <w:spacing w:after="0" w:line="238" w:lineRule="auto"/>
        <w:rPr>
          <w:sz w:val="20"/>
          <w:szCs w:val="20"/>
          <w:color w:val="auto"/>
        </w:rPr>
      </w:pPr>
      <w:r>
        <w:rPr>
          <w:rFonts w:ascii="Courier New" w:cs="Courier New" w:eastAsia="Courier New" w:hAnsi="Courier New"/>
          <w:sz w:val="18"/>
          <w:szCs w:val="18"/>
          <w:color w:val="auto"/>
        </w:rPr>
        <w:t>all other investment management subsidiaries of FRI (FRI, its affiliates and investment management subsidiaries</w:t>
      </w:r>
    </w:p>
    <w:p>
      <w:pPr>
        <w:spacing w:after="0" w:line="1" w:lineRule="exact"/>
        <w:rPr>
          <w:sz w:val="20"/>
          <w:szCs w:val="20"/>
          <w:color w:val="auto"/>
        </w:rPr>
      </w:pPr>
    </w:p>
    <w:p>
      <w:pPr>
        <w:ind w:right="220"/>
        <w:spacing w:after="0" w:line="238" w:lineRule="auto"/>
        <w:rPr>
          <w:sz w:val="20"/>
          <w:szCs w:val="20"/>
          <w:color w:val="auto"/>
        </w:rPr>
      </w:pPr>
      <w:r>
        <w:rPr>
          <w:rFonts w:ascii="Courier New" w:cs="Courier New" w:eastAsia="Courier New" w:hAnsi="Courier New"/>
          <w:sz w:val="18"/>
          <w:szCs w:val="18"/>
          <w:color w:val="auto"/>
        </w:rPr>
        <w:t>other than CBL, CRII, and CRINA are, collectively, “FRI affiliates”). Furthermore, internal policies and procedures</w:t>
      </w:r>
    </w:p>
    <w:p>
      <w:pPr>
        <w:spacing w:after="0" w:line="1" w:lineRule="exact"/>
        <w:rPr>
          <w:sz w:val="20"/>
          <w:szCs w:val="20"/>
          <w:color w:val="auto"/>
        </w:rPr>
      </w:pPr>
    </w:p>
    <w:p>
      <w:pPr>
        <w:ind w:right="840"/>
        <w:spacing w:after="0" w:line="238" w:lineRule="auto"/>
        <w:rPr>
          <w:sz w:val="20"/>
          <w:szCs w:val="20"/>
          <w:color w:val="auto"/>
        </w:rPr>
      </w:pPr>
      <w:r>
        <w:rPr>
          <w:rFonts w:ascii="Courier New" w:cs="Courier New" w:eastAsia="Courier New" w:hAnsi="Courier New"/>
          <w:sz w:val="18"/>
          <w:szCs w:val="18"/>
          <w:color w:val="auto"/>
        </w:rPr>
        <w:t>of each of CBL, CRII, and CRINA, on the one hand, and FRI affiliates, on the other hand, establish informational</w:t>
      </w:r>
    </w:p>
    <w:p>
      <w:pPr>
        <w:spacing w:after="0" w:line="1" w:lineRule="exact"/>
        <w:rPr>
          <w:sz w:val="20"/>
          <w:szCs w:val="20"/>
          <w:color w:val="auto"/>
        </w:rPr>
      </w:pPr>
    </w:p>
    <w:p>
      <w:pPr>
        <w:ind w:right="220"/>
        <w:spacing w:after="0" w:line="318" w:lineRule="auto"/>
        <w:rPr>
          <w:sz w:val="20"/>
          <w:szCs w:val="20"/>
          <w:color w:val="auto"/>
        </w:rPr>
      </w:pPr>
      <w:r>
        <w:rPr>
          <w:rFonts w:ascii="Courier New" w:cs="Courier New" w:eastAsia="Courier New" w:hAnsi="Courier New"/>
          <w:sz w:val="18"/>
          <w:szCs w:val="18"/>
          <w:color w:val="auto"/>
        </w:rPr>
        <w:t>barriers that prevent the flow between CBL, CRII, and CRINA, on the one hand, and the FRI affiliates, on the other</w:t>
      </w:r>
    </w:p>
    <w:p>
      <w:pPr>
        <w:sectPr>
          <w:pgSz w:w="11900" w:h="16838" w:orient="portrait"/>
          <w:cols w:equalWidth="0" w:num="1">
            <w:col w:w="11180"/>
          </w:cols>
          <w:pgMar w:left="320" w:top="835" w:right="399" w:bottom="0" w:gutter="0" w:footer="0" w:header="0"/>
        </w:sectPr>
      </w:pPr>
    </w:p>
    <w:bookmarkStart w:id="6" w:name="page7"/>
    <w:bookmarkEnd w:id="6"/>
    <w:p>
      <w:pPr>
        <w:spacing w:after="0" w:line="281" w:lineRule="auto"/>
        <w:rPr>
          <w:sz w:val="20"/>
          <w:szCs w:val="20"/>
          <w:color w:val="auto"/>
        </w:rPr>
      </w:pPr>
      <w:r>
        <w:rPr>
          <w:rFonts w:ascii="Courier New" w:cs="Courier New" w:eastAsia="Courier New" w:hAnsi="Courier New"/>
          <w:sz w:val="18"/>
          <w:szCs w:val="18"/>
          <w:color w:val="auto"/>
        </w:rPr>
        <w:t>hand, of information that relates to the voting and investment powers over the securities owned by their respective</w:t>
      </w:r>
    </w:p>
    <w:p>
      <w:pPr>
        <w:spacing w:after="0" w:line="1" w:lineRule="exact"/>
        <w:rPr>
          <w:sz w:val="20"/>
          <w:szCs w:val="20"/>
          <w:color w:val="auto"/>
        </w:rPr>
      </w:pPr>
    </w:p>
    <w:p>
      <w:pPr>
        <w:ind w:right="520"/>
        <w:spacing w:after="0" w:line="238" w:lineRule="auto"/>
        <w:rPr>
          <w:sz w:val="20"/>
          <w:szCs w:val="20"/>
          <w:color w:val="auto"/>
        </w:rPr>
      </w:pPr>
      <w:r>
        <w:rPr>
          <w:rFonts w:ascii="Courier New" w:cs="Courier New" w:eastAsia="Courier New" w:hAnsi="Courier New"/>
          <w:sz w:val="18"/>
          <w:szCs w:val="18"/>
          <w:color w:val="auto"/>
        </w:rPr>
        <w:t>investment management clients. Consequently, each of CBL, CRII, CRINA, on the one hand, and the FRI affiliates, on</w:t>
      </w:r>
    </w:p>
    <w:p>
      <w:pPr>
        <w:spacing w:after="0" w:line="1" w:lineRule="exact"/>
        <w:rPr>
          <w:sz w:val="20"/>
          <w:szCs w:val="20"/>
          <w:color w:val="auto"/>
        </w:rPr>
      </w:pPr>
    </w:p>
    <w:p>
      <w:pPr>
        <w:ind w:right="200"/>
        <w:spacing w:after="0" w:line="238" w:lineRule="auto"/>
        <w:rPr>
          <w:sz w:val="20"/>
          <w:szCs w:val="20"/>
          <w:color w:val="auto"/>
        </w:rPr>
      </w:pPr>
      <w:r>
        <w:rPr>
          <w:rFonts w:ascii="Courier New" w:cs="Courier New" w:eastAsia="Courier New" w:hAnsi="Courier New"/>
          <w:sz w:val="18"/>
          <w:szCs w:val="18"/>
          <w:color w:val="auto"/>
        </w:rPr>
        <w:t>the other hand, report the securities over which they hold investment and voting power separately from each other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1532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960"/>
          </w:cols>
          <w:pgMar w:left="320" w:top="105" w:right="619" w:bottom="1440" w:gutter="0" w:footer="0" w:header="0"/>
        </w:sectPr>
      </w:pPr>
    </w:p>
    <w:bookmarkStart w:id="7" w:name="page8"/>
    <w:bookmarkEnd w:id="7"/>
    <w:p>
      <w:pPr>
        <w:spacing w:after="0"/>
        <w:tabs>
          <w:tab w:leader="none" w:pos="1140" w:val="left"/>
          <w:tab w:leader="none" w:pos="5040" w:val="left"/>
          <w:tab w:leader="none" w:pos="830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8</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53"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However, because each of CBL, CRII, and CRINA exercises voting and investment powers on behalf of its investment management clients independently of FRI affiliates, beneficial ownership of the securities reported by CBL, CRII, and CRINA is not attributed to the Principal Shareholders. Each of CBL, CRII, and CRINA disclaims any pecuniary interest in any of the securities reported in this Schedule 13G. In addition, the filing of this Schedule 13G on behalf of CBL, CRII, and CRINA should not be construed as an admission that CBL, CRII, or CRINA is, and each of CBL, CRII, and CRINA disclaims that it is, the beneficial owner, as defined in Rule 13d-3, of any of such securities.</w:t>
      </w:r>
    </w:p>
    <w:p>
      <w:pPr>
        <w:spacing w:after="0" w:line="131" w:lineRule="exact"/>
        <w:rPr>
          <w:sz w:val="20"/>
          <w:szCs w:val="20"/>
          <w:color w:val="auto"/>
        </w:rPr>
      </w:pPr>
    </w:p>
    <w:p>
      <w:pPr>
        <w:spacing w:after="0" w:line="267" w:lineRule="auto"/>
        <w:rPr>
          <w:sz w:val="20"/>
          <w:szCs w:val="20"/>
          <w:color w:val="auto"/>
        </w:rPr>
      </w:pPr>
      <w:r>
        <w:rPr>
          <w:rFonts w:ascii="Courier New" w:cs="Courier New" w:eastAsia="Courier New" w:hAnsi="Courier New"/>
          <w:sz w:val="18"/>
          <w:szCs w:val="18"/>
          <w:color w:val="auto"/>
        </w:rPr>
        <w:t>Furthermore, each of CBL, CRII, and CRINA believes that it is not a "group" with FRI affiliates, the Principal Shareholders, or their respective affiliates within the meaning of Rule 13d-5 under the Act and that none of them is otherwise required to attribute to any other the beneficial ownership of the securities held by such person or by any persons or entities for whom or for which CBL, CRII, or CRINA, or the FRI affiliates provide investment management services.</w:t>
      </w:r>
    </w:p>
    <w:p>
      <w:pPr>
        <w:spacing w:after="0" w:line="135" w:lineRule="exact"/>
        <w:rPr>
          <w:sz w:val="20"/>
          <w:szCs w:val="20"/>
          <w:color w:val="auto"/>
        </w:rPr>
      </w:pPr>
    </w:p>
    <w:p>
      <w:pPr>
        <w:ind w:left="1520" w:right="6560" w:hanging="812"/>
        <w:spacing w:after="0" w:line="540" w:lineRule="auto"/>
        <w:tabs>
          <w:tab w:leader="none" w:pos="155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4,455,205</w:t>
      </w:r>
    </w:p>
    <w:p>
      <w:pPr>
        <w:ind w:left="1560" w:hanging="852"/>
        <w:spacing w:after="0"/>
        <w:tabs>
          <w:tab w:leader="none" w:pos="15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500"/>
        <w:spacing w:after="0"/>
        <w:rPr>
          <w:sz w:val="20"/>
          <w:szCs w:val="20"/>
          <w:color w:val="auto"/>
        </w:rPr>
      </w:pPr>
      <w:r>
        <w:rPr>
          <w:rFonts w:ascii="Courier New" w:cs="Courier New" w:eastAsia="Courier New" w:hAnsi="Courier New"/>
          <w:sz w:val="18"/>
          <w:szCs w:val="18"/>
          <w:color w:val="auto"/>
        </w:rPr>
        <w:t>5.5%</w:t>
      </w:r>
    </w:p>
    <w:p>
      <w:pPr>
        <w:spacing w:after="0" w:line="255" w:lineRule="exact"/>
        <w:rPr>
          <w:sz w:val="20"/>
          <w:szCs w:val="20"/>
          <w:color w:val="auto"/>
        </w:rPr>
      </w:pPr>
    </w:p>
    <w:tbl>
      <w:tblPr>
        <w:tblLayout w:type="fixed"/>
        <w:tblInd w:w="700" w:type="dxa"/>
        <w:tblCellMar>
          <w:top w:w="0" w:type="dxa"/>
          <w:left w:w="0" w:type="dxa"/>
          <w:bottom w:w="0" w:type="dxa"/>
          <w:right w:w="0" w:type="dxa"/>
        </w:tblCellMar>
      </w:tblPr>
      <w:tr>
        <w:trPr>
          <w:trHeight w:val="304"/>
        </w:trPr>
        <w:tc>
          <w:tcPr>
            <w:tcW w:w="82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6500" w:type="dxa"/>
            <w:vAlign w:val="bottom"/>
          </w:tcPr>
          <w:p>
            <w:pPr>
              <w:ind w:left="40"/>
              <w:spacing w:after="0"/>
              <w:rPr>
                <w:sz w:val="20"/>
                <w:szCs w:val="20"/>
                <w:color w:val="auto"/>
              </w:rPr>
            </w:pPr>
            <w:r>
              <w:rPr>
                <w:rFonts w:ascii="Courier New" w:cs="Courier New" w:eastAsia="Courier New" w:hAnsi="Courier New"/>
                <w:sz w:val="18"/>
                <w:szCs w:val="18"/>
                <w:color w:val="auto"/>
              </w:rPr>
              <w:t>Number of shares as to which the person has:</w:t>
            </w:r>
          </w:p>
        </w:tc>
        <w:tc>
          <w:tcPr>
            <w:tcW w:w="1360" w:type="dxa"/>
            <w:vAlign w:val="bottom"/>
          </w:tcPr>
          <w:p>
            <w:pPr>
              <w:spacing w:after="0"/>
              <w:rPr>
                <w:sz w:val="24"/>
                <w:szCs w:val="24"/>
                <w:color w:val="auto"/>
              </w:rPr>
            </w:pPr>
          </w:p>
        </w:tc>
      </w:tr>
      <w:tr>
        <w:trPr>
          <w:trHeight w:val="459"/>
        </w:trPr>
        <w:tc>
          <w:tcPr>
            <w:tcW w:w="820" w:type="dxa"/>
            <w:vAlign w:val="bottom"/>
          </w:tcPr>
          <w:p>
            <w:pPr>
              <w:ind w:left="460"/>
              <w:spacing w:after="0"/>
              <w:rPr>
                <w:sz w:val="20"/>
                <w:szCs w:val="20"/>
                <w:color w:val="auto"/>
              </w:rPr>
            </w:pPr>
            <w:r>
              <w:rPr>
                <w:rFonts w:ascii="Courier New" w:cs="Courier New" w:eastAsia="Courier New" w:hAnsi="Courier New"/>
                <w:sz w:val="18"/>
                <w:szCs w:val="18"/>
                <w:color w:val="auto"/>
              </w:rPr>
              <w:t>(i)</w:t>
            </w:r>
          </w:p>
        </w:tc>
        <w:tc>
          <w:tcPr>
            <w:tcW w:w="6500" w:type="dxa"/>
            <w:vAlign w:val="bottom"/>
          </w:tcPr>
          <w:p>
            <w:pPr>
              <w:ind w:left="38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360" w:type="dxa"/>
            <w:vAlign w:val="bottom"/>
          </w:tcPr>
          <w:p>
            <w:pPr>
              <w:spacing w:after="0"/>
              <w:rPr>
                <w:sz w:val="24"/>
                <w:szCs w:val="24"/>
                <w:color w:val="auto"/>
              </w:rPr>
            </w:pPr>
          </w:p>
        </w:tc>
      </w:tr>
      <w:tr>
        <w:trPr>
          <w:trHeight w:val="459"/>
        </w:trPr>
        <w:tc>
          <w:tcPr>
            <w:tcW w:w="820" w:type="dxa"/>
            <w:vAlign w:val="bottom"/>
          </w:tcPr>
          <w:p>
            <w:pPr>
              <w:spacing w:after="0"/>
              <w:rPr>
                <w:sz w:val="24"/>
                <w:szCs w:val="24"/>
                <w:color w:val="auto"/>
              </w:rPr>
            </w:pPr>
          </w:p>
        </w:tc>
        <w:tc>
          <w:tcPr>
            <w:tcW w:w="6500" w:type="dxa"/>
            <w:vAlign w:val="bottom"/>
          </w:tcPr>
          <w:p>
            <w:pPr>
              <w:ind w:left="280"/>
              <w:spacing w:after="0"/>
              <w:rPr>
                <w:sz w:val="20"/>
                <w:szCs w:val="20"/>
                <w:color w:val="auto"/>
              </w:rPr>
            </w:pPr>
            <w:r>
              <w:rPr>
                <w:rFonts w:ascii="Courier New" w:cs="Courier New" w:eastAsia="Courier New" w:hAnsi="Courier New"/>
                <w:sz w:val="18"/>
                <w:szCs w:val="18"/>
                <w:color w:val="auto"/>
              </w:rPr>
              <w:t>ClearBridge Investments Limited:</w:t>
            </w:r>
          </w:p>
        </w:tc>
        <w:tc>
          <w:tcPr>
            <w:tcW w:w="1360" w:type="dxa"/>
            <w:vAlign w:val="bottom"/>
          </w:tcPr>
          <w:p>
            <w:pPr>
              <w:jc w:val="right"/>
              <w:ind w:right="10"/>
              <w:spacing w:after="0"/>
              <w:rPr>
                <w:sz w:val="20"/>
                <w:szCs w:val="20"/>
                <w:color w:val="auto"/>
              </w:rPr>
            </w:pPr>
            <w:r>
              <w:rPr>
                <w:rFonts w:ascii="Courier New" w:cs="Courier New" w:eastAsia="Courier New" w:hAnsi="Courier New"/>
                <w:sz w:val="18"/>
                <w:szCs w:val="18"/>
                <w:color w:val="auto"/>
              </w:rPr>
              <w:t>1,617,961</w:t>
            </w:r>
          </w:p>
        </w:tc>
      </w:tr>
      <w:tr>
        <w:trPr>
          <w:trHeight w:val="445"/>
        </w:trPr>
        <w:tc>
          <w:tcPr>
            <w:tcW w:w="820" w:type="dxa"/>
            <w:vAlign w:val="bottom"/>
          </w:tcPr>
          <w:p>
            <w:pPr>
              <w:spacing w:after="0"/>
              <w:rPr>
                <w:sz w:val="24"/>
                <w:szCs w:val="24"/>
                <w:color w:val="auto"/>
              </w:rPr>
            </w:pPr>
          </w:p>
        </w:tc>
        <w:tc>
          <w:tcPr>
            <w:tcW w:w="6500" w:type="dxa"/>
            <w:vAlign w:val="bottom"/>
          </w:tcPr>
          <w:p>
            <w:pPr>
              <w:ind w:left="380"/>
              <w:spacing w:after="0"/>
              <w:rPr>
                <w:sz w:val="20"/>
                <w:szCs w:val="20"/>
                <w:color w:val="auto"/>
              </w:rPr>
            </w:pPr>
            <w:r>
              <w:rPr>
                <w:rFonts w:ascii="Courier New" w:cs="Courier New" w:eastAsia="Courier New" w:hAnsi="Courier New"/>
                <w:sz w:val="18"/>
                <w:szCs w:val="18"/>
                <w:color w:val="auto"/>
              </w:rPr>
              <w:t>ClearBridge RARE Infrastructure International Pty Ltd: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1,821,550</w:t>
            </w:r>
          </w:p>
        </w:tc>
      </w:tr>
      <w:tr>
        <w:trPr>
          <w:trHeight w:val="445"/>
        </w:trPr>
        <w:tc>
          <w:tcPr>
            <w:tcW w:w="820" w:type="dxa"/>
            <w:vAlign w:val="bottom"/>
          </w:tcPr>
          <w:p>
            <w:pPr>
              <w:spacing w:after="0"/>
              <w:rPr>
                <w:sz w:val="24"/>
                <w:szCs w:val="24"/>
                <w:color w:val="auto"/>
              </w:rPr>
            </w:pPr>
          </w:p>
        </w:tc>
        <w:tc>
          <w:tcPr>
            <w:tcW w:w="6500" w:type="dxa"/>
            <w:vAlign w:val="bottom"/>
          </w:tcPr>
          <w:p>
            <w:pPr>
              <w:ind w:left="380"/>
              <w:spacing w:after="0"/>
              <w:rPr>
                <w:sz w:val="20"/>
                <w:szCs w:val="20"/>
                <w:color w:val="auto"/>
              </w:rPr>
            </w:pPr>
            <w:r>
              <w:rPr>
                <w:rFonts w:ascii="Courier New" w:cs="Courier New" w:eastAsia="Courier New" w:hAnsi="Courier New"/>
                <w:sz w:val="18"/>
                <w:szCs w:val="18"/>
                <w:color w:val="auto"/>
              </w:rPr>
              <w:t>ClearBridge RARE Infrastructure(North America) Pty Ltd: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1,015,694</w:t>
            </w:r>
          </w:p>
        </w:tc>
      </w:tr>
    </w:tbl>
    <w:p>
      <w:pPr>
        <w:spacing w:after="0" w:line="358" w:lineRule="exact"/>
        <w:rPr>
          <w:sz w:val="20"/>
          <w:szCs w:val="20"/>
          <w:color w:val="auto"/>
        </w:rPr>
      </w:pPr>
    </w:p>
    <w:p>
      <w:pPr>
        <w:ind w:left="1800" w:right="4520" w:hanging="737"/>
        <w:spacing w:after="0" w:line="540" w:lineRule="auto"/>
        <w:tabs>
          <w:tab w:leader="none" w:pos="189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920" w:hanging="957"/>
        <w:spacing w:after="0"/>
        <w:tabs>
          <w:tab w:leader="none" w:pos="19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55" w:lineRule="exact"/>
        <w:rPr>
          <w:sz w:val="20"/>
          <w:szCs w:val="20"/>
          <w:color w:val="auto"/>
        </w:rPr>
      </w:pPr>
    </w:p>
    <w:tbl>
      <w:tblPr>
        <w:tblLayout w:type="fixed"/>
        <w:tblInd w:w="1060" w:type="dxa"/>
        <w:tblCellMar>
          <w:top w:w="0" w:type="dxa"/>
          <w:left w:w="0" w:type="dxa"/>
          <w:bottom w:w="0" w:type="dxa"/>
          <w:right w:w="0" w:type="dxa"/>
        </w:tblCellMar>
      </w:tblPr>
      <w:tr>
        <w:trPr>
          <w:trHeight w:val="304"/>
        </w:trPr>
        <w:tc>
          <w:tcPr>
            <w:tcW w:w="580" w:type="dxa"/>
            <w:vAlign w:val="bottom"/>
          </w:tcPr>
          <w:p>
            <w:pPr>
              <w:spacing w:after="0"/>
              <w:rPr>
                <w:sz w:val="24"/>
                <w:szCs w:val="24"/>
                <w:color w:val="auto"/>
              </w:rPr>
            </w:pP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rPr>
              <w:t>ClearBridge Investments Limited:</w:t>
            </w:r>
          </w:p>
        </w:tc>
        <w:tc>
          <w:tcPr>
            <w:tcW w:w="1360" w:type="dxa"/>
            <w:vAlign w:val="bottom"/>
          </w:tcPr>
          <w:p>
            <w:pPr>
              <w:jc w:val="right"/>
              <w:ind w:right="10"/>
              <w:spacing w:after="0"/>
              <w:rPr>
                <w:sz w:val="20"/>
                <w:szCs w:val="20"/>
                <w:color w:val="auto"/>
              </w:rPr>
            </w:pPr>
            <w:r>
              <w:rPr>
                <w:rFonts w:ascii="Courier New" w:cs="Courier New" w:eastAsia="Courier New" w:hAnsi="Courier New"/>
                <w:sz w:val="18"/>
                <w:szCs w:val="18"/>
                <w:color w:val="auto"/>
              </w:rPr>
              <w:t>1,617,961</w:t>
            </w:r>
          </w:p>
        </w:tc>
      </w:tr>
      <w:tr>
        <w:trPr>
          <w:trHeight w:val="445"/>
        </w:trPr>
        <w:tc>
          <w:tcPr>
            <w:tcW w:w="580" w:type="dxa"/>
            <w:vAlign w:val="bottom"/>
          </w:tcPr>
          <w:p>
            <w:pPr>
              <w:spacing w:after="0"/>
              <w:rPr>
                <w:sz w:val="24"/>
                <w:szCs w:val="24"/>
                <w:color w:val="auto"/>
              </w:rPr>
            </w:pPr>
          </w:p>
        </w:tc>
        <w:tc>
          <w:tcPr>
            <w:tcW w:w="6380" w:type="dxa"/>
            <w:vAlign w:val="bottom"/>
          </w:tcPr>
          <w:p>
            <w:pPr>
              <w:ind w:left="260"/>
              <w:spacing w:after="0"/>
              <w:rPr>
                <w:sz w:val="20"/>
                <w:szCs w:val="20"/>
                <w:color w:val="auto"/>
              </w:rPr>
            </w:pPr>
            <w:r>
              <w:rPr>
                <w:rFonts w:ascii="Courier New" w:cs="Courier New" w:eastAsia="Courier New" w:hAnsi="Courier New"/>
                <w:sz w:val="18"/>
                <w:szCs w:val="18"/>
                <w:color w:val="auto"/>
              </w:rPr>
              <w:t>ClearBridge RARE Infrastructure International Pty Ltd: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1,821,550</w:t>
            </w:r>
          </w:p>
        </w:tc>
      </w:tr>
      <w:tr>
        <w:trPr>
          <w:trHeight w:val="445"/>
        </w:trPr>
        <w:tc>
          <w:tcPr>
            <w:tcW w:w="580" w:type="dxa"/>
            <w:vAlign w:val="bottom"/>
          </w:tcPr>
          <w:p>
            <w:pPr>
              <w:spacing w:after="0"/>
              <w:rPr>
                <w:sz w:val="24"/>
                <w:szCs w:val="24"/>
                <w:color w:val="auto"/>
              </w:rPr>
            </w:pPr>
          </w:p>
        </w:tc>
        <w:tc>
          <w:tcPr>
            <w:tcW w:w="6380" w:type="dxa"/>
            <w:vAlign w:val="bottom"/>
          </w:tcPr>
          <w:p>
            <w:pPr>
              <w:ind w:left="260"/>
              <w:spacing w:after="0"/>
              <w:rPr>
                <w:sz w:val="20"/>
                <w:szCs w:val="20"/>
                <w:color w:val="auto"/>
              </w:rPr>
            </w:pPr>
            <w:r>
              <w:rPr>
                <w:rFonts w:ascii="Courier New" w:cs="Courier New" w:eastAsia="Courier New" w:hAnsi="Courier New"/>
                <w:sz w:val="18"/>
                <w:szCs w:val="18"/>
                <w:color w:val="auto"/>
              </w:rPr>
              <w:t>ClearBridge RARE Infrastructure(North America) Pty Ltd: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1,015,694</w:t>
            </w:r>
          </w:p>
        </w:tc>
      </w:tr>
      <w:tr>
        <w:trPr>
          <w:trHeight w:val="702"/>
        </w:trPr>
        <w:tc>
          <w:tcPr>
            <w:tcW w:w="58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6380" w:type="dxa"/>
            <w:vAlign w:val="bottom"/>
          </w:tcPr>
          <w:p>
            <w:pPr>
              <w:ind w:left="260"/>
              <w:spacing w:after="0"/>
              <w:rPr>
                <w:sz w:val="20"/>
                <w:szCs w:val="20"/>
                <w:color w:val="auto"/>
              </w:rPr>
            </w:pPr>
            <w:r>
              <w:rPr>
                <w:rFonts w:ascii="Courier New" w:cs="Courier New" w:eastAsia="Courier New" w:hAnsi="Courier New"/>
                <w:sz w:val="18"/>
                <w:szCs w:val="18"/>
                <w:color w:val="auto"/>
              </w:rPr>
              <w:t>Shared power to dispose or to direct the disposition of</w:t>
            </w:r>
          </w:p>
        </w:tc>
        <w:tc>
          <w:tcPr>
            <w:tcW w:w="1360" w:type="dxa"/>
            <w:vAlign w:val="bottom"/>
          </w:tcPr>
          <w:p>
            <w:pPr>
              <w:spacing w:after="0"/>
              <w:rPr>
                <w:sz w:val="24"/>
                <w:szCs w:val="24"/>
                <w:color w:val="auto"/>
              </w:rPr>
            </w:pPr>
          </w:p>
        </w:tc>
      </w:tr>
      <w:tr>
        <w:trPr>
          <w:trHeight w:val="459"/>
        </w:trPr>
        <w:tc>
          <w:tcPr>
            <w:tcW w:w="580" w:type="dxa"/>
            <w:vAlign w:val="bottom"/>
          </w:tcPr>
          <w:p>
            <w:pPr>
              <w:spacing w:after="0"/>
              <w:rPr>
                <w:sz w:val="24"/>
                <w:szCs w:val="24"/>
                <w:color w:val="auto"/>
              </w:rPr>
            </w:pP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spacing w:after="0"/>
              <w:rPr>
                <w:sz w:val="24"/>
                <w:szCs w:val="24"/>
                <w:color w:val="auto"/>
              </w:rPr>
            </w:pPr>
          </w:p>
        </w:tc>
      </w:tr>
    </w:tbl>
    <w:p>
      <w:pPr>
        <w:spacing w:after="0" w:line="155"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55" w:lineRule="exact"/>
        <w:rPr>
          <w:sz w:val="20"/>
          <w:szCs w:val="20"/>
          <w:color w:val="auto"/>
        </w:rPr>
      </w:pPr>
    </w:p>
    <w:p>
      <w:pPr>
        <w:ind w:left="1300" w:right="1340"/>
        <w:spacing w:after="0" w:line="313"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266700</wp:posOffset>
            </wp:positionV>
            <wp:extent cx="71532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860"/>
          </w:cols>
          <w:pgMar w:left="320" w:top="835" w:right="719" w:bottom="1440" w:gutter="0" w:footer="0" w:header="0"/>
        </w:sectPr>
      </w:pPr>
    </w:p>
    <w:bookmarkStart w:id="8" w:name="page9"/>
    <w:bookmarkEnd w:id="8"/>
    <w:p>
      <w:pPr>
        <w:spacing w:after="0"/>
        <w:tabs>
          <w:tab w:leader="none" w:pos="1140" w:val="left"/>
          <w:tab w:leader="none" w:pos="4620" w:val="left"/>
          <w:tab w:leader="none" w:pos="788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6 of 8</w:t>
      </w:r>
    </w:p>
    <w:p>
      <w:pPr>
        <w:spacing w:after="0" w:line="242" w:lineRule="exact"/>
        <w:rPr>
          <w:sz w:val="20"/>
          <w:szCs w:val="20"/>
          <w:color w:val="auto"/>
        </w:rPr>
      </w:pPr>
    </w:p>
    <w:p>
      <w:pPr>
        <w:ind w:left="140"/>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42" w:lineRule="exact"/>
        <w:rPr>
          <w:sz w:val="20"/>
          <w:szCs w:val="20"/>
          <w:color w:val="auto"/>
        </w:rPr>
      </w:pPr>
    </w:p>
    <w:p>
      <w:pPr>
        <w:ind w:left="980" w:right="439"/>
        <w:spacing w:after="0" w:line="298" w:lineRule="auto"/>
        <w:rPr>
          <w:sz w:val="20"/>
          <w:szCs w:val="20"/>
          <w:color w:val="auto"/>
        </w:rPr>
      </w:pPr>
      <w:r>
        <w:rPr>
          <w:rFonts w:ascii="Courier New" w:cs="Courier New" w:eastAsia="Courier New" w:hAnsi="Courier New"/>
          <w:sz w:val="17"/>
          <w:szCs w:val="17"/>
          <w:color w:val="auto"/>
        </w:rPr>
        <w:t>The clients of each of CBL, CRII, and CRINA,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110" w:lineRule="exact"/>
        <w:rPr>
          <w:sz w:val="20"/>
          <w:szCs w:val="20"/>
          <w:color w:val="auto"/>
        </w:rPr>
      </w:pPr>
    </w:p>
    <w:p>
      <w:pPr>
        <w:ind w:left="900" w:right="1419" w:hanging="799"/>
        <w:spacing w:after="0" w:line="371"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4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5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ClearBridge Investments Limited</w:t>
      </w:r>
    </w:p>
    <w:p>
      <w:pPr>
        <w:spacing w:after="0" w:line="29" w:lineRule="exact"/>
        <w:rPr>
          <w:sz w:val="20"/>
          <w:szCs w:val="20"/>
          <w:color w:val="auto"/>
        </w:rPr>
      </w:pPr>
    </w:p>
    <w:p>
      <w:pPr>
        <w:ind w:left="980"/>
        <w:spacing w:after="0"/>
        <w:rPr>
          <w:sz w:val="20"/>
          <w:szCs w:val="20"/>
          <w:color w:val="auto"/>
        </w:rPr>
      </w:pPr>
      <w:r>
        <w:rPr>
          <w:rFonts w:ascii="Courier New" w:cs="Courier New" w:eastAsia="Courier New" w:hAnsi="Courier New"/>
          <w:sz w:val="18"/>
          <w:szCs w:val="18"/>
          <w:color w:val="auto"/>
        </w:rPr>
        <w:t>ClearBridge RARE Infrastructure International Pty Ltd</w:t>
      </w:r>
    </w:p>
    <w:p>
      <w:pPr>
        <w:ind w:left="980"/>
        <w:spacing w:after="0"/>
        <w:rPr>
          <w:sz w:val="20"/>
          <w:szCs w:val="20"/>
          <w:color w:val="auto"/>
        </w:rPr>
      </w:pPr>
      <w:r>
        <w:rPr>
          <w:rFonts w:ascii="Courier New" w:cs="Courier New" w:eastAsia="Courier New" w:hAnsi="Courier New"/>
          <w:sz w:val="18"/>
          <w:szCs w:val="18"/>
          <w:color w:val="auto"/>
        </w:rPr>
        <w:t>ClearBridge RARE Infrastructure (North America) Pty Ltd</w:t>
      </w:r>
    </w:p>
    <w:p>
      <w:pPr>
        <w:spacing w:after="0" w:line="22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5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241300</wp:posOffset>
            </wp:positionV>
            <wp:extent cx="71532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1092" w:right="1440" w:bottom="1440" w:gutter="0" w:footer="0" w:header="0"/>
        </w:sectPr>
      </w:pPr>
    </w:p>
    <w:bookmarkStart w:id="9" w:name="page10"/>
    <w:bookmarkEnd w:id="9"/>
    <w:p>
      <w:pPr>
        <w:spacing w:after="0"/>
        <w:tabs>
          <w:tab w:leader="none" w:pos="1140" w:val="left"/>
          <w:tab w:leader="none" w:pos="4620" w:val="left"/>
          <w:tab w:leader="none" w:pos="788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8</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10. Certification</w:t>
      </w:r>
    </w:p>
    <w:p>
      <w:pPr>
        <w:spacing w:after="0" w:line="255" w:lineRule="exact"/>
        <w:rPr>
          <w:sz w:val="20"/>
          <w:szCs w:val="20"/>
          <w:color w:val="auto"/>
        </w:rPr>
      </w:pPr>
    </w:p>
    <w:p>
      <w:pPr>
        <w:ind w:left="100" w:right="359"/>
        <w:spacing w:after="0" w:line="277" w:lineRule="auto"/>
        <w:rPr>
          <w:sz w:val="20"/>
          <w:szCs w:val="20"/>
          <w:color w:val="auto"/>
        </w:rPr>
      </w:pPr>
      <w:r>
        <w:rPr>
          <w:rFonts w:ascii="Courier New" w:cs="Courier New" w:eastAsia="Courier New" w:hAnsi="Courier New"/>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or effect, other than activities solely in connection with a nomination under § 240.14a-11</w:t>
      </w:r>
    </w:p>
    <w:p>
      <w:pPr>
        <w:spacing w:after="0" w:line="23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Exhibits</w:t>
      </w:r>
    </w:p>
    <w:p>
      <w:pPr>
        <w:spacing w:after="0" w:line="241" w:lineRule="exact"/>
        <w:rPr>
          <w:sz w:val="20"/>
          <w:szCs w:val="20"/>
          <w:color w:val="auto"/>
        </w:rPr>
      </w:pPr>
    </w:p>
    <w:p>
      <w:pPr>
        <w:ind w:left="100"/>
        <w:spacing w:after="0" w:line="209" w:lineRule="exact"/>
        <w:rPr>
          <w:sz w:val="20"/>
          <w:szCs w:val="20"/>
          <w:color w:val="auto"/>
        </w:rPr>
      </w:pPr>
      <w:r>
        <w:rPr>
          <w:rFonts w:ascii="Courier New" w:cs="Courier New" w:eastAsia="Courier New" w:hAnsi="Courier New"/>
          <w:sz w:val="18"/>
          <w:szCs w:val="18"/>
          <w:color w:val="auto"/>
        </w:rPr>
        <w:t xml:space="preserve">Exhibit A </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Joint Filing Agreement</w:t>
      </w:r>
    </w:p>
    <w:p>
      <w:pPr>
        <w:spacing w:after="0" w:line="200" w:lineRule="exact"/>
        <w:rPr>
          <w:sz w:val="20"/>
          <w:szCs w:val="20"/>
          <w:color w:val="auto"/>
        </w:rPr>
      </w:pPr>
    </w:p>
    <w:p>
      <w:pPr>
        <w:spacing w:after="0" w:line="33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100" w:right="459"/>
        <w:spacing w:after="0" w:line="371"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45" w:lineRule="exact"/>
        <w:rPr>
          <w:sz w:val="20"/>
          <w:szCs w:val="20"/>
          <w:color w:val="auto"/>
        </w:rPr>
      </w:pPr>
    </w:p>
    <w:p>
      <w:pPr>
        <w:ind w:left="100"/>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February 9, 2021</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ClearBridge Investments Limited</w:t>
      </w:r>
    </w:p>
    <w:p>
      <w:pPr>
        <w:spacing w:after="0" w:line="200" w:lineRule="exact"/>
        <w:rPr>
          <w:sz w:val="20"/>
          <w:szCs w:val="20"/>
          <w:color w:val="auto"/>
        </w:rPr>
      </w:pPr>
    </w:p>
    <w:p>
      <w:pPr>
        <w:spacing w:after="0" w:line="258"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/s/BARBARA BROOKE MANNING</w:t>
      </w:r>
    </w:p>
    <w:p>
      <w:pPr>
        <w:spacing w:after="0" w:line="27" w:lineRule="exact"/>
        <w:rPr>
          <w:sz w:val="20"/>
          <w:szCs w:val="20"/>
          <w:color w:val="auto"/>
        </w:rPr>
      </w:pPr>
    </w:p>
    <w:p>
      <w:pPr>
        <w:ind w:left="800"/>
        <w:spacing w:after="0" w:line="181" w:lineRule="exact"/>
        <w:rPr>
          <w:sz w:val="20"/>
          <w:szCs w:val="20"/>
          <w:color w:val="auto"/>
        </w:rPr>
      </w:pPr>
      <w:r>
        <w:rPr>
          <w:rFonts w:ascii="MS PGothic" w:cs="MS PGothic" w:eastAsia="MS PGothic" w:hAnsi="MS PGothic"/>
          <w:sz w:val="18"/>
          <w:szCs w:val="18"/>
          <w:color w:val="auto"/>
        </w:rPr>
        <w:t>‑‑‑‑‑‑‑‑‑‑‑‑‑‑‑‑‑‑‑‑‑‑‑‑‑‑‑‑‑‑‑‑‑‑‑‑‑‑‑‑‑‑‑‑‑‑‑‑‑‑</w:t>
      </w:r>
    </w:p>
    <w:p>
      <w:pPr>
        <w:spacing w:after="0" w:line="5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Barbara Brooke Manning</w:t>
      </w:r>
    </w:p>
    <w:p>
      <w:pPr>
        <w:ind w:left="88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0"/>
        <w:spacing w:after="0"/>
        <w:rPr>
          <w:sz w:val="20"/>
          <w:szCs w:val="20"/>
          <w:color w:val="auto"/>
        </w:rPr>
      </w:pPr>
      <w:r>
        <w:rPr>
          <w:rFonts w:ascii="Courier New" w:cs="Courier New" w:eastAsia="Courier New" w:hAnsi="Courier New"/>
          <w:sz w:val="18"/>
          <w:szCs w:val="18"/>
          <w:color w:val="auto"/>
        </w:rPr>
        <w:t>ClearBridge RARE Infrastructure International Pty Ltd</w:t>
      </w:r>
    </w:p>
    <w:p>
      <w:pPr>
        <w:spacing w:after="0" w:line="200" w:lineRule="exact"/>
        <w:rPr>
          <w:sz w:val="20"/>
          <w:szCs w:val="20"/>
          <w:color w:val="auto"/>
        </w:rPr>
      </w:pPr>
    </w:p>
    <w:p>
      <w:pPr>
        <w:spacing w:after="0" w:line="285" w:lineRule="exact"/>
        <w:rPr>
          <w:sz w:val="20"/>
          <w:szCs w:val="20"/>
          <w:color w:val="auto"/>
        </w:rPr>
      </w:pPr>
    </w:p>
    <w:p>
      <w:pPr>
        <w:ind w:left="140"/>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/s/BARBARA BROOKE MANNING</w:t>
      </w:r>
    </w:p>
    <w:p>
      <w:pPr>
        <w:spacing w:after="0" w:line="27" w:lineRule="exact"/>
        <w:rPr>
          <w:sz w:val="20"/>
          <w:szCs w:val="20"/>
          <w:color w:val="auto"/>
        </w:rPr>
      </w:pPr>
    </w:p>
    <w:p>
      <w:pPr>
        <w:ind w:left="80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Barbara Brooke Manning</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40"/>
        <w:spacing w:after="0"/>
        <w:rPr>
          <w:sz w:val="20"/>
          <w:szCs w:val="20"/>
          <w:color w:val="auto"/>
        </w:rPr>
      </w:pPr>
      <w:r>
        <w:rPr>
          <w:rFonts w:ascii="Courier New" w:cs="Courier New" w:eastAsia="Courier New" w:hAnsi="Courier New"/>
          <w:sz w:val="18"/>
          <w:szCs w:val="18"/>
          <w:color w:val="auto"/>
        </w:rPr>
        <w:t>ClearBridge RARE Infrastructure (North America) Pty Ltd</w:t>
      </w:r>
    </w:p>
    <w:p>
      <w:pPr>
        <w:spacing w:after="0" w:line="200" w:lineRule="exact"/>
        <w:rPr>
          <w:sz w:val="20"/>
          <w:szCs w:val="20"/>
          <w:color w:val="auto"/>
        </w:rPr>
      </w:pPr>
    </w:p>
    <w:p>
      <w:pPr>
        <w:spacing w:after="0" w:line="285" w:lineRule="exact"/>
        <w:rPr>
          <w:sz w:val="20"/>
          <w:szCs w:val="20"/>
          <w:color w:val="auto"/>
        </w:rPr>
      </w:pPr>
    </w:p>
    <w:p>
      <w:pPr>
        <w:ind w:left="140"/>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/s/BARBARA BROOKE MANNING</w:t>
      </w:r>
    </w:p>
    <w:p>
      <w:pPr>
        <w:spacing w:after="0" w:line="27" w:lineRule="exact"/>
        <w:rPr>
          <w:sz w:val="20"/>
          <w:szCs w:val="20"/>
          <w:color w:val="auto"/>
        </w:rPr>
      </w:pPr>
    </w:p>
    <w:p>
      <w:pPr>
        <w:ind w:left="80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Barbara Brooke Manning</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2072640</wp:posOffset>
            </wp:positionV>
            <wp:extent cx="71532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1092" w:right="1440" w:bottom="1440" w:gutter="0" w:footer="0" w:header="0"/>
        </w:sectPr>
      </w:pPr>
    </w:p>
    <w:bookmarkStart w:id="10" w:name="page11"/>
    <w:bookmarkEnd w:id="10"/>
    <w:p>
      <w:pPr>
        <w:spacing w:after="0" w:line="125" w:lineRule="exact"/>
        <w:rPr>
          <w:sz w:val="20"/>
          <w:szCs w:val="20"/>
          <w:color w:val="auto"/>
        </w:rPr>
      </w:pPr>
    </w:p>
    <w:p>
      <w:pPr>
        <w:spacing w:after="0"/>
        <w:tabs>
          <w:tab w:leader="none" w:pos="1140" w:val="left"/>
          <w:tab w:leader="none" w:pos="4620" w:val="left"/>
          <w:tab w:leader="none" w:pos="820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8 of 8</w:t>
      </w:r>
    </w:p>
    <w:p>
      <w:pPr>
        <w:spacing w:after="0" w:line="309"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EXHIBIT A</w:t>
      </w:r>
    </w:p>
    <w:p>
      <w:pPr>
        <w:spacing w:after="0" w:line="309"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JOINT FILING AGREEMENT</w:t>
      </w:r>
    </w:p>
    <w:p>
      <w:pPr>
        <w:spacing w:after="0" w:line="241" w:lineRule="exact"/>
        <w:rPr>
          <w:sz w:val="20"/>
          <w:szCs w:val="20"/>
          <w:color w:val="auto"/>
        </w:rPr>
      </w:pPr>
    </w:p>
    <w:p>
      <w:pPr>
        <w:ind w:left="500" w:right="499"/>
        <w:spacing w:after="0" w:line="255" w:lineRule="exact"/>
        <w:rPr>
          <w:sz w:val="20"/>
          <w:szCs w:val="20"/>
          <w:color w:val="auto"/>
        </w:rPr>
      </w:pPr>
      <w:r>
        <w:rPr>
          <w:rFonts w:ascii="Courier New" w:cs="Courier New" w:eastAsia="Courier New" w:hAnsi="Courier New"/>
          <w:sz w:val="17"/>
          <w:szCs w:val="17"/>
          <w:color w:val="auto"/>
        </w:rPr>
        <w:t>In accordance with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7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 WITNESS WHEREOF, the undersigned have executed this agreement on February 9, 2021.</w:t>
      </w:r>
    </w:p>
    <w:p>
      <w:pPr>
        <w:spacing w:after="0" w:line="280"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ClearBridge Investments Limited</w:t>
      </w:r>
    </w:p>
    <w:p>
      <w:pPr>
        <w:spacing w:after="0" w:line="200" w:lineRule="exact"/>
        <w:rPr>
          <w:sz w:val="20"/>
          <w:szCs w:val="20"/>
          <w:color w:val="auto"/>
        </w:rPr>
      </w:pPr>
    </w:p>
    <w:p>
      <w:pPr>
        <w:spacing w:after="0" w:line="258" w:lineRule="exact"/>
        <w:rPr>
          <w:sz w:val="20"/>
          <w:szCs w:val="20"/>
          <w:color w:val="auto"/>
        </w:rPr>
      </w:pPr>
    </w:p>
    <w:p>
      <w:pPr>
        <w:ind w:left="500"/>
        <w:spacing w:after="0"/>
        <w:tabs>
          <w:tab w:leader="none" w:pos="12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/s/BARBARA BROOKE MANNING</w:t>
      </w:r>
    </w:p>
    <w:p>
      <w:pPr>
        <w:spacing w:after="0" w:line="27" w:lineRule="exact"/>
        <w:rPr>
          <w:sz w:val="20"/>
          <w:szCs w:val="20"/>
          <w:color w:val="auto"/>
        </w:rPr>
      </w:pPr>
    </w:p>
    <w:p>
      <w:pPr>
        <w:ind w:left="120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Barbara Brooke Manning</w:t>
      </w:r>
    </w:p>
    <w:p>
      <w:pPr>
        <w:spacing w:after="0" w:line="12"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ClearBridge RARE Infrastructure International Pty Ltd</w:t>
      </w:r>
    </w:p>
    <w:p>
      <w:pPr>
        <w:spacing w:after="0" w:line="200" w:lineRule="exact"/>
        <w:rPr>
          <w:sz w:val="20"/>
          <w:szCs w:val="20"/>
          <w:color w:val="auto"/>
        </w:rPr>
      </w:pPr>
    </w:p>
    <w:p>
      <w:pPr>
        <w:spacing w:after="0" w:line="285"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/s/BARBARA BROOKE MANNING</w:t>
      </w:r>
    </w:p>
    <w:p>
      <w:pPr>
        <w:spacing w:after="0" w:line="27" w:lineRule="exact"/>
        <w:rPr>
          <w:sz w:val="20"/>
          <w:szCs w:val="20"/>
          <w:color w:val="auto"/>
        </w:rPr>
      </w:pPr>
    </w:p>
    <w:p>
      <w:pPr>
        <w:ind w:left="120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Barbara Brooke Manning</w:t>
      </w:r>
    </w:p>
    <w:p>
      <w:pPr>
        <w:spacing w:after="0" w:line="12"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ClearBridge RARE Infrastructure (North America) Pty Ltd</w:t>
      </w:r>
    </w:p>
    <w:p>
      <w:pPr>
        <w:spacing w:after="0" w:line="200" w:lineRule="exact"/>
        <w:rPr>
          <w:sz w:val="20"/>
          <w:szCs w:val="20"/>
          <w:color w:val="auto"/>
        </w:rPr>
      </w:pPr>
    </w:p>
    <w:p>
      <w:pPr>
        <w:spacing w:after="0" w:line="285"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/s/BARBARA BROOKE MANNING</w:t>
      </w:r>
    </w:p>
    <w:p>
      <w:pPr>
        <w:spacing w:after="0" w:line="27" w:lineRule="exact"/>
        <w:rPr>
          <w:sz w:val="20"/>
          <w:szCs w:val="20"/>
          <w:color w:val="auto"/>
        </w:rPr>
      </w:pPr>
    </w:p>
    <w:p>
      <w:pPr>
        <w:ind w:left="120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Barbara Brooke Manning</w:t>
      </w:r>
    </w:p>
    <w:p>
      <w:pPr>
        <w:spacing w:after="0" w:line="12"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Authorized Signatory</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1"/>
    </w:lvl>
    <w:lvl w:ilvl="1">
      <w:lvlJc w:val="left"/>
      <w:lvlText w:val="(%2)"/>
      <w:numFmt w:val="lowerLetter"/>
      <w:start w:val="1"/>
    </w:lvl>
  </w:abstractNum>
  <w:abstractNum w:abstractNumId="3">
    <w:nsid w:val="25E45D32"/>
    <w:multiLevelType w:val="hybridMultilevel"/>
    <w:lvl w:ilvl="0">
      <w:lvlJc w:val="left"/>
      <w:lvlText w:val="%1."/>
      <w:numFmt w:val="decimal"/>
      <w:start w:val="3"/>
    </w:lvl>
    <w:lvl w:ilvl="1">
      <w:lvlJc w:val="left"/>
      <w:lvlText w:val="%2"/>
      <w:numFmt w:val="lowerLetter"/>
      <w:start w:val="1"/>
    </w:lvl>
  </w:abstractNum>
  <w:abstractNum w:abstractNumId="4">
    <w:nsid w:val="519B500D"/>
    <w:multiLevelType w:val="hybridMultilevel"/>
    <w:lvl w:ilvl="0">
      <w:lvlJc w:val="left"/>
      <w:lvlText w:val="%1"/>
      <w:numFmt w:val="decimal"/>
      <w:start w:val="1"/>
    </w:lvl>
    <w:lvl w:ilvl="1">
      <w:lvlJc w:val="left"/>
      <w:lvlText w:val="%2."/>
      <w:numFmt w:val="decimal"/>
      <w:start w:val="5"/>
    </w:lvl>
  </w:abstractNum>
  <w:abstractNum w:abstractNumId="5">
    <w:nsid w:val="431BD7B7"/>
    <w:multiLevelType w:val="hybridMultilevel"/>
    <w:lvl w:ilvl="0">
      <w:lvlJc w:val="left"/>
      <w:lvlText w:val="%1."/>
      <w:numFmt w:val="decimal"/>
      <w:start w:val="9"/>
    </w:lvl>
    <w:lvl w:ilvl="1">
      <w:lvlJc w:val="left"/>
      <w:lvlText w:val="%2"/>
      <w:numFmt w:val="decimal"/>
      <w:start w:val="1"/>
    </w:lvl>
  </w:abstractNum>
  <w:abstractNum w:abstractNumId="6">
    <w:nsid w:val="3F2DBA31"/>
    <w:multiLevelType w:val="hybridMultilevel"/>
    <w:lvl w:ilvl="0">
      <w:lvlJc w:val="left"/>
      <w:lvlText w:val="%1."/>
      <w:numFmt w:val="decimal"/>
      <w:start w:val="1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2"/>
    </w:lvl>
  </w:abstractNum>
  <w:abstractNum w:abstractNumId="9">
    <w:nsid w:val="62BBD95A"/>
    <w:multiLevelType w:val="hybridMultilevel"/>
    <w:lvl w:ilvl="0">
      <w:lvlJc w:val="left"/>
      <w:lvlText w:val="%1"/>
      <w:numFmt w:val="decimal"/>
      <w:start w:val="1"/>
    </w:lvl>
    <w:lvl w:ilvl="1">
      <w:lvlJc w:val="left"/>
      <w:lvlText w:val="(%2)"/>
      <w:numFmt w:val="lowerLetter"/>
      <w:start w:val="1"/>
    </w:lvl>
  </w:abstractNum>
  <w:abstractNum w:abstractNumId="10">
    <w:nsid w:val="436C6125"/>
    <w:multiLevelType w:val="hybridMultilevel"/>
    <w:lvl w:ilvl="0">
      <w:lvlJc w:val="left"/>
      <w:lvlText w:val="%1."/>
      <w:numFmt w:val="decimal"/>
      <w:start w:val="3"/>
    </w:lvl>
    <w:lvl w:ilvl="1">
      <w:lvlJc w:val="left"/>
      <w:lvlText w:val="%2"/>
      <w:numFmt w:val="lowerLetter"/>
      <w:start w:val="1"/>
    </w:lvl>
  </w:abstractNum>
  <w:abstractNum w:abstractNumId="11">
    <w:nsid w:val="628C895D"/>
    <w:multiLevelType w:val="hybridMultilevel"/>
    <w:lvl w:ilvl="0">
      <w:lvlJc w:val="left"/>
      <w:lvlText w:val="%1"/>
      <w:numFmt w:val="decimal"/>
      <w:start w:val="1"/>
    </w:lvl>
    <w:lvl w:ilvl="1">
      <w:lvlJc w:val="left"/>
      <w:lvlText w:val="%2."/>
      <w:numFmt w:val="decimal"/>
      <w:start w:val="5"/>
    </w:lvl>
  </w:abstractNum>
  <w:abstractNum w:abstractNumId="12">
    <w:nsid w:val="333AB105"/>
    <w:multiLevelType w:val="hybridMultilevel"/>
    <w:lvl w:ilvl="0">
      <w:lvlJc w:val="left"/>
      <w:lvlText w:val="%1."/>
      <w:numFmt w:val="decimal"/>
      <w:start w:val="9"/>
    </w:lvl>
    <w:lvl w:ilvl="1">
      <w:lvlJc w:val="left"/>
      <w:lvlText w:val="%2"/>
      <w:numFmt w:val="decimal"/>
      <w:start w:val="1"/>
    </w:lvl>
  </w:abstractNum>
  <w:abstractNum w:abstractNumId="13">
    <w:nsid w:val="721DA317"/>
    <w:multiLevelType w:val="hybridMultilevel"/>
    <w:lvl w:ilvl="0">
      <w:lvlJc w:val="left"/>
      <w:lvlText w:val="%1."/>
      <w:numFmt w:val="decimal"/>
      <w:start w:val="1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2"/>
    </w:lvl>
  </w:abstractNum>
  <w:abstractNum w:abstractNumId="16">
    <w:nsid w:val="6763845E"/>
    <w:multiLevelType w:val="hybridMultilevel"/>
    <w:lvl w:ilvl="0">
      <w:lvlJc w:val="left"/>
      <w:lvlText w:val="%1"/>
      <w:numFmt w:val="decimal"/>
      <w:start w:val="1"/>
    </w:lvl>
    <w:lvl w:ilvl="1">
      <w:lvlJc w:val="left"/>
      <w:lvlText w:val="(%2)"/>
      <w:numFmt w:val="lowerLetter"/>
      <w:start w:val="1"/>
    </w:lvl>
  </w:abstractNum>
  <w:abstractNum w:abstractNumId="17">
    <w:nsid w:val="75A2A8D4"/>
    <w:multiLevelType w:val="hybridMultilevel"/>
    <w:lvl w:ilvl="0">
      <w:lvlJc w:val="left"/>
      <w:lvlText w:val="%1."/>
      <w:numFmt w:val="decimal"/>
      <w:start w:val="3"/>
    </w:lvl>
    <w:lvl w:ilvl="1">
      <w:lvlJc w:val="left"/>
      <w:lvlText w:val="%2"/>
      <w:numFmt w:val="lowerLetter"/>
      <w:start w:val="1"/>
    </w:lvl>
  </w:abstractNum>
  <w:abstractNum w:abstractNumId="18">
    <w:nsid w:val="8EDBDAB"/>
    <w:multiLevelType w:val="hybridMultilevel"/>
    <w:lvl w:ilvl="0">
      <w:lvlJc w:val="left"/>
      <w:lvlText w:val="%1"/>
      <w:numFmt w:val="decimal"/>
      <w:start w:val="1"/>
    </w:lvl>
    <w:lvl w:ilvl="1">
      <w:lvlJc w:val="left"/>
      <w:lvlText w:val="%2."/>
      <w:numFmt w:val="decimal"/>
      <w:start w:val="5"/>
    </w:lvl>
  </w:abstractNum>
  <w:abstractNum w:abstractNumId="19">
    <w:nsid w:val="79838CB2"/>
    <w:multiLevelType w:val="hybridMultilevel"/>
    <w:lvl w:ilvl="0">
      <w:lvlJc w:val="left"/>
      <w:lvlText w:val="%1."/>
      <w:numFmt w:val="decimal"/>
      <w:start w:val="9"/>
    </w:lvl>
    <w:lvl w:ilvl="1">
      <w:lvlJc w:val="left"/>
      <w:lvlText w:val="%2"/>
      <w:numFmt w:val="decimal"/>
      <w:start w:val="1"/>
    </w:lvl>
  </w:abstractNum>
  <w:abstractNum w:abstractNumId="20">
    <w:nsid w:val="4353D0CD"/>
    <w:multiLevelType w:val="hybridMultilevel"/>
    <w:lvl w:ilvl="0">
      <w:lvlJc w:val="left"/>
      <w:lvlText w:val="%1."/>
      <w:numFmt w:val="decimal"/>
      <w:start w:val="1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1"/>
    </w:lvl>
    <w:lvl w:ilvl="1">
      <w:lvlJc w:val="left"/>
      <w:lvlText w:val="(%2)"/>
      <w:numFmt w:val="lowerLetter"/>
      <w:start w:val="9"/>
    </w:lvl>
  </w:abstractNum>
  <w:abstractNum w:abstractNumId="23">
    <w:nsid w:val="54E49EB4"/>
    <w:multiLevelType w:val="hybridMultilevel"/>
    <w:lvl w:ilvl="0">
      <w:lvlJc w:val="left"/>
      <w:lvlText w:val="(%1)"/>
      <w:numFmt w:val="lowerLetter"/>
      <w:start w:val="2"/>
    </w:lvl>
  </w:abstractNum>
  <w:abstractNum w:abstractNumId="24">
    <w:nsid w:val="71F32454"/>
    <w:multiLevelType w:val="hybridMultilevel"/>
    <w:lvl w:ilvl="0">
      <w:lvlJc w:val="left"/>
      <w:lvlText w:val="(%1)"/>
      <w:numFmt w:val="lowerLetter"/>
      <w:start w:val="3"/>
    </w:lvl>
  </w:abstractNum>
  <w:abstractNum w:abstractNumId="25">
    <w:nsid w:val="2CA88611"/>
    <w:multiLevelType w:val="hybridMultilevel"/>
    <w:lvl w:ilvl="0">
      <w:lvlJc w:val="left"/>
      <w:lvlText w:val="(%1)"/>
      <w:numFmt w:val="lowerLetter"/>
      <w:start w:val="5"/>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lowerLetter"/>
      <w:start w:val="7"/>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2021-02-11T12:52:11Z</dcterms:created>
  <dcterms:modified xsi:type="dcterms:W3CDTF">2021-02-11T12:52:11Z</dcterms:modified>
</cp:coreProperties>
</file>