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12/01/2021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303</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33,411</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2,800 dividend equivalent rights that may only be settled in Class C Common Stock. There has been a de minimus adjustment of 2 share to the number of dividend equivalent rights as a result of rounding fractional shares.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 by</w:t>
            </w:r>
          </w:p>
        </w:tc>
        <w:tc>
          <w:tcPr>
            <w:tcW w:w="2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2021-12-03T15:42:47Z</dcterms:created>
  <dcterms:modified xsi:type="dcterms:W3CDTF">2021-12-03T15:42:47Z</dcterms:modified>
</cp:coreProperties>
</file>